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780" w:rsidRPr="007B0C34" w:rsidRDefault="007C0780" w:rsidP="007C0780">
      <w:pPr>
        <w:adjustRightInd w:val="0"/>
        <w:snapToGrid w:val="0"/>
        <w:spacing w:line="360" w:lineRule="auto"/>
        <w:jc w:val="both"/>
        <w:rPr>
          <w:b/>
          <w:spacing w:val="30"/>
          <w:sz w:val="25"/>
          <w:szCs w:val="25"/>
        </w:rPr>
      </w:pPr>
      <w:bookmarkStart w:id="0" w:name="_GoBack"/>
      <w:bookmarkEnd w:id="0"/>
      <w:r w:rsidRPr="007B0C34">
        <w:rPr>
          <w:b/>
          <w:spacing w:val="30"/>
          <w:sz w:val="25"/>
          <w:szCs w:val="25"/>
        </w:rPr>
        <w:t>法改會發表</w:t>
      </w:r>
      <w:r w:rsidRPr="002B5EBC">
        <w:rPr>
          <w:rFonts w:hint="eastAsia"/>
          <w:b/>
          <w:spacing w:val="30"/>
          <w:sz w:val="25"/>
          <w:szCs w:val="25"/>
        </w:rPr>
        <w:t>《</w:t>
      </w:r>
      <w:r w:rsidRPr="002B5EBC">
        <w:rPr>
          <w:rFonts w:hint="eastAsia"/>
          <w:b/>
          <w:spacing w:val="30"/>
          <w:sz w:val="25"/>
          <w:szCs w:val="25"/>
          <w:lang w:val="en-GB"/>
        </w:rPr>
        <w:t>與仲裁結果有關的收費架構</w:t>
      </w:r>
      <w:r w:rsidRPr="002B5EBC">
        <w:rPr>
          <w:rFonts w:hint="eastAsia"/>
          <w:b/>
          <w:spacing w:val="30"/>
          <w:sz w:val="25"/>
          <w:szCs w:val="25"/>
        </w:rPr>
        <w:t>》</w:t>
      </w:r>
      <w:r w:rsidRPr="007B0C34">
        <w:rPr>
          <w:rFonts w:hint="eastAsia"/>
          <w:b/>
          <w:spacing w:val="30"/>
          <w:sz w:val="25"/>
          <w:szCs w:val="25"/>
          <w:lang w:eastAsia="zh-HK"/>
        </w:rPr>
        <w:t>報告書</w:t>
      </w:r>
    </w:p>
    <w:p w:rsidR="007C0780" w:rsidRDefault="007C0780" w:rsidP="007C0780">
      <w:pPr>
        <w:adjustRightInd w:val="0"/>
        <w:snapToGrid w:val="0"/>
        <w:spacing w:line="360" w:lineRule="auto"/>
        <w:rPr>
          <w:spacing w:val="30"/>
          <w:sz w:val="25"/>
          <w:szCs w:val="25"/>
        </w:rPr>
      </w:pPr>
      <w:proofErr w:type="gramStart"/>
      <w:r w:rsidRPr="008F0C9D">
        <w:rPr>
          <w:spacing w:val="30"/>
          <w:sz w:val="25"/>
          <w:szCs w:val="25"/>
        </w:rPr>
        <w:t>＊＊＊＊＊＊＊＊＊＊＊＊＊＊＊＊＊＊＊＊</w:t>
      </w:r>
      <w:proofErr w:type="gramEnd"/>
      <w:r w:rsidRPr="008F0C9D">
        <w:rPr>
          <w:spacing w:val="30"/>
          <w:sz w:val="25"/>
          <w:szCs w:val="25"/>
        </w:rPr>
        <w:t>＊＊＊＊＊＊</w:t>
      </w:r>
    </w:p>
    <w:p w:rsidR="007C0780" w:rsidRPr="00C32387" w:rsidRDefault="007C0780" w:rsidP="007C0780">
      <w:pPr>
        <w:adjustRightInd w:val="0"/>
        <w:snapToGrid w:val="0"/>
        <w:spacing w:line="360" w:lineRule="auto"/>
        <w:rPr>
          <w:spacing w:val="30"/>
          <w:sz w:val="36"/>
          <w:szCs w:val="36"/>
          <w:lang w:val="en-HK"/>
        </w:rPr>
      </w:pPr>
    </w:p>
    <w:p w:rsidR="00E471E9" w:rsidRPr="00F67DDA" w:rsidRDefault="007C0780" w:rsidP="007C0780">
      <w:pPr>
        <w:adjustRightInd w:val="0"/>
        <w:snapToGrid w:val="0"/>
        <w:spacing w:line="360" w:lineRule="auto"/>
        <w:jc w:val="both"/>
        <w:rPr>
          <w:spacing w:val="30"/>
          <w:sz w:val="22"/>
        </w:rPr>
      </w:pPr>
      <w:r>
        <w:rPr>
          <w:rFonts w:hint="eastAsia"/>
          <w:spacing w:val="30"/>
          <w:sz w:val="22"/>
        </w:rPr>
        <w:t xml:space="preserve">　　</w:t>
      </w:r>
      <w:r w:rsidR="00E471E9" w:rsidRPr="00A908F1">
        <w:rPr>
          <w:rFonts w:hint="eastAsia"/>
          <w:spacing w:val="30"/>
          <w:sz w:val="22"/>
        </w:rPr>
        <w:t>香港</w:t>
      </w:r>
      <w:r w:rsidR="00E471E9" w:rsidRPr="00A908F1">
        <w:rPr>
          <w:spacing w:val="30"/>
          <w:sz w:val="22"/>
        </w:rPr>
        <w:t>法律改革委員會（法改會）今日（</w:t>
      </w:r>
      <w:r w:rsidR="00E471E9" w:rsidRPr="00F67DDA">
        <w:rPr>
          <w:rFonts w:hint="eastAsia"/>
          <w:spacing w:val="30"/>
          <w:sz w:val="22"/>
        </w:rPr>
        <w:t>十二</w:t>
      </w:r>
      <w:r w:rsidR="00E471E9" w:rsidRPr="00A908F1">
        <w:rPr>
          <w:spacing w:val="30"/>
          <w:sz w:val="22"/>
        </w:rPr>
        <w:t>月十</w:t>
      </w:r>
      <w:r w:rsidR="00E471E9" w:rsidRPr="00A908F1">
        <w:rPr>
          <w:rFonts w:hint="eastAsia"/>
          <w:spacing w:val="30"/>
          <w:sz w:val="22"/>
        </w:rPr>
        <w:t>五</w:t>
      </w:r>
      <w:r w:rsidR="00E471E9" w:rsidRPr="00A908F1">
        <w:rPr>
          <w:spacing w:val="30"/>
          <w:sz w:val="22"/>
        </w:rPr>
        <w:t>日）發表</w:t>
      </w:r>
      <w:r w:rsidR="00E471E9" w:rsidRPr="00A908F1">
        <w:rPr>
          <w:rFonts w:hint="eastAsia"/>
          <w:spacing w:val="30"/>
          <w:sz w:val="22"/>
        </w:rPr>
        <w:t>《</w:t>
      </w:r>
      <w:r w:rsidR="00E471E9" w:rsidRPr="00F67DDA">
        <w:rPr>
          <w:rFonts w:hint="eastAsia"/>
          <w:spacing w:val="30"/>
          <w:sz w:val="22"/>
        </w:rPr>
        <w:t>與仲裁結果有關的收費架構</w:t>
      </w:r>
      <w:r w:rsidR="00E471E9" w:rsidRPr="00A908F1">
        <w:rPr>
          <w:rFonts w:hint="eastAsia"/>
          <w:spacing w:val="30"/>
          <w:sz w:val="22"/>
        </w:rPr>
        <w:t>》報告書，建議修</w:t>
      </w:r>
      <w:r w:rsidR="00E471E9">
        <w:rPr>
          <w:rFonts w:hint="eastAsia"/>
          <w:spacing w:val="30"/>
          <w:sz w:val="22"/>
        </w:rPr>
        <w:t>改</w:t>
      </w:r>
      <w:r w:rsidR="00E471E9" w:rsidRPr="00A908F1">
        <w:rPr>
          <w:rFonts w:hint="eastAsia"/>
          <w:spacing w:val="30"/>
          <w:sz w:val="22"/>
        </w:rPr>
        <w:t>香港法</w:t>
      </w:r>
      <w:r w:rsidR="00E471E9">
        <w:rPr>
          <w:rFonts w:hint="eastAsia"/>
          <w:spacing w:val="30"/>
          <w:sz w:val="22"/>
        </w:rPr>
        <w:t>律</w:t>
      </w:r>
      <w:r w:rsidR="00E471E9" w:rsidRPr="00A908F1">
        <w:rPr>
          <w:rFonts w:hint="eastAsia"/>
          <w:spacing w:val="30"/>
          <w:sz w:val="22"/>
        </w:rPr>
        <w:t>，撤銷禁止律師在香港及在香港以外地方進行的仲裁採用</w:t>
      </w:r>
      <w:r w:rsidR="00E471E9" w:rsidRPr="00F67DDA">
        <w:rPr>
          <w:rFonts w:hint="eastAsia"/>
          <w:spacing w:val="30"/>
          <w:sz w:val="22"/>
        </w:rPr>
        <w:t>「與結果有關的收費架構</w:t>
      </w:r>
      <w:r w:rsidR="00E471E9" w:rsidRPr="00F67DDA">
        <w:rPr>
          <w:spacing w:val="30"/>
          <w:sz w:val="22"/>
        </w:rPr>
        <w:t>」</w:t>
      </w:r>
      <w:r w:rsidR="00E471E9" w:rsidRPr="00A908F1">
        <w:rPr>
          <w:rFonts w:hint="eastAsia"/>
          <w:spacing w:val="30"/>
          <w:sz w:val="22"/>
        </w:rPr>
        <w:t>（</w:t>
      </w:r>
      <w:r w:rsidR="00E471E9" w:rsidRPr="00F67DDA">
        <w:rPr>
          <w:rFonts w:hint="eastAsia"/>
          <w:spacing w:val="30"/>
          <w:sz w:val="22"/>
        </w:rPr>
        <w:t>ORF</w:t>
      </w:r>
      <w:r w:rsidR="00E471E9" w:rsidRPr="00A908F1">
        <w:rPr>
          <w:rFonts w:hint="eastAsia"/>
          <w:spacing w:val="30"/>
          <w:sz w:val="22"/>
        </w:rPr>
        <w:t>S</w:t>
      </w:r>
      <w:r w:rsidR="00E471E9" w:rsidRPr="00A908F1">
        <w:rPr>
          <w:rFonts w:hint="eastAsia"/>
          <w:spacing w:val="30"/>
          <w:sz w:val="22"/>
        </w:rPr>
        <w:t>）的</w:t>
      </w:r>
      <w:r w:rsidR="00E471E9">
        <w:rPr>
          <w:rFonts w:hint="eastAsia"/>
          <w:spacing w:val="30"/>
          <w:sz w:val="22"/>
        </w:rPr>
        <w:t>相關</w:t>
      </w:r>
      <w:r w:rsidR="00E471E9" w:rsidRPr="00A908F1">
        <w:rPr>
          <w:rFonts w:hint="eastAsia"/>
          <w:spacing w:val="30"/>
          <w:sz w:val="22"/>
        </w:rPr>
        <w:t>規定。</w:t>
      </w:r>
    </w:p>
    <w:p w:rsidR="00E471E9" w:rsidRPr="00F67DDA" w:rsidRDefault="00E471E9" w:rsidP="00E471E9">
      <w:pPr>
        <w:adjustRightInd w:val="0"/>
        <w:snapToGrid w:val="0"/>
        <w:spacing w:line="360" w:lineRule="auto"/>
        <w:jc w:val="both"/>
        <w:rPr>
          <w:spacing w:val="30"/>
          <w:sz w:val="22"/>
        </w:rPr>
      </w:pPr>
    </w:p>
    <w:p w:rsidR="00E471E9" w:rsidRPr="00A908F1" w:rsidRDefault="007C0780" w:rsidP="00E471E9">
      <w:pPr>
        <w:adjustRightInd w:val="0"/>
        <w:snapToGrid w:val="0"/>
        <w:spacing w:line="360" w:lineRule="auto"/>
        <w:jc w:val="both"/>
        <w:rPr>
          <w:spacing w:val="30"/>
          <w:sz w:val="22"/>
        </w:rPr>
      </w:pPr>
      <w:r>
        <w:rPr>
          <w:rFonts w:hint="eastAsia"/>
          <w:spacing w:val="30"/>
          <w:sz w:val="22"/>
        </w:rPr>
        <w:t xml:space="preserve">　　</w:t>
      </w:r>
      <w:r w:rsidR="00E471E9" w:rsidRPr="00F67DDA">
        <w:rPr>
          <w:spacing w:val="30"/>
          <w:sz w:val="22"/>
        </w:rPr>
        <w:t>法改會轄下</w:t>
      </w:r>
      <w:r w:rsidR="00E471E9" w:rsidRPr="00F67DDA">
        <w:rPr>
          <w:rFonts w:hint="eastAsia"/>
          <w:spacing w:val="30"/>
          <w:sz w:val="22"/>
        </w:rPr>
        <w:t>的與仲裁結果有關的收費架構小組委員會由張清明和楊安娜擔任聯合主席，於</w:t>
      </w:r>
      <w:r w:rsidR="00E471E9" w:rsidRPr="007319AD">
        <w:rPr>
          <w:rFonts w:hint="eastAsia"/>
          <w:spacing w:val="30"/>
          <w:sz w:val="22"/>
        </w:rPr>
        <w:t>二</w:t>
      </w:r>
      <w:r w:rsidR="00E471E9" w:rsidRPr="00F67DDA">
        <w:rPr>
          <w:rFonts w:hint="eastAsia"/>
          <w:spacing w:val="30"/>
          <w:sz w:val="22"/>
        </w:rPr>
        <w:t>○</w:t>
      </w:r>
      <w:r w:rsidR="00E471E9" w:rsidRPr="007319AD">
        <w:rPr>
          <w:rFonts w:hint="eastAsia"/>
          <w:spacing w:val="30"/>
          <w:sz w:val="22"/>
        </w:rPr>
        <w:t>二</w:t>
      </w:r>
      <w:r w:rsidR="00E471E9" w:rsidRPr="00F67DDA">
        <w:rPr>
          <w:rFonts w:hint="eastAsia"/>
          <w:spacing w:val="30"/>
          <w:sz w:val="22"/>
        </w:rPr>
        <w:t>○</w:t>
      </w:r>
      <w:r w:rsidR="00E471E9" w:rsidRPr="007319AD">
        <w:rPr>
          <w:rFonts w:hint="eastAsia"/>
          <w:spacing w:val="30"/>
          <w:sz w:val="22"/>
        </w:rPr>
        <w:t>年十二</w:t>
      </w:r>
      <w:r w:rsidR="00E471E9" w:rsidRPr="00F67DDA">
        <w:rPr>
          <w:rFonts w:hint="eastAsia"/>
          <w:spacing w:val="30"/>
          <w:sz w:val="22"/>
        </w:rPr>
        <w:t>月發表諮詢文件，報告書是根據小組委員會所進</w:t>
      </w:r>
      <w:r w:rsidR="00E471E9" w:rsidRPr="00F67DDA">
        <w:rPr>
          <w:spacing w:val="30"/>
          <w:sz w:val="22"/>
        </w:rPr>
        <w:t>行的研究而撰寫。</w:t>
      </w:r>
      <w:r w:rsidR="00E471E9" w:rsidRPr="00F67DDA">
        <w:rPr>
          <w:rFonts w:hint="eastAsia"/>
          <w:spacing w:val="30"/>
          <w:sz w:val="22"/>
        </w:rPr>
        <w:t>小組委員會研究了</w:t>
      </w:r>
      <w:r w:rsidR="00E471E9" w:rsidRPr="00A908F1">
        <w:rPr>
          <w:rFonts w:hint="eastAsia"/>
          <w:spacing w:val="30"/>
          <w:sz w:val="22"/>
        </w:rPr>
        <w:t>多個其他</w:t>
      </w:r>
      <w:r w:rsidR="00E471E9" w:rsidRPr="00A908F1">
        <w:rPr>
          <w:spacing w:val="30"/>
          <w:sz w:val="22"/>
        </w:rPr>
        <w:t>司法管轄區的法律</w:t>
      </w:r>
      <w:r w:rsidR="00E471E9" w:rsidRPr="00A908F1">
        <w:rPr>
          <w:rFonts w:hint="eastAsia"/>
          <w:spacing w:val="30"/>
          <w:sz w:val="22"/>
        </w:rPr>
        <w:t>制度</w:t>
      </w:r>
      <w:r w:rsidR="00E471E9" w:rsidRPr="00A908F1">
        <w:rPr>
          <w:spacing w:val="30"/>
          <w:sz w:val="22"/>
        </w:rPr>
        <w:t>和</w:t>
      </w:r>
      <w:r w:rsidR="00E471E9" w:rsidRPr="00A908F1">
        <w:rPr>
          <w:rFonts w:hint="eastAsia"/>
          <w:spacing w:val="30"/>
          <w:sz w:val="22"/>
        </w:rPr>
        <w:t>經驗</w:t>
      </w:r>
      <w:r w:rsidR="00E471E9" w:rsidRPr="00A908F1">
        <w:rPr>
          <w:spacing w:val="30"/>
          <w:sz w:val="22"/>
        </w:rPr>
        <w:t>，</w:t>
      </w:r>
      <w:r w:rsidR="00E471E9" w:rsidRPr="00A908F1">
        <w:rPr>
          <w:rFonts w:hint="eastAsia"/>
          <w:spacing w:val="30"/>
          <w:sz w:val="22"/>
        </w:rPr>
        <w:t>包括新加坡、</w:t>
      </w:r>
      <w:r w:rsidR="00E471E9" w:rsidRPr="00A908F1">
        <w:rPr>
          <w:spacing w:val="30"/>
          <w:sz w:val="22"/>
        </w:rPr>
        <w:t>英格蘭</w:t>
      </w:r>
      <w:r w:rsidR="00E471E9" w:rsidRPr="00A908F1">
        <w:rPr>
          <w:rFonts w:hint="eastAsia"/>
          <w:spacing w:val="30"/>
          <w:sz w:val="22"/>
        </w:rPr>
        <w:t>及威爾斯</w:t>
      </w:r>
      <w:r w:rsidR="00E471E9" w:rsidRPr="00A908F1">
        <w:rPr>
          <w:spacing w:val="30"/>
          <w:sz w:val="22"/>
        </w:rPr>
        <w:t>、澳大利亞</w:t>
      </w:r>
      <w:r w:rsidR="00E471E9" w:rsidRPr="00A908F1">
        <w:rPr>
          <w:rFonts w:hint="eastAsia"/>
          <w:spacing w:val="30"/>
          <w:sz w:val="22"/>
        </w:rPr>
        <w:t>、中國內地和美國</w:t>
      </w:r>
      <w:r w:rsidR="00E471E9" w:rsidRPr="00A908F1">
        <w:rPr>
          <w:spacing w:val="30"/>
          <w:sz w:val="22"/>
        </w:rPr>
        <w:t>。</w:t>
      </w:r>
      <w:r w:rsidR="006D7E6A" w:rsidRPr="006D7E6A">
        <w:rPr>
          <w:rFonts w:hint="eastAsia"/>
          <w:spacing w:val="30"/>
          <w:sz w:val="22"/>
        </w:rPr>
        <w:t>諮詢文件</w:t>
      </w:r>
      <w:r w:rsidR="001A1CE4" w:rsidRPr="001A1CE4">
        <w:rPr>
          <w:rFonts w:hint="eastAsia"/>
          <w:spacing w:val="30"/>
          <w:sz w:val="22"/>
        </w:rPr>
        <w:t>接獲</w:t>
      </w:r>
      <w:r w:rsidR="006D7E6A" w:rsidRPr="006D7E6A">
        <w:rPr>
          <w:rFonts w:hint="eastAsia"/>
          <w:spacing w:val="30"/>
          <w:sz w:val="22"/>
        </w:rPr>
        <w:t>的</w:t>
      </w:r>
      <w:r w:rsidR="001A1CE4" w:rsidRPr="001A1CE4">
        <w:rPr>
          <w:rFonts w:hint="eastAsia"/>
          <w:spacing w:val="30"/>
          <w:sz w:val="22"/>
        </w:rPr>
        <w:t>公眾</w:t>
      </w:r>
      <w:r w:rsidR="006D7E6A" w:rsidRPr="006D7E6A">
        <w:rPr>
          <w:rFonts w:hint="eastAsia"/>
          <w:spacing w:val="30"/>
          <w:sz w:val="22"/>
        </w:rPr>
        <w:t>回應</w:t>
      </w:r>
      <w:r w:rsidR="001A1CE4" w:rsidRPr="001A1CE4">
        <w:rPr>
          <w:rFonts w:hint="eastAsia"/>
          <w:spacing w:val="30"/>
          <w:sz w:val="22"/>
        </w:rPr>
        <w:t>，絕大部分</w:t>
      </w:r>
      <w:r w:rsidR="006D7E6A" w:rsidRPr="006D7E6A">
        <w:rPr>
          <w:rFonts w:hint="eastAsia"/>
          <w:spacing w:val="30"/>
          <w:sz w:val="22"/>
        </w:rPr>
        <w:t>支持建議的改革，</w:t>
      </w:r>
      <w:r w:rsidR="00E471E9" w:rsidRPr="00A908F1">
        <w:rPr>
          <w:rFonts w:hint="eastAsia"/>
          <w:spacing w:val="30"/>
          <w:sz w:val="22"/>
        </w:rPr>
        <w:t>在訂定報告書中的最終建議時，</w:t>
      </w:r>
      <w:r w:rsidR="001A1CE4" w:rsidRPr="001A1CE4">
        <w:rPr>
          <w:rFonts w:hint="eastAsia"/>
          <w:spacing w:val="30"/>
          <w:sz w:val="22"/>
        </w:rPr>
        <w:t>亦</w:t>
      </w:r>
      <w:r w:rsidR="00E471E9" w:rsidRPr="00A908F1">
        <w:rPr>
          <w:rFonts w:hint="eastAsia"/>
          <w:spacing w:val="30"/>
          <w:sz w:val="22"/>
        </w:rPr>
        <w:t>已考慮</w:t>
      </w:r>
      <w:r w:rsidR="006D7E6A" w:rsidRPr="006D7E6A">
        <w:rPr>
          <w:rFonts w:hint="eastAsia"/>
          <w:spacing w:val="30"/>
          <w:sz w:val="22"/>
        </w:rPr>
        <w:t>這些</w:t>
      </w:r>
      <w:r w:rsidR="00E471E9" w:rsidRPr="00A908F1">
        <w:rPr>
          <w:rFonts w:hint="eastAsia"/>
          <w:spacing w:val="30"/>
          <w:sz w:val="22"/>
        </w:rPr>
        <w:t>公眾回應。</w:t>
      </w:r>
    </w:p>
    <w:p w:rsidR="00E471E9" w:rsidRPr="00A908F1" w:rsidRDefault="00E471E9" w:rsidP="00E471E9">
      <w:pPr>
        <w:adjustRightInd w:val="0"/>
        <w:snapToGrid w:val="0"/>
        <w:spacing w:line="360" w:lineRule="auto"/>
        <w:jc w:val="both"/>
        <w:rPr>
          <w:spacing w:val="30"/>
          <w:sz w:val="22"/>
        </w:rPr>
      </w:pPr>
    </w:p>
    <w:p w:rsidR="00E471E9" w:rsidRPr="00F67DDA" w:rsidRDefault="007C0780" w:rsidP="00E471E9">
      <w:pPr>
        <w:adjustRightInd w:val="0"/>
        <w:snapToGrid w:val="0"/>
        <w:spacing w:line="360" w:lineRule="auto"/>
        <w:jc w:val="both"/>
        <w:rPr>
          <w:spacing w:val="30"/>
          <w:sz w:val="22"/>
        </w:rPr>
      </w:pPr>
      <w:r>
        <w:rPr>
          <w:rFonts w:hint="eastAsia"/>
          <w:spacing w:val="30"/>
          <w:sz w:val="22"/>
        </w:rPr>
        <w:t xml:space="preserve">　　</w:t>
      </w:r>
      <w:r w:rsidR="00E471E9" w:rsidRPr="00A908F1">
        <w:rPr>
          <w:rFonts w:hint="eastAsia"/>
          <w:spacing w:val="30"/>
          <w:sz w:val="22"/>
        </w:rPr>
        <w:t>報告書中，</w:t>
      </w:r>
      <w:r w:rsidR="00E471E9" w:rsidRPr="00F67DDA">
        <w:rPr>
          <w:rFonts w:hint="eastAsia"/>
          <w:spacing w:val="30"/>
          <w:sz w:val="22"/>
        </w:rPr>
        <w:t>ORF</w:t>
      </w:r>
      <w:r w:rsidR="00E471E9" w:rsidRPr="00A908F1">
        <w:rPr>
          <w:rFonts w:hint="eastAsia"/>
          <w:spacing w:val="30"/>
          <w:sz w:val="22"/>
        </w:rPr>
        <w:t>S</w:t>
      </w:r>
      <w:r w:rsidR="00E471E9" w:rsidRPr="00A908F1">
        <w:rPr>
          <w:rFonts w:hint="eastAsia"/>
          <w:spacing w:val="30"/>
          <w:sz w:val="22"/>
        </w:rPr>
        <w:t>是</w:t>
      </w:r>
      <w:r w:rsidR="00E471E9" w:rsidRPr="00F67DDA">
        <w:rPr>
          <w:rFonts w:hint="eastAsia"/>
          <w:spacing w:val="30"/>
          <w:sz w:val="22"/>
        </w:rPr>
        <w:t>指律師可與當事人訂立的三種協議，即</w:t>
      </w:r>
      <w:r w:rsidR="00E471E9" w:rsidRPr="00F67DDA">
        <w:rPr>
          <w:spacing w:val="30"/>
          <w:sz w:val="22"/>
        </w:rPr>
        <w:t>按條件收費協議</w:t>
      </w:r>
      <w:r w:rsidR="00E471E9" w:rsidRPr="00F67DDA">
        <w:rPr>
          <w:rFonts w:hint="eastAsia"/>
          <w:spacing w:val="30"/>
          <w:sz w:val="22"/>
        </w:rPr>
        <w:t>、按損害賠償收費協議，以及</w:t>
      </w:r>
      <w:r w:rsidR="00E471E9" w:rsidRPr="00F67DDA">
        <w:rPr>
          <w:spacing w:val="30"/>
          <w:sz w:val="22"/>
        </w:rPr>
        <w:t>混合式按</w:t>
      </w:r>
      <w:r w:rsidR="00E471E9" w:rsidRPr="00F67DDA">
        <w:rPr>
          <w:rFonts w:hint="eastAsia"/>
          <w:spacing w:val="30"/>
          <w:sz w:val="22"/>
        </w:rPr>
        <w:t>損害賠償收費協議。</w:t>
      </w:r>
    </w:p>
    <w:p w:rsidR="00E471E9" w:rsidRPr="00F67DDA" w:rsidRDefault="00E471E9" w:rsidP="00E471E9">
      <w:pPr>
        <w:adjustRightInd w:val="0"/>
        <w:snapToGrid w:val="0"/>
        <w:spacing w:line="360" w:lineRule="auto"/>
        <w:jc w:val="both"/>
        <w:rPr>
          <w:spacing w:val="30"/>
          <w:sz w:val="22"/>
        </w:rPr>
      </w:pPr>
    </w:p>
    <w:p w:rsidR="00E471E9" w:rsidRPr="00F67DDA" w:rsidRDefault="007C0780" w:rsidP="00E471E9">
      <w:pPr>
        <w:adjustRightInd w:val="0"/>
        <w:snapToGrid w:val="0"/>
        <w:spacing w:line="360" w:lineRule="auto"/>
        <w:jc w:val="both"/>
        <w:rPr>
          <w:spacing w:val="30"/>
          <w:sz w:val="22"/>
        </w:rPr>
      </w:pPr>
      <w:r>
        <w:rPr>
          <w:rFonts w:hint="eastAsia"/>
          <w:spacing w:val="30"/>
          <w:sz w:val="22"/>
        </w:rPr>
        <w:t xml:space="preserve">　　</w:t>
      </w:r>
      <w:r w:rsidR="00E471E9" w:rsidRPr="00F67DDA">
        <w:rPr>
          <w:rFonts w:hint="eastAsia"/>
          <w:spacing w:val="30"/>
          <w:sz w:val="22"/>
        </w:rPr>
        <w:t>張清明表示，</w:t>
      </w:r>
      <w:r w:rsidR="00E471E9" w:rsidRPr="00F67DDA">
        <w:rPr>
          <w:spacing w:val="30"/>
          <w:sz w:val="22"/>
        </w:rPr>
        <w:t>按條件收費協議</w:t>
      </w:r>
      <w:r w:rsidR="00E471E9" w:rsidRPr="00F67DDA">
        <w:rPr>
          <w:rFonts w:hint="eastAsia"/>
          <w:spacing w:val="30"/>
          <w:sz w:val="22"/>
        </w:rPr>
        <w:t>是指根</w:t>
      </w:r>
      <w:r w:rsidR="00E471E9" w:rsidRPr="00F67DDA">
        <w:rPr>
          <w:spacing w:val="30"/>
          <w:sz w:val="22"/>
        </w:rPr>
        <w:t>據律師與當事人訂立</w:t>
      </w:r>
      <w:r w:rsidR="00E471E9" w:rsidRPr="00F67DDA">
        <w:rPr>
          <w:rFonts w:hint="eastAsia"/>
          <w:spacing w:val="30"/>
          <w:sz w:val="22"/>
        </w:rPr>
        <w:t>的</w:t>
      </w:r>
      <w:r w:rsidR="00E471E9" w:rsidRPr="00F67DDA">
        <w:rPr>
          <w:spacing w:val="30"/>
          <w:sz w:val="22"/>
        </w:rPr>
        <w:t>協議，當事人</w:t>
      </w:r>
      <w:r w:rsidR="00E471E9" w:rsidRPr="00F67DDA">
        <w:rPr>
          <w:rFonts w:hint="eastAsia"/>
          <w:spacing w:val="30"/>
          <w:sz w:val="22"/>
        </w:rPr>
        <w:t>同意只在自己</w:t>
      </w:r>
      <w:proofErr w:type="gramStart"/>
      <w:r w:rsidR="00E471E9" w:rsidRPr="00F67DDA">
        <w:rPr>
          <w:rFonts w:hint="eastAsia"/>
          <w:spacing w:val="30"/>
          <w:sz w:val="22"/>
        </w:rPr>
        <w:t>就申索或</w:t>
      </w:r>
      <w:proofErr w:type="gramEnd"/>
      <w:r w:rsidR="00E471E9" w:rsidRPr="00F67DDA">
        <w:rPr>
          <w:rFonts w:hint="eastAsia"/>
          <w:spacing w:val="30"/>
          <w:sz w:val="22"/>
        </w:rPr>
        <w:t>法律程序取得成果的情況下，方</w:t>
      </w:r>
      <w:r w:rsidR="00E471E9" w:rsidRPr="00F67DDA">
        <w:rPr>
          <w:spacing w:val="30"/>
          <w:sz w:val="22"/>
        </w:rPr>
        <w:t>向律師支付</w:t>
      </w:r>
      <w:r w:rsidR="00E471E9" w:rsidRPr="00F67DDA">
        <w:rPr>
          <w:rFonts w:hint="eastAsia"/>
          <w:spacing w:val="30"/>
          <w:sz w:val="22"/>
        </w:rPr>
        <w:t>一項稱為「成功收費」的</w:t>
      </w:r>
      <w:r w:rsidR="00E471E9" w:rsidRPr="00F67DDA">
        <w:rPr>
          <w:spacing w:val="30"/>
          <w:sz w:val="22"/>
        </w:rPr>
        <w:t>額外費用</w:t>
      </w:r>
      <w:r w:rsidR="00E471E9" w:rsidRPr="00F67DDA">
        <w:rPr>
          <w:rFonts w:hint="eastAsia"/>
          <w:spacing w:val="30"/>
          <w:sz w:val="22"/>
        </w:rPr>
        <w:t>。</w:t>
      </w:r>
      <w:r w:rsidR="00E471E9" w:rsidRPr="00F67DDA">
        <w:rPr>
          <w:spacing w:val="30"/>
          <w:sz w:val="22"/>
        </w:rPr>
        <w:t>成功收費的數額</w:t>
      </w:r>
      <w:r w:rsidR="00E471E9" w:rsidRPr="00F67DDA">
        <w:rPr>
          <w:rFonts w:hint="eastAsia"/>
          <w:spacing w:val="30"/>
          <w:sz w:val="22"/>
        </w:rPr>
        <w:t>可以是雙方議定的固定金額，也可以按假若在</w:t>
      </w:r>
      <w:r w:rsidR="00E471E9" w:rsidRPr="00F67DDA">
        <w:rPr>
          <w:spacing w:val="30"/>
          <w:sz w:val="22"/>
        </w:rPr>
        <w:t>法律程序</w:t>
      </w:r>
      <w:r w:rsidR="00E471E9" w:rsidRPr="00F67DDA">
        <w:rPr>
          <w:rFonts w:hint="eastAsia"/>
          <w:spacing w:val="30"/>
          <w:sz w:val="22"/>
        </w:rPr>
        <w:t>過程</w:t>
      </w:r>
      <w:r w:rsidR="00E471E9" w:rsidRPr="00F67DDA">
        <w:rPr>
          <w:spacing w:val="30"/>
          <w:sz w:val="22"/>
        </w:rPr>
        <w:t>中</w:t>
      </w:r>
      <w:r w:rsidR="00E471E9" w:rsidRPr="00F67DDA">
        <w:rPr>
          <w:rFonts w:hint="eastAsia"/>
          <w:spacing w:val="30"/>
          <w:sz w:val="22"/>
        </w:rPr>
        <w:t>沒有訂立</w:t>
      </w:r>
      <w:r w:rsidR="00E471E9" w:rsidRPr="00F67DDA">
        <w:rPr>
          <w:spacing w:val="30"/>
          <w:sz w:val="22"/>
        </w:rPr>
        <w:t>ORFS</w:t>
      </w:r>
      <w:r w:rsidR="00E471E9" w:rsidRPr="00F67DDA">
        <w:rPr>
          <w:rFonts w:hint="eastAsia"/>
          <w:spacing w:val="30"/>
          <w:sz w:val="22"/>
        </w:rPr>
        <w:t>的話，律師本應</w:t>
      </w:r>
      <w:r w:rsidR="00E471E9" w:rsidRPr="00F67DDA">
        <w:rPr>
          <w:spacing w:val="30"/>
          <w:sz w:val="22"/>
        </w:rPr>
        <w:t>收取</w:t>
      </w:r>
      <w:r w:rsidR="00E471E9" w:rsidRPr="00F67DDA">
        <w:rPr>
          <w:rFonts w:hint="eastAsia"/>
          <w:spacing w:val="30"/>
          <w:sz w:val="22"/>
        </w:rPr>
        <w:t>的</w:t>
      </w:r>
      <w:r w:rsidR="00E471E9" w:rsidRPr="00F67DDA">
        <w:rPr>
          <w:spacing w:val="30"/>
          <w:sz w:val="22"/>
        </w:rPr>
        <w:t>費用</w:t>
      </w:r>
      <w:r w:rsidR="00E471E9" w:rsidRPr="00F67DDA">
        <w:rPr>
          <w:rFonts w:hint="eastAsia"/>
          <w:spacing w:val="30"/>
          <w:sz w:val="22"/>
        </w:rPr>
        <w:t>的某個百分比</w:t>
      </w:r>
      <w:r w:rsidR="00E471E9" w:rsidRPr="00F67DDA">
        <w:rPr>
          <w:spacing w:val="30"/>
          <w:sz w:val="22"/>
        </w:rPr>
        <w:t>額外</w:t>
      </w:r>
      <w:r w:rsidR="00E471E9" w:rsidRPr="00F67DDA">
        <w:rPr>
          <w:rFonts w:hint="eastAsia"/>
          <w:spacing w:val="30"/>
          <w:sz w:val="22"/>
        </w:rPr>
        <w:t>計算。</w:t>
      </w:r>
    </w:p>
    <w:p w:rsidR="00E471E9" w:rsidRPr="00F67DDA" w:rsidRDefault="00E471E9" w:rsidP="00E471E9">
      <w:pPr>
        <w:adjustRightInd w:val="0"/>
        <w:snapToGrid w:val="0"/>
        <w:spacing w:line="360" w:lineRule="auto"/>
        <w:jc w:val="both"/>
        <w:rPr>
          <w:spacing w:val="30"/>
          <w:sz w:val="22"/>
        </w:rPr>
      </w:pPr>
    </w:p>
    <w:p w:rsidR="00E471E9" w:rsidRPr="00A908F1" w:rsidRDefault="007C0780" w:rsidP="00E471E9">
      <w:pPr>
        <w:adjustRightInd w:val="0"/>
        <w:snapToGrid w:val="0"/>
        <w:spacing w:line="360" w:lineRule="auto"/>
        <w:jc w:val="both"/>
        <w:rPr>
          <w:spacing w:val="30"/>
          <w:sz w:val="22"/>
        </w:rPr>
      </w:pPr>
      <w:r>
        <w:rPr>
          <w:rFonts w:hint="eastAsia"/>
          <w:spacing w:val="30"/>
          <w:sz w:val="22"/>
        </w:rPr>
        <w:t xml:space="preserve">　　</w:t>
      </w:r>
      <w:r w:rsidR="00E471E9" w:rsidRPr="00A908F1">
        <w:rPr>
          <w:rFonts w:hint="eastAsia"/>
          <w:spacing w:val="30"/>
          <w:sz w:val="22"/>
        </w:rPr>
        <w:t>至於</w:t>
      </w:r>
      <w:r w:rsidR="00E471E9" w:rsidRPr="00F67DDA">
        <w:rPr>
          <w:rFonts w:hint="eastAsia"/>
          <w:spacing w:val="30"/>
          <w:sz w:val="22"/>
        </w:rPr>
        <w:t>按損害賠償收費協議，則指根據</w:t>
      </w:r>
      <w:r w:rsidR="00E471E9" w:rsidRPr="00F67DDA">
        <w:rPr>
          <w:spacing w:val="30"/>
          <w:sz w:val="22"/>
        </w:rPr>
        <w:t>律師與當事人訂立</w:t>
      </w:r>
      <w:r w:rsidR="00E471E9" w:rsidRPr="00F67DDA">
        <w:rPr>
          <w:rFonts w:hint="eastAsia"/>
          <w:spacing w:val="30"/>
          <w:sz w:val="22"/>
        </w:rPr>
        <w:t>的</w:t>
      </w:r>
      <w:r w:rsidR="00E471E9" w:rsidRPr="00F67DDA">
        <w:rPr>
          <w:spacing w:val="30"/>
          <w:sz w:val="22"/>
        </w:rPr>
        <w:t>協議，律師</w:t>
      </w:r>
      <w:r w:rsidR="00E471E9" w:rsidRPr="00F67DDA">
        <w:rPr>
          <w:rFonts w:hint="eastAsia"/>
          <w:spacing w:val="30"/>
          <w:sz w:val="22"/>
        </w:rPr>
        <w:t>只在</w:t>
      </w:r>
      <w:r w:rsidR="00E471E9" w:rsidRPr="00F67DDA">
        <w:rPr>
          <w:spacing w:val="30"/>
          <w:sz w:val="22"/>
        </w:rPr>
        <w:t>當事人</w:t>
      </w:r>
      <w:r w:rsidR="00E471E9" w:rsidRPr="00F67DDA">
        <w:rPr>
          <w:rFonts w:hint="eastAsia"/>
          <w:spacing w:val="30"/>
          <w:sz w:val="22"/>
        </w:rPr>
        <w:t>在有關事宜中取得</w:t>
      </w:r>
      <w:r w:rsidR="006D7E6A" w:rsidRPr="00F67DDA">
        <w:rPr>
          <w:rFonts w:hint="eastAsia"/>
          <w:spacing w:val="30"/>
          <w:sz w:val="22"/>
        </w:rPr>
        <w:t>「</w:t>
      </w:r>
      <w:r w:rsidR="00E471E9" w:rsidRPr="00F67DDA">
        <w:rPr>
          <w:rFonts w:hint="eastAsia"/>
          <w:spacing w:val="30"/>
          <w:sz w:val="22"/>
        </w:rPr>
        <w:t>財務利益</w:t>
      </w:r>
      <w:r w:rsidR="006D7E6A" w:rsidRPr="00F67DDA">
        <w:rPr>
          <w:rFonts w:hint="eastAsia"/>
          <w:spacing w:val="30"/>
          <w:sz w:val="22"/>
        </w:rPr>
        <w:t>」</w:t>
      </w:r>
      <w:r w:rsidR="00E471E9" w:rsidRPr="00F67DDA">
        <w:rPr>
          <w:rFonts w:hint="eastAsia"/>
          <w:spacing w:val="30"/>
          <w:sz w:val="22"/>
        </w:rPr>
        <w:t>的情況下</w:t>
      </w:r>
      <w:r w:rsidR="00E471E9" w:rsidRPr="00F67DDA">
        <w:rPr>
          <w:spacing w:val="30"/>
          <w:sz w:val="22"/>
        </w:rPr>
        <w:t>方</w:t>
      </w:r>
      <w:r w:rsidR="00E471E9" w:rsidRPr="00F67DDA">
        <w:rPr>
          <w:rFonts w:hint="eastAsia"/>
          <w:spacing w:val="30"/>
          <w:sz w:val="22"/>
        </w:rPr>
        <w:t>可</w:t>
      </w:r>
      <w:r w:rsidR="00E471E9" w:rsidRPr="00F67DDA">
        <w:rPr>
          <w:spacing w:val="30"/>
          <w:sz w:val="22"/>
        </w:rPr>
        <w:t>收取費用</w:t>
      </w:r>
      <w:r w:rsidR="00E471E9" w:rsidRPr="00F67DDA">
        <w:rPr>
          <w:rFonts w:hint="eastAsia"/>
          <w:spacing w:val="30"/>
          <w:sz w:val="22"/>
        </w:rPr>
        <w:t>，</w:t>
      </w:r>
      <w:r w:rsidR="00E471E9" w:rsidRPr="00F67DDA">
        <w:rPr>
          <w:spacing w:val="30"/>
          <w:sz w:val="22"/>
        </w:rPr>
        <w:t>而該費用</w:t>
      </w:r>
      <w:r w:rsidR="00E471E9" w:rsidRPr="00F67DDA">
        <w:rPr>
          <w:rFonts w:hint="eastAsia"/>
          <w:spacing w:val="30"/>
          <w:sz w:val="22"/>
        </w:rPr>
        <w:t>（稱為</w:t>
      </w:r>
      <w:r w:rsidR="00E471E9" w:rsidRPr="00F67DDA">
        <w:rPr>
          <w:rFonts w:hint="eastAsia"/>
          <w:spacing w:val="30"/>
          <w:sz w:val="22"/>
        </w:rPr>
        <w:t>DBA</w:t>
      </w:r>
      <w:r w:rsidR="00E471E9" w:rsidRPr="00F67DDA">
        <w:rPr>
          <w:spacing w:val="30"/>
          <w:sz w:val="22"/>
        </w:rPr>
        <w:t>費用</w:t>
      </w:r>
      <w:r w:rsidR="00E471E9" w:rsidRPr="00F67DDA">
        <w:rPr>
          <w:rFonts w:hint="eastAsia"/>
          <w:spacing w:val="30"/>
          <w:sz w:val="22"/>
        </w:rPr>
        <w:t>）</w:t>
      </w:r>
      <w:r w:rsidR="00E471E9" w:rsidRPr="00F67DDA">
        <w:rPr>
          <w:spacing w:val="30"/>
          <w:sz w:val="22"/>
        </w:rPr>
        <w:t>是參照</w:t>
      </w:r>
      <w:r w:rsidR="006D7E6A" w:rsidRPr="00F67DDA">
        <w:rPr>
          <w:rFonts w:hint="eastAsia"/>
          <w:spacing w:val="30"/>
          <w:sz w:val="22"/>
        </w:rPr>
        <w:t>該</w:t>
      </w:r>
      <w:r w:rsidR="00E471E9" w:rsidRPr="00F67DDA">
        <w:rPr>
          <w:rFonts w:hint="eastAsia"/>
          <w:spacing w:val="30"/>
          <w:sz w:val="22"/>
        </w:rPr>
        <w:t>財務利益而</w:t>
      </w:r>
      <w:r w:rsidR="00E471E9" w:rsidRPr="00F67DDA">
        <w:rPr>
          <w:spacing w:val="30"/>
          <w:sz w:val="22"/>
        </w:rPr>
        <w:t>計算的，</w:t>
      </w:r>
      <w:r w:rsidR="00E471E9" w:rsidRPr="00F67DDA">
        <w:rPr>
          <w:rFonts w:hint="eastAsia"/>
          <w:spacing w:val="30"/>
          <w:sz w:val="22"/>
        </w:rPr>
        <w:t>即</w:t>
      </w:r>
      <w:r w:rsidR="00E471E9" w:rsidRPr="00F67DDA">
        <w:rPr>
          <w:spacing w:val="30"/>
          <w:sz w:val="22"/>
        </w:rPr>
        <w:t>按</w:t>
      </w:r>
      <w:r w:rsidR="006D7E6A" w:rsidRPr="00080D30">
        <w:rPr>
          <w:rFonts w:hint="eastAsia"/>
          <w:spacing w:val="30"/>
          <w:sz w:val="22"/>
        </w:rPr>
        <w:t>當事人在仲裁程序或通過仲裁程序所取得的金錢判給或和解協議</w:t>
      </w:r>
      <w:r w:rsidR="00E471E9" w:rsidRPr="00F67DDA">
        <w:rPr>
          <w:rFonts w:hint="eastAsia"/>
          <w:spacing w:val="30"/>
          <w:sz w:val="22"/>
        </w:rPr>
        <w:t>的</w:t>
      </w:r>
      <w:r w:rsidR="00E471E9" w:rsidRPr="00F67DDA">
        <w:rPr>
          <w:spacing w:val="30"/>
          <w:sz w:val="22"/>
        </w:rPr>
        <w:t>某個百分比</w:t>
      </w:r>
      <w:r w:rsidR="00E471E9" w:rsidRPr="00F67DDA">
        <w:rPr>
          <w:rFonts w:hint="eastAsia"/>
          <w:spacing w:val="30"/>
          <w:sz w:val="22"/>
        </w:rPr>
        <w:t>計算</w:t>
      </w:r>
      <w:r w:rsidR="00E471E9" w:rsidRPr="00F67DDA">
        <w:rPr>
          <w:spacing w:val="30"/>
          <w:sz w:val="22"/>
        </w:rPr>
        <w:t>。</w:t>
      </w:r>
    </w:p>
    <w:p w:rsidR="00E471E9" w:rsidRPr="00F67DDA" w:rsidRDefault="00E471E9" w:rsidP="00E471E9">
      <w:pPr>
        <w:adjustRightInd w:val="0"/>
        <w:snapToGrid w:val="0"/>
        <w:spacing w:line="360" w:lineRule="auto"/>
        <w:jc w:val="both"/>
        <w:rPr>
          <w:spacing w:val="30"/>
          <w:sz w:val="22"/>
        </w:rPr>
      </w:pPr>
    </w:p>
    <w:p w:rsidR="00E471E9" w:rsidRPr="00F67DDA" w:rsidRDefault="007C0780" w:rsidP="00E471E9">
      <w:pPr>
        <w:adjustRightInd w:val="0"/>
        <w:snapToGrid w:val="0"/>
        <w:spacing w:line="360" w:lineRule="auto"/>
        <w:jc w:val="both"/>
        <w:rPr>
          <w:spacing w:val="30"/>
          <w:sz w:val="22"/>
        </w:rPr>
      </w:pPr>
      <w:r>
        <w:rPr>
          <w:rFonts w:hint="eastAsia"/>
          <w:spacing w:val="30"/>
          <w:sz w:val="22"/>
        </w:rPr>
        <w:t xml:space="preserve">　　</w:t>
      </w:r>
      <w:r w:rsidR="00E471E9" w:rsidRPr="00F67DDA">
        <w:rPr>
          <w:spacing w:val="30"/>
          <w:sz w:val="22"/>
        </w:rPr>
        <w:t>混合式按</w:t>
      </w:r>
      <w:r w:rsidR="00E471E9" w:rsidRPr="00F67DDA">
        <w:rPr>
          <w:rFonts w:hint="eastAsia"/>
          <w:spacing w:val="30"/>
          <w:sz w:val="22"/>
        </w:rPr>
        <w:t>損害賠償收費協議是指根據</w:t>
      </w:r>
      <w:r w:rsidR="00E471E9" w:rsidRPr="00F67DDA">
        <w:rPr>
          <w:spacing w:val="30"/>
          <w:sz w:val="22"/>
        </w:rPr>
        <w:t>律師與當事人訂立</w:t>
      </w:r>
      <w:r w:rsidR="00E471E9" w:rsidRPr="00F67DDA">
        <w:rPr>
          <w:rFonts w:hint="eastAsia"/>
          <w:spacing w:val="30"/>
          <w:sz w:val="22"/>
        </w:rPr>
        <w:t>的</w:t>
      </w:r>
      <w:r w:rsidR="00E471E9" w:rsidRPr="00F67DDA">
        <w:rPr>
          <w:spacing w:val="30"/>
          <w:sz w:val="22"/>
        </w:rPr>
        <w:t>協議，律師與當事人</w:t>
      </w:r>
      <w:r w:rsidR="00E471E9" w:rsidRPr="00F67DDA">
        <w:rPr>
          <w:rFonts w:hint="eastAsia"/>
          <w:spacing w:val="30"/>
          <w:sz w:val="22"/>
        </w:rPr>
        <w:t>約定律師會就期間所提供的法律服務收取一定費用（通</w:t>
      </w:r>
      <w:r w:rsidR="00E471E9" w:rsidRPr="00F67DDA">
        <w:rPr>
          <w:rFonts w:hint="eastAsia"/>
          <w:spacing w:val="30"/>
          <w:sz w:val="22"/>
        </w:rPr>
        <w:lastRenderedPageBreak/>
        <w:t>常是經折扣費用），並只在</w:t>
      </w:r>
      <w:r w:rsidR="00E471E9" w:rsidRPr="00F67DDA">
        <w:rPr>
          <w:spacing w:val="30"/>
          <w:sz w:val="22"/>
        </w:rPr>
        <w:t>當事人</w:t>
      </w:r>
      <w:r w:rsidR="00E471E9" w:rsidRPr="00F67DDA">
        <w:rPr>
          <w:rFonts w:hint="eastAsia"/>
          <w:spacing w:val="30"/>
          <w:sz w:val="22"/>
        </w:rPr>
        <w:t>在有關事宜中取得財務利益的情況下</w:t>
      </w:r>
      <w:r w:rsidR="00E471E9" w:rsidRPr="00F67DDA">
        <w:rPr>
          <w:spacing w:val="30"/>
          <w:sz w:val="22"/>
        </w:rPr>
        <w:t>，方</w:t>
      </w:r>
      <w:r w:rsidR="00E471E9" w:rsidRPr="00F67DDA">
        <w:rPr>
          <w:rFonts w:hint="eastAsia"/>
          <w:spacing w:val="30"/>
          <w:sz w:val="22"/>
        </w:rPr>
        <w:t>可收取</w:t>
      </w:r>
      <w:r w:rsidR="00E471E9" w:rsidRPr="00F67DDA">
        <w:rPr>
          <w:rFonts w:hint="eastAsia"/>
          <w:spacing w:val="30"/>
          <w:sz w:val="22"/>
        </w:rPr>
        <w:t>DBA</w:t>
      </w:r>
      <w:r w:rsidR="00E471E9" w:rsidRPr="00F67DDA">
        <w:rPr>
          <w:spacing w:val="30"/>
          <w:sz w:val="22"/>
        </w:rPr>
        <w:t>費用</w:t>
      </w:r>
      <w:r w:rsidR="00E471E9" w:rsidRPr="00F67DDA">
        <w:rPr>
          <w:rFonts w:hint="eastAsia"/>
          <w:spacing w:val="30"/>
          <w:sz w:val="22"/>
        </w:rPr>
        <w:t>。</w:t>
      </w:r>
    </w:p>
    <w:p w:rsidR="00E471E9" w:rsidRPr="00F67DDA" w:rsidRDefault="00E471E9" w:rsidP="00E471E9">
      <w:pPr>
        <w:adjustRightInd w:val="0"/>
        <w:snapToGrid w:val="0"/>
        <w:spacing w:line="360" w:lineRule="auto"/>
        <w:jc w:val="both"/>
        <w:rPr>
          <w:spacing w:val="30"/>
          <w:sz w:val="22"/>
        </w:rPr>
      </w:pPr>
    </w:p>
    <w:p w:rsidR="00E471E9" w:rsidRPr="00F67DDA" w:rsidRDefault="007C0780" w:rsidP="00E471E9">
      <w:pPr>
        <w:adjustRightInd w:val="0"/>
        <w:snapToGrid w:val="0"/>
        <w:spacing w:line="360" w:lineRule="auto"/>
        <w:jc w:val="both"/>
        <w:rPr>
          <w:spacing w:val="30"/>
          <w:sz w:val="22"/>
        </w:rPr>
      </w:pPr>
      <w:r>
        <w:rPr>
          <w:rFonts w:hint="eastAsia"/>
          <w:spacing w:val="30"/>
          <w:sz w:val="22"/>
        </w:rPr>
        <w:t xml:space="preserve">　　</w:t>
      </w:r>
      <w:r w:rsidR="00E471E9" w:rsidRPr="00F67DDA">
        <w:rPr>
          <w:rFonts w:hint="eastAsia"/>
          <w:spacing w:val="30"/>
          <w:sz w:val="22"/>
        </w:rPr>
        <w:t>現時，香港禁止律師為訴訟和仲裁的法律程序訂立</w:t>
      </w:r>
      <w:r w:rsidR="00E471E9" w:rsidRPr="00F67DDA">
        <w:rPr>
          <w:spacing w:val="30"/>
          <w:sz w:val="22"/>
        </w:rPr>
        <w:t>ORFS</w:t>
      </w:r>
      <w:r w:rsidR="00E471E9" w:rsidRPr="00F67DDA">
        <w:rPr>
          <w:rFonts w:hint="eastAsia"/>
          <w:spacing w:val="30"/>
          <w:sz w:val="22"/>
        </w:rPr>
        <w:t>。然而，除新加坡外</w:t>
      </w:r>
      <w:r w:rsidR="00E471E9" w:rsidRPr="00F67DDA">
        <w:rPr>
          <w:spacing w:val="30"/>
          <w:sz w:val="22"/>
        </w:rPr>
        <w:t>（當地現</w:t>
      </w:r>
      <w:r w:rsidR="00E471E9" w:rsidRPr="00F67DDA">
        <w:rPr>
          <w:rFonts w:hint="eastAsia"/>
          <w:spacing w:val="30"/>
          <w:sz w:val="22"/>
        </w:rPr>
        <w:t>正建議</w:t>
      </w:r>
      <w:r w:rsidR="00E471E9" w:rsidRPr="00F67DDA">
        <w:rPr>
          <w:spacing w:val="30"/>
          <w:sz w:val="22"/>
        </w:rPr>
        <w:t>設立引入</w:t>
      </w:r>
      <w:r w:rsidR="00E471E9" w:rsidRPr="00F67DDA">
        <w:rPr>
          <w:rFonts w:hint="eastAsia"/>
          <w:spacing w:val="30"/>
          <w:sz w:val="22"/>
        </w:rPr>
        <w:t>按條件收費協議</w:t>
      </w:r>
      <w:r w:rsidR="00E471E9" w:rsidRPr="00F67DDA">
        <w:rPr>
          <w:spacing w:val="30"/>
          <w:sz w:val="22"/>
        </w:rPr>
        <w:t>的</w:t>
      </w:r>
      <w:r w:rsidR="00E471E9" w:rsidRPr="00F67DDA">
        <w:rPr>
          <w:rFonts w:hint="eastAsia"/>
          <w:spacing w:val="30"/>
          <w:sz w:val="22"/>
        </w:rPr>
        <w:t>框</w:t>
      </w:r>
      <w:r w:rsidR="00E471E9" w:rsidRPr="00F67DDA">
        <w:rPr>
          <w:spacing w:val="30"/>
          <w:sz w:val="22"/>
        </w:rPr>
        <w:t>架</w:t>
      </w:r>
      <w:r w:rsidR="00E471E9" w:rsidRPr="00F67DDA">
        <w:rPr>
          <w:rFonts w:hint="eastAsia"/>
          <w:spacing w:val="30"/>
          <w:sz w:val="22"/>
        </w:rPr>
        <w:t>，但尚未實施</w:t>
      </w:r>
      <w:r w:rsidR="00E471E9" w:rsidRPr="00F67DDA">
        <w:rPr>
          <w:spacing w:val="30"/>
          <w:sz w:val="22"/>
        </w:rPr>
        <w:t>）</w:t>
      </w:r>
      <w:r w:rsidR="00E471E9" w:rsidRPr="00F67DDA">
        <w:rPr>
          <w:rFonts w:hint="eastAsia"/>
          <w:spacing w:val="30"/>
          <w:sz w:val="22"/>
        </w:rPr>
        <w:t>，所有主要仲裁地均准許某種形式的</w:t>
      </w:r>
      <w:r w:rsidR="00E471E9" w:rsidRPr="00F67DDA">
        <w:rPr>
          <w:spacing w:val="30"/>
          <w:sz w:val="22"/>
        </w:rPr>
        <w:t>ORFS</w:t>
      </w:r>
      <w:r w:rsidR="00E471E9" w:rsidRPr="00F67DDA">
        <w:rPr>
          <w:rFonts w:hint="eastAsia"/>
          <w:spacing w:val="30"/>
          <w:sz w:val="22"/>
        </w:rPr>
        <w:t>。為了使香港能鞏固其主要仲裁中心的地位，報告書建議應撤銷禁止律師在仲裁中採用</w:t>
      </w:r>
      <w:r w:rsidR="00E471E9" w:rsidRPr="00F67DDA">
        <w:rPr>
          <w:rFonts w:hint="eastAsia"/>
          <w:spacing w:val="30"/>
          <w:sz w:val="22"/>
        </w:rPr>
        <w:t>ORFS</w:t>
      </w:r>
      <w:r w:rsidR="00E471E9" w:rsidRPr="00F67DDA">
        <w:rPr>
          <w:rFonts w:hint="eastAsia"/>
          <w:spacing w:val="30"/>
          <w:sz w:val="22"/>
        </w:rPr>
        <w:t>的相關規定，容許</w:t>
      </w:r>
      <w:r w:rsidR="006D7E6A" w:rsidRPr="00F67DDA">
        <w:rPr>
          <w:rFonts w:hint="eastAsia"/>
          <w:spacing w:val="30"/>
          <w:sz w:val="22"/>
        </w:rPr>
        <w:t>香港的仲裁使用者及其</w:t>
      </w:r>
      <w:r w:rsidR="00E471E9" w:rsidRPr="00F67DDA">
        <w:rPr>
          <w:rFonts w:hint="eastAsia"/>
          <w:spacing w:val="30"/>
          <w:sz w:val="22"/>
        </w:rPr>
        <w:t>律師可以選擇為仲裁訂立</w:t>
      </w:r>
      <w:r w:rsidR="00E471E9" w:rsidRPr="00F67DDA">
        <w:rPr>
          <w:rFonts w:hint="eastAsia"/>
          <w:spacing w:val="30"/>
          <w:sz w:val="22"/>
        </w:rPr>
        <w:t>ORFS</w:t>
      </w:r>
      <w:r w:rsidR="00E471E9" w:rsidRPr="00F67DDA">
        <w:rPr>
          <w:rFonts w:hint="eastAsia"/>
          <w:spacing w:val="30"/>
          <w:sz w:val="22"/>
        </w:rPr>
        <w:t>。</w:t>
      </w:r>
      <w:r w:rsidR="006D7E6A" w:rsidRPr="00F67DDA">
        <w:rPr>
          <w:rFonts w:hint="eastAsia"/>
          <w:spacing w:val="30"/>
          <w:sz w:val="22"/>
        </w:rPr>
        <w:t>有關建議僅限於仲裁和相關的法院程序，例如向香港法院申請撤銷或強制執行仲裁裁決。建議的改革並不擴及任何其他香港的法院程序。</w:t>
      </w:r>
    </w:p>
    <w:p w:rsidR="00E471E9" w:rsidRPr="00F67DDA" w:rsidRDefault="00E471E9" w:rsidP="00E471E9">
      <w:pPr>
        <w:adjustRightInd w:val="0"/>
        <w:snapToGrid w:val="0"/>
        <w:spacing w:line="360" w:lineRule="auto"/>
        <w:jc w:val="both"/>
        <w:rPr>
          <w:spacing w:val="30"/>
          <w:sz w:val="22"/>
        </w:rPr>
      </w:pPr>
    </w:p>
    <w:p w:rsidR="00E471E9" w:rsidRPr="00F67DDA" w:rsidRDefault="007C0780" w:rsidP="00E471E9">
      <w:pPr>
        <w:adjustRightInd w:val="0"/>
        <w:snapToGrid w:val="0"/>
        <w:spacing w:line="360" w:lineRule="auto"/>
        <w:jc w:val="both"/>
        <w:rPr>
          <w:spacing w:val="30"/>
          <w:sz w:val="22"/>
        </w:rPr>
      </w:pPr>
      <w:r>
        <w:rPr>
          <w:rFonts w:hint="eastAsia"/>
          <w:spacing w:val="30"/>
          <w:sz w:val="22"/>
        </w:rPr>
        <w:t xml:space="preserve">　　</w:t>
      </w:r>
      <w:r w:rsidR="00E471E9" w:rsidRPr="00F67DDA">
        <w:rPr>
          <w:rFonts w:hint="eastAsia"/>
          <w:spacing w:val="30"/>
          <w:sz w:val="22"/>
        </w:rPr>
        <w:t>張清明表示建議改革有必要進行，以維持及提高香港作為主要仲裁中心的競爭力，擴大尋求公義的渠道，還有重要一點，就是因應當事人</w:t>
      </w:r>
      <w:r w:rsidR="006D7E6A" w:rsidRPr="00F67DDA">
        <w:rPr>
          <w:rFonts w:hint="eastAsia"/>
          <w:spacing w:val="30"/>
          <w:sz w:val="22"/>
        </w:rPr>
        <w:t>日益殷切</w:t>
      </w:r>
      <w:r w:rsidR="00E471E9" w:rsidRPr="00F67DDA">
        <w:rPr>
          <w:rFonts w:hint="eastAsia"/>
          <w:spacing w:val="30"/>
          <w:sz w:val="22"/>
        </w:rPr>
        <w:t>的需求</w:t>
      </w:r>
      <w:r w:rsidR="006D7E6A" w:rsidRPr="00F67DDA">
        <w:rPr>
          <w:rFonts w:hint="eastAsia"/>
          <w:spacing w:val="30"/>
          <w:sz w:val="22"/>
        </w:rPr>
        <w:t>而</w:t>
      </w:r>
      <w:r w:rsidR="00E471E9" w:rsidRPr="00F67DDA">
        <w:rPr>
          <w:rFonts w:hint="eastAsia"/>
          <w:spacing w:val="30"/>
          <w:sz w:val="22"/>
        </w:rPr>
        <w:t>提供釐定</w:t>
      </w:r>
      <w:r w:rsidR="006D7E6A" w:rsidRPr="00F67DDA">
        <w:rPr>
          <w:rFonts w:hint="eastAsia"/>
          <w:spacing w:val="30"/>
          <w:sz w:val="22"/>
        </w:rPr>
        <w:t>價格和</w:t>
      </w:r>
      <w:r w:rsidR="00E471E9" w:rsidRPr="00F67DDA">
        <w:rPr>
          <w:rFonts w:hint="eastAsia"/>
          <w:spacing w:val="30"/>
          <w:sz w:val="22"/>
        </w:rPr>
        <w:t>收費</w:t>
      </w:r>
      <w:r w:rsidR="006D7E6A" w:rsidRPr="00F67DDA">
        <w:rPr>
          <w:rFonts w:hint="eastAsia"/>
          <w:spacing w:val="30"/>
          <w:sz w:val="22"/>
        </w:rPr>
        <w:t>形式</w:t>
      </w:r>
      <w:r w:rsidR="00E471E9" w:rsidRPr="00F67DDA">
        <w:rPr>
          <w:rFonts w:hint="eastAsia"/>
          <w:spacing w:val="30"/>
          <w:sz w:val="22"/>
        </w:rPr>
        <w:t>的彈性。香港要維持主要仲裁樞紐的地位，就必須能夠提供與競爭對手相同的服務，而其中重要一環，便是在仲裁工作的法律收費</w:t>
      </w:r>
      <w:r w:rsidR="006D7E6A" w:rsidRPr="00F67DDA">
        <w:rPr>
          <w:rFonts w:hint="eastAsia"/>
          <w:spacing w:val="30"/>
          <w:sz w:val="22"/>
        </w:rPr>
        <w:t>和該等收費的結構安排</w:t>
      </w:r>
      <w:r w:rsidR="00E471E9" w:rsidRPr="00F67DDA">
        <w:rPr>
          <w:rFonts w:hint="eastAsia"/>
          <w:spacing w:val="30"/>
          <w:sz w:val="22"/>
        </w:rPr>
        <w:t>上，能夠與其他司法管轄區競爭。</w:t>
      </w:r>
    </w:p>
    <w:p w:rsidR="00E471E9" w:rsidRPr="00F67DDA" w:rsidRDefault="00E471E9" w:rsidP="00E471E9">
      <w:pPr>
        <w:adjustRightInd w:val="0"/>
        <w:snapToGrid w:val="0"/>
        <w:spacing w:line="360" w:lineRule="auto"/>
        <w:jc w:val="both"/>
        <w:rPr>
          <w:spacing w:val="30"/>
          <w:sz w:val="22"/>
        </w:rPr>
      </w:pPr>
    </w:p>
    <w:p w:rsidR="00E471E9" w:rsidRPr="00F67DDA" w:rsidRDefault="007C0780" w:rsidP="00E471E9">
      <w:pPr>
        <w:adjustRightInd w:val="0"/>
        <w:snapToGrid w:val="0"/>
        <w:spacing w:line="360" w:lineRule="auto"/>
        <w:jc w:val="both"/>
        <w:rPr>
          <w:spacing w:val="30"/>
          <w:sz w:val="22"/>
        </w:rPr>
      </w:pPr>
      <w:r>
        <w:rPr>
          <w:rFonts w:hint="eastAsia"/>
          <w:spacing w:val="30"/>
          <w:sz w:val="22"/>
        </w:rPr>
        <w:t xml:space="preserve">　　</w:t>
      </w:r>
      <w:r w:rsidR="00E471E9" w:rsidRPr="00F67DDA">
        <w:rPr>
          <w:rFonts w:hint="eastAsia"/>
          <w:spacing w:val="30"/>
          <w:sz w:val="22"/>
        </w:rPr>
        <w:t>報告書又建議，就按條件收費</w:t>
      </w:r>
      <w:r w:rsidR="00E471E9" w:rsidRPr="00F67DDA">
        <w:rPr>
          <w:spacing w:val="30"/>
          <w:sz w:val="22"/>
        </w:rPr>
        <w:t>協</w:t>
      </w:r>
      <w:r w:rsidR="00E471E9" w:rsidRPr="00F67DDA">
        <w:rPr>
          <w:rFonts w:hint="eastAsia"/>
          <w:spacing w:val="30"/>
          <w:sz w:val="22"/>
        </w:rPr>
        <w:t>議</w:t>
      </w:r>
      <w:r w:rsidR="00E471E9" w:rsidRPr="00F67DDA">
        <w:rPr>
          <w:spacing w:val="30"/>
          <w:sz w:val="22"/>
        </w:rPr>
        <w:t>機制</w:t>
      </w:r>
      <w:r w:rsidR="00E471E9" w:rsidRPr="00F67DDA">
        <w:rPr>
          <w:rFonts w:hint="eastAsia"/>
          <w:spacing w:val="30"/>
          <w:sz w:val="22"/>
        </w:rPr>
        <w:t>而言，訂定成功收費應參照假若沒有就仲裁訂立</w:t>
      </w:r>
      <w:r w:rsidR="00E471E9" w:rsidRPr="00F67DDA">
        <w:rPr>
          <w:rFonts w:hint="eastAsia"/>
          <w:spacing w:val="30"/>
          <w:sz w:val="22"/>
        </w:rPr>
        <w:t>ORFS</w:t>
      </w:r>
      <w:r w:rsidR="00E471E9" w:rsidRPr="00F67DDA">
        <w:rPr>
          <w:rFonts w:hint="eastAsia"/>
          <w:spacing w:val="30"/>
          <w:sz w:val="22"/>
        </w:rPr>
        <w:t>的話，律師本會向當事人收取的費用（稱為「基準」訟費），而成功收費的上限應定於該等訟費的</w:t>
      </w:r>
      <w:r w:rsidR="00E471E9" w:rsidRPr="00F67DDA">
        <w:rPr>
          <w:spacing w:val="30"/>
          <w:sz w:val="22"/>
        </w:rPr>
        <w:t>100%</w:t>
      </w:r>
      <w:r w:rsidR="00E471E9" w:rsidRPr="00F67DDA">
        <w:rPr>
          <w:rFonts w:hint="eastAsia"/>
          <w:spacing w:val="30"/>
          <w:sz w:val="22"/>
        </w:rPr>
        <w:t>。</w:t>
      </w:r>
      <w:r w:rsidR="006D7E6A" w:rsidRPr="00F67DDA">
        <w:rPr>
          <w:rFonts w:hint="eastAsia"/>
          <w:spacing w:val="30"/>
          <w:sz w:val="22"/>
        </w:rPr>
        <w:t>這與英格蘭及威爾斯的情形相符，英格蘭及威爾斯自二十世紀九十年代起已准許按條件收費協議。</w:t>
      </w:r>
      <w:r w:rsidR="00E471E9" w:rsidRPr="00F67DDA">
        <w:rPr>
          <w:rFonts w:hint="eastAsia"/>
          <w:spacing w:val="30"/>
          <w:sz w:val="22"/>
        </w:rPr>
        <w:t>在上述情況下，大律師亦應受相同的</w:t>
      </w:r>
      <w:r w:rsidR="00E471E9" w:rsidRPr="00F67DDA">
        <w:rPr>
          <w:rFonts w:hint="eastAsia"/>
          <w:spacing w:val="30"/>
          <w:sz w:val="22"/>
        </w:rPr>
        <w:t>100%</w:t>
      </w:r>
      <w:r w:rsidR="00E471E9" w:rsidRPr="00F67DDA">
        <w:rPr>
          <w:rFonts w:hint="eastAsia"/>
          <w:spacing w:val="30"/>
          <w:sz w:val="22"/>
        </w:rPr>
        <w:t>上限所</w:t>
      </w:r>
      <w:proofErr w:type="gramStart"/>
      <w:r w:rsidR="00E471E9" w:rsidRPr="00F67DDA">
        <w:rPr>
          <w:rFonts w:hint="eastAsia"/>
          <w:spacing w:val="30"/>
          <w:sz w:val="22"/>
        </w:rPr>
        <w:t>規</w:t>
      </w:r>
      <w:proofErr w:type="gramEnd"/>
      <w:r w:rsidR="00E471E9" w:rsidRPr="00F67DDA">
        <w:rPr>
          <w:rFonts w:hint="eastAsia"/>
          <w:spacing w:val="30"/>
          <w:sz w:val="22"/>
        </w:rPr>
        <w:t>限。</w:t>
      </w:r>
    </w:p>
    <w:p w:rsidR="00E471E9" w:rsidRPr="00F67DDA" w:rsidRDefault="00E471E9" w:rsidP="00E471E9">
      <w:pPr>
        <w:adjustRightInd w:val="0"/>
        <w:snapToGrid w:val="0"/>
        <w:spacing w:line="360" w:lineRule="auto"/>
        <w:jc w:val="both"/>
        <w:rPr>
          <w:spacing w:val="30"/>
          <w:sz w:val="22"/>
        </w:rPr>
      </w:pPr>
    </w:p>
    <w:p w:rsidR="00E471E9" w:rsidRPr="00F67DDA" w:rsidRDefault="007C0780" w:rsidP="00E471E9">
      <w:pPr>
        <w:adjustRightInd w:val="0"/>
        <w:snapToGrid w:val="0"/>
        <w:spacing w:line="360" w:lineRule="auto"/>
        <w:jc w:val="both"/>
        <w:rPr>
          <w:spacing w:val="30"/>
          <w:sz w:val="22"/>
        </w:rPr>
      </w:pPr>
      <w:r>
        <w:rPr>
          <w:rFonts w:hint="eastAsia"/>
          <w:spacing w:val="30"/>
          <w:sz w:val="22"/>
        </w:rPr>
        <w:t xml:space="preserve">　　</w:t>
      </w:r>
      <w:r w:rsidR="00E471E9" w:rsidRPr="00F67DDA">
        <w:rPr>
          <w:rFonts w:hint="eastAsia"/>
          <w:spacing w:val="30"/>
          <w:sz w:val="22"/>
        </w:rPr>
        <w:t>就按損害賠償收費協議機制和</w:t>
      </w:r>
      <w:r w:rsidR="00E471E9" w:rsidRPr="00F67DDA">
        <w:rPr>
          <w:spacing w:val="30"/>
          <w:sz w:val="22"/>
        </w:rPr>
        <w:t>混合式按</w:t>
      </w:r>
      <w:r w:rsidR="00E471E9" w:rsidRPr="00F67DDA">
        <w:rPr>
          <w:rFonts w:hint="eastAsia"/>
          <w:spacing w:val="30"/>
          <w:sz w:val="22"/>
        </w:rPr>
        <w:t>損害賠償收費協議機制而言，報告書建議，當事人但凡取得</w:t>
      </w:r>
      <w:r w:rsidR="006D7E6A" w:rsidRPr="00F67DDA">
        <w:rPr>
          <w:rFonts w:hint="eastAsia"/>
          <w:spacing w:val="30"/>
          <w:sz w:val="22"/>
        </w:rPr>
        <w:t>廣泛定義的「</w:t>
      </w:r>
      <w:r w:rsidR="00E471E9" w:rsidRPr="00F67DDA">
        <w:rPr>
          <w:rFonts w:hint="eastAsia"/>
          <w:spacing w:val="30"/>
          <w:sz w:val="22"/>
        </w:rPr>
        <w:t>財務利益</w:t>
      </w:r>
      <w:r w:rsidR="006D7E6A" w:rsidRPr="00F67DDA">
        <w:rPr>
          <w:rFonts w:hint="eastAsia"/>
          <w:spacing w:val="30"/>
          <w:sz w:val="22"/>
        </w:rPr>
        <w:t>」</w:t>
      </w:r>
      <w:r w:rsidR="00E471E9" w:rsidRPr="00F67DDA">
        <w:rPr>
          <w:rFonts w:hint="eastAsia"/>
          <w:spacing w:val="30"/>
          <w:sz w:val="22"/>
        </w:rPr>
        <w:t>，便須以該財務利益的價值為基礎，支付律師與當事人所議定的</w:t>
      </w:r>
      <w:r w:rsidR="00E471E9" w:rsidRPr="00F67DDA">
        <w:rPr>
          <w:rFonts w:hint="eastAsia"/>
          <w:spacing w:val="30"/>
          <w:sz w:val="22"/>
        </w:rPr>
        <w:t>DBA</w:t>
      </w:r>
      <w:r w:rsidR="00E471E9" w:rsidRPr="00F67DDA">
        <w:rPr>
          <w:rFonts w:hint="eastAsia"/>
          <w:spacing w:val="30"/>
          <w:sz w:val="22"/>
        </w:rPr>
        <w:t>費用，而上限應定為該財務利益的</w:t>
      </w:r>
      <w:r w:rsidR="00E471E9" w:rsidRPr="00F67DDA">
        <w:rPr>
          <w:rFonts w:hint="eastAsia"/>
          <w:spacing w:val="30"/>
          <w:sz w:val="22"/>
        </w:rPr>
        <w:t>50%</w:t>
      </w:r>
      <w:r w:rsidR="00E471E9" w:rsidRPr="00F67DDA">
        <w:rPr>
          <w:rFonts w:hint="eastAsia"/>
          <w:spacing w:val="30"/>
          <w:sz w:val="22"/>
        </w:rPr>
        <w:t>。</w:t>
      </w:r>
      <w:r w:rsidR="006D7E6A" w:rsidRPr="00F67DDA">
        <w:rPr>
          <w:rFonts w:hint="eastAsia"/>
          <w:spacing w:val="30"/>
          <w:sz w:val="22"/>
        </w:rPr>
        <w:t>同樣，這亦與英格蘭及威爾斯的現況相符。</w:t>
      </w:r>
    </w:p>
    <w:p w:rsidR="00E471E9" w:rsidRPr="00F67DDA" w:rsidRDefault="00E471E9" w:rsidP="00E471E9">
      <w:pPr>
        <w:adjustRightInd w:val="0"/>
        <w:snapToGrid w:val="0"/>
        <w:spacing w:line="360" w:lineRule="auto"/>
        <w:jc w:val="both"/>
        <w:rPr>
          <w:spacing w:val="30"/>
          <w:sz w:val="22"/>
        </w:rPr>
      </w:pPr>
    </w:p>
    <w:p w:rsidR="00E471E9" w:rsidRPr="00F67DDA" w:rsidRDefault="007C0780" w:rsidP="00E471E9">
      <w:pPr>
        <w:adjustRightInd w:val="0"/>
        <w:snapToGrid w:val="0"/>
        <w:spacing w:line="360" w:lineRule="auto"/>
        <w:jc w:val="both"/>
        <w:rPr>
          <w:spacing w:val="30"/>
          <w:sz w:val="22"/>
        </w:rPr>
      </w:pPr>
      <w:r>
        <w:rPr>
          <w:rFonts w:hint="eastAsia"/>
          <w:spacing w:val="30"/>
          <w:sz w:val="22"/>
        </w:rPr>
        <w:t xml:space="preserve">　　</w:t>
      </w:r>
      <w:r w:rsidR="00E471E9" w:rsidRPr="00F67DDA">
        <w:rPr>
          <w:rFonts w:hint="eastAsia"/>
          <w:spacing w:val="30"/>
          <w:sz w:val="22"/>
        </w:rPr>
        <w:t>關於在仲裁結束前終止</w:t>
      </w:r>
      <w:r w:rsidR="00E471E9" w:rsidRPr="00F67DDA">
        <w:rPr>
          <w:rFonts w:hint="eastAsia"/>
          <w:spacing w:val="30"/>
          <w:sz w:val="22"/>
        </w:rPr>
        <w:t>ORFS</w:t>
      </w:r>
      <w:r w:rsidR="00E471E9" w:rsidRPr="00F67DDA">
        <w:rPr>
          <w:rFonts w:hint="eastAsia"/>
          <w:spacing w:val="30"/>
          <w:sz w:val="22"/>
        </w:rPr>
        <w:t>的問題，報告書建議相關法例應以</w:t>
      </w:r>
      <w:r w:rsidR="00E471E9" w:rsidRPr="00F67DDA">
        <w:rPr>
          <w:rFonts w:hint="eastAsia"/>
          <w:spacing w:val="30"/>
          <w:sz w:val="22"/>
        </w:rPr>
        <w:lastRenderedPageBreak/>
        <w:t>並非</w:t>
      </w:r>
      <w:proofErr w:type="gramStart"/>
      <w:r w:rsidR="00E471E9" w:rsidRPr="00F67DDA">
        <w:rPr>
          <w:rFonts w:hint="eastAsia"/>
          <w:spacing w:val="30"/>
          <w:sz w:val="22"/>
        </w:rPr>
        <w:t>盡列無</w:t>
      </w:r>
      <w:proofErr w:type="gramEnd"/>
      <w:r w:rsidR="00E471E9" w:rsidRPr="00F67DDA">
        <w:rPr>
          <w:rFonts w:hint="eastAsia"/>
          <w:spacing w:val="30"/>
          <w:sz w:val="22"/>
        </w:rPr>
        <w:t>遺的方式指明律師可據以終止</w:t>
      </w:r>
      <w:r w:rsidR="00E471E9" w:rsidRPr="00F67DDA">
        <w:rPr>
          <w:rFonts w:hint="eastAsia"/>
          <w:spacing w:val="30"/>
          <w:sz w:val="22"/>
        </w:rPr>
        <w:t>ORFS</w:t>
      </w:r>
      <w:r w:rsidR="00E471E9" w:rsidRPr="00F67DDA">
        <w:rPr>
          <w:rFonts w:hint="eastAsia"/>
          <w:spacing w:val="30"/>
          <w:sz w:val="22"/>
        </w:rPr>
        <w:t>的主要理由。至於應否列出當事人可在仲裁結束前終止</w:t>
      </w:r>
      <w:r w:rsidR="00E471E9" w:rsidRPr="00F67DDA">
        <w:rPr>
          <w:rFonts w:hint="eastAsia"/>
          <w:spacing w:val="30"/>
          <w:sz w:val="22"/>
        </w:rPr>
        <w:t>ORFS</w:t>
      </w:r>
      <w:r w:rsidR="00E471E9" w:rsidRPr="00F67DDA">
        <w:rPr>
          <w:rFonts w:hint="eastAsia"/>
          <w:spacing w:val="30"/>
          <w:sz w:val="22"/>
        </w:rPr>
        <w:t>的法定理由，法改會則認為沒此需要。當事人可終止</w:t>
      </w:r>
      <w:r w:rsidR="00E471E9" w:rsidRPr="00F67DDA">
        <w:rPr>
          <w:rFonts w:hint="eastAsia"/>
          <w:spacing w:val="30"/>
          <w:sz w:val="22"/>
        </w:rPr>
        <w:t>ORFS</w:t>
      </w:r>
      <w:r w:rsidR="00E471E9" w:rsidRPr="00F67DDA">
        <w:rPr>
          <w:rFonts w:hint="eastAsia"/>
          <w:spacing w:val="30"/>
          <w:sz w:val="22"/>
        </w:rPr>
        <w:t>的理由，應按照基本合約原則與律師議定。</w:t>
      </w:r>
    </w:p>
    <w:p w:rsidR="00E471E9" w:rsidRPr="00F67DDA" w:rsidRDefault="00E471E9" w:rsidP="00E471E9">
      <w:pPr>
        <w:adjustRightInd w:val="0"/>
        <w:snapToGrid w:val="0"/>
        <w:spacing w:line="360" w:lineRule="auto"/>
        <w:jc w:val="both"/>
        <w:rPr>
          <w:spacing w:val="30"/>
          <w:sz w:val="22"/>
        </w:rPr>
      </w:pPr>
    </w:p>
    <w:p w:rsidR="00E471E9" w:rsidRPr="00F67DDA" w:rsidRDefault="007C0780" w:rsidP="00E471E9">
      <w:pPr>
        <w:adjustRightInd w:val="0"/>
        <w:snapToGrid w:val="0"/>
        <w:spacing w:line="360" w:lineRule="auto"/>
        <w:jc w:val="both"/>
        <w:rPr>
          <w:spacing w:val="30"/>
          <w:sz w:val="22"/>
        </w:rPr>
      </w:pPr>
      <w:r>
        <w:rPr>
          <w:rFonts w:hint="eastAsia"/>
          <w:spacing w:val="30"/>
          <w:sz w:val="22"/>
        </w:rPr>
        <w:t xml:space="preserve">　　</w:t>
      </w:r>
      <w:r w:rsidR="00E471E9" w:rsidRPr="00F67DDA">
        <w:rPr>
          <w:rFonts w:hint="eastAsia"/>
          <w:spacing w:val="30"/>
          <w:sz w:val="22"/>
        </w:rPr>
        <w:t>另一項主要建議是，為仲裁而訂立的</w:t>
      </w:r>
      <w:r w:rsidR="00E471E9" w:rsidRPr="00F67DDA">
        <w:rPr>
          <w:rFonts w:hint="eastAsia"/>
          <w:spacing w:val="30"/>
          <w:sz w:val="22"/>
        </w:rPr>
        <w:t>ORFS</w:t>
      </w:r>
      <w:r w:rsidR="00E471E9" w:rsidRPr="00F67DDA">
        <w:rPr>
          <w:rFonts w:hint="eastAsia"/>
          <w:spacing w:val="30"/>
          <w:sz w:val="22"/>
        </w:rPr>
        <w:t>在關於人身</w:t>
      </w:r>
      <w:proofErr w:type="gramStart"/>
      <w:r w:rsidR="00E471E9" w:rsidRPr="00F67DDA">
        <w:rPr>
          <w:rFonts w:hint="eastAsia"/>
          <w:spacing w:val="30"/>
          <w:sz w:val="22"/>
        </w:rPr>
        <w:t>傷害申索的</w:t>
      </w:r>
      <w:proofErr w:type="gramEnd"/>
      <w:r w:rsidR="00E471E9" w:rsidRPr="00F67DDA">
        <w:rPr>
          <w:rFonts w:hint="eastAsia"/>
          <w:spacing w:val="30"/>
          <w:sz w:val="22"/>
        </w:rPr>
        <w:t>範圍內應屬無效及不可執行。報告書建議，除人身傷害</w:t>
      </w:r>
      <w:proofErr w:type="gramStart"/>
      <w:r w:rsidR="00E471E9" w:rsidRPr="00F67DDA">
        <w:rPr>
          <w:rFonts w:hint="eastAsia"/>
          <w:spacing w:val="30"/>
          <w:sz w:val="22"/>
        </w:rPr>
        <w:t>申索外</w:t>
      </w:r>
      <w:proofErr w:type="gramEnd"/>
      <w:r w:rsidR="00E471E9" w:rsidRPr="00F67DDA">
        <w:rPr>
          <w:rFonts w:hint="eastAsia"/>
          <w:spacing w:val="30"/>
          <w:sz w:val="22"/>
        </w:rPr>
        <w:t>，所有其他提交仲裁的申索</w:t>
      </w:r>
      <w:r w:rsidR="006D7E6A" w:rsidRPr="00F67DDA">
        <w:rPr>
          <w:rFonts w:hint="eastAsia"/>
          <w:spacing w:val="30"/>
          <w:sz w:val="22"/>
        </w:rPr>
        <w:t>均</w:t>
      </w:r>
      <w:r w:rsidR="00E471E9" w:rsidRPr="00F67DDA">
        <w:rPr>
          <w:rFonts w:hint="eastAsia"/>
          <w:spacing w:val="30"/>
          <w:sz w:val="22"/>
        </w:rPr>
        <w:t>應以相同方式處理。</w:t>
      </w:r>
    </w:p>
    <w:p w:rsidR="00E471E9" w:rsidRPr="00F67DDA" w:rsidRDefault="00E471E9" w:rsidP="00E471E9">
      <w:pPr>
        <w:adjustRightInd w:val="0"/>
        <w:snapToGrid w:val="0"/>
        <w:spacing w:line="360" w:lineRule="auto"/>
        <w:jc w:val="both"/>
        <w:rPr>
          <w:spacing w:val="30"/>
          <w:sz w:val="22"/>
        </w:rPr>
      </w:pPr>
    </w:p>
    <w:p w:rsidR="00E471E9" w:rsidRPr="00F67DDA" w:rsidRDefault="007C0780" w:rsidP="00E471E9">
      <w:pPr>
        <w:adjustRightInd w:val="0"/>
        <w:snapToGrid w:val="0"/>
        <w:spacing w:line="360" w:lineRule="auto"/>
        <w:jc w:val="both"/>
        <w:rPr>
          <w:spacing w:val="30"/>
          <w:sz w:val="22"/>
        </w:rPr>
      </w:pPr>
      <w:r>
        <w:rPr>
          <w:rFonts w:hint="eastAsia"/>
          <w:spacing w:val="30"/>
          <w:sz w:val="22"/>
        </w:rPr>
        <w:t xml:space="preserve">　　</w:t>
      </w:r>
      <w:r w:rsidR="00E471E9" w:rsidRPr="00F67DDA">
        <w:rPr>
          <w:rFonts w:hint="eastAsia"/>
          <w:spacing w:val="30"/>
          <w:sz w:val="22"/>
        </w:rPr>
        <w:t>為了准許律師為仲裁採用</w:t>
      </w:r>
      <w:r w:rsidR="00E471E9" w:rsidRPr="00F67DDA">
        <w:rPr>
          <w:rFonts w:hint="eastAsia"/>
          <w:spacing w:val="30"/>
          <w:sz w:val="22"/>
        </w:rPr>
        <w:t>ORFS</w:t>
      </w:r>
      <w:r w:rsidR="00E471E9" w:rsidRPr="00F67DDA">
        <w:rPr>
          <w:rFonts w:hint="eastAsia"/>
          <w:spacing w:val="30"/>
          <w:sz w:val="22"/>
        </w:rPr>
        <w:t>，以及引入適當形式的</w:t>
      </w:r>
      <w:proofErr w:type="gramStart"/>
      <w:r w:rsidR="00E471E9" w:rsidRPr="00F67DDA">
        <w:rPr>
          <w:rFonts w:hint="eastAsia"/>
          <w:spacing w:val="30"/>
          <w:sz w:val="22"/>
        </w:rPr>
        <w:t>規</w:t>
      </w:r>
      <w:proofErr w:type="gramEnd"/>
      <w:r w:rsidR="00E471E9" w:rsidRPr="00F67DDA">
        <w:rPr>
          <w:rFonts w:hint="eastAsia"/>
          <w:spacing w:val="30"/>
          <w:sz w:val="22"/>
        </w:rPr>
        <w:t>管，報告書建議應以清晰簡單的用語修訂：（</w:t>
      </w:r>
      <w:r w:rsidR="00E471E9" w:rsidRPr="00F67DDA">
        <w:rPr>
          <w:rFonts w:hint="eastAsia"/>
          <w:spacing w:val="30"/>
          <w:sz w:val="22"/>
        </w:rPr>
        <w:t>1</w:t>
      </w:r>
      <w:r w:rsidR="00E471E9" w:rsidRPr="00F67DDA">
        <w:rPr>
          <w:rFonts w:hint="eastAsia"/>
          <w:spacing w:val="30"/>
          <w:sz w:val="22"/>
        </w:rPr>
        <w:t>）《仲裁條例》（第</w:t>
      </w:r>
      <w:r w:rsidR="00E471E9" w:rsidRPr="00F67DDA">
        <w:rPr>
          <w:rFonts w:hint="eastAsia"/>
          <w:spacing w:val="30"/>
          <w:sz w:val="22"/>
        </w:rPr>
        <w:t>609</w:t>
      </w:r>
      <w:r w:rsidR="00E471E9" w:rsidRPr="00F67DDA">
        <w:rPr>
          <w:rFonts w:hint="eastAsia"/>
          <w:spacing w:val="30"/>
          <w:sz w:val="22"/>
        </w:rPr>
        <w:t>章）；（</w:t>
      </w:r>
      <w:r w:rsidR="00E471E9" w:rsidRPr="00F67DDA">
        <w:rPr>
          <w:rFonts w:hint="eastAsia"/>
          <w:spacing w:val="30"/>
          <w:sz w:val="22"/>
        </w:rPr>
        <w:t>2</w:t>
      </w:r>
      <w:r w:rsidR="00E471E9" w:rsidRPr="00F67DDA">
        <w:rPr>
          <w:rFonts w:hint="eastAsia"/>
          <w:spacing w:val="30"/>
          <w:sz w:val="22"/>
        </w:rPr>
        <w:t>）《法律執業者條例》（第</w:t>
      </w:r>
      <w:r w:rsidR="00E471E9" w:rsidRPr="00F67DDA">
        <w:rPr>
          <w:spacing w:val="30"/>
          <w:sz w:val="22"/>
        </w:rPr>
        <w:t>15</w:t>
      </w:r>
      <w:r w:rsidR="00E471E9" w:rsidRPr="00F67DDA">
        <w:rPr>
          <w:rFonts w:hint="eastAsia"/>
          <w:spacing w:val="30"/>
          <w:sz w:val="22"/>
        </w:rPr>
        <w:t>9</w:t>
      </w:r>
      <w:r w:rsidR="00E471E9" w:rsidRPr="00F67DDA">
        <w:rPr>
          <w:rFonts w:hint="eastAsia"/>
          <w:spacing w:val="30"/>
          <w:sz w:val="22"/>
        </w:rPr>
        <w:t>章）；（</w:t>
      </w:r>
      <w:r w:rsidR="00E471E9" w:rsidRPr="00F67DDA">
        <w:rPr>
          <w:rFonts w:hint="eastAsia"/>
          <w:spacing w:val="30"/>
          <w:sz w:val="22"/>
        </w:rPr>
        <w:t>3</w:t>
      </w:r>
      <w:r w:rsidR="00E471E9" w:rsidRPr="00F67DDA">
        <w:rPr>
          <w:rFonts w:hint="eastAsia"/>
          <w:spacing w:val="30"/>
          <w:sz w:val="22"/>
        </w:rPr>
        <w:t>）《香港事務律師專業操守指引》；以及（</w:t>
      </w:r>
      <w:r w:rsidR="00E471E9" w:rsidRPr="00F67DDA">
        <w:rPr>
          <w:rFonts w:hint="eastAsia"/>
          <w:spacing w:val="30"/>
          <w:sz w:val="22"/>
        </w:rPr>
        <w:t>4</w:t>
      </w:r>
      <w:r w:rsidR="00E471E9" w:rsidRPr="00F67DDA">
        <w:rPr>
          <w:rFonts w:hint="eastAsia"/>
          <w:spacing w:val="30"/>
          <w:sz w:val="22"/>
        </w:rPr>
        <w:t>）香港大律師公會《行為守則》。</w:t>
      </w:r>
    </w:p>
    <w:p w:rsidR="00E471E9" w:rsidRPr="00F67DDA" w:rsidRDefault="00E471E9" w:rsidP="00E471E9">
      <w:pPr>
        <w:adjustRightInd w:val="0"/>
        <w:snapToGrid w:val="0"/>
        <w:spacing w:line="360" w:lineRule="auto"/>
        <w:jc w:val="both"/>
        <w:rPr>
          <w:spacing w:val="30"/>
          <w:sz w:val="22"/>
        </w:rPr>
      </w:pPr>
    </w:p>
    <w:p w:rsidR="00E471E9" w:rsidRPr="00A908F1" w:rsidRDefault="007C0780" w:rsidP="00E471E9">
      <w:pPr>
        <w:adjustRightInd w:val="0"/>
        <w:snapToGrid w:val="0"/>
        <w:spacing w:line="360" w:lineRule="auto"/>
        <w:jc w:val="both"/>
        <w:rPr>
          <w:spacing w:val="30"/>
          <w:sz w:val="22"/>
          <w:szCs w:val="24"/>
          <w:lang w:val="en-GB"/>
        </w:rPr>
      </w:pPr>
      <w:r>
        <w:rPr>
          <w:rFonts w:hint="eastAsia"/>
          <w:spacing w:val="30"/>
          <w:sz w:val="22"/>
        </w:rPr>
        <w:t xml:space="preserve">　　</w:t>
      </w:r>
      <w:r w:rsidR="00E471E9" w:rsidRPr="00F67DDA">
        <w:rPr>
          <w:rFonts w:hint="eastAsia"/>
          <w:spacing w:val="30"/>
          <w:sz w:val="22"/>
        </w:rPr>
        <w:t>依這方案，報告書進一步建議附屬法例應列出較詳細並以立法形式制定的框架，以及</w:t>
      </w:r>
      <w:r w:rsidR="00E471E9" w:rsidRPr="00F67DDA">
        <w:rPr>
          <w:spacing w:val="30"/>
          <w:sz w:val="22"/>
        </w:rPr>
        <w:t>那些</w:t>
      </w:r>
      <w:r w:rsidR="00E471E9" w:rsidRPr="00F67DDA">
        <w:rPr>
          <w:rFonts w:hint="eastAsia"/>
          <w:spacing w:val="30"/>
          <w:sz w:val="22"/>
        </w:rPr>
        <w:t>構成為仲裁而訂立的</w:t>
      </w:r>
      <w:r w:rsidR="00E471E9" w:rsidRPr="00F67DDA">
        <w:rPr>
          <w:rFonts w:hint="eastAsia"/>
          <w:spacing w:val="30"/>
          <w:sz w:val="22"/>
        </w:rPr>
        <w:t>ORFS</w:t>
      </w:r>
      <w:r w:rsidR="00E471E9" w:rsidRPr="00F67DDA">
        <w:rPr>
          <w:rFonts w:hint="eastAsia"/>
          <w:spacing w:val="30"/>
          <w:sz w:val="22"/>
        </w:rPr>
        <w:t>機制一部分的特定保障措施。相關保障措施包括：</w:t>
      </w:r>
      <w:r w:rsidR="00E471E9" w:rsidRPr="00F67DDA">
        <w:rPr>
          <w:rFonts w:hint="eastAsia"/>
          <w:spacing w:val="30"/>
          <w:sz w:val="22"/>
        </w:rPr>
        <w:t>ORFS</w:t>
      </w:r>
      <w:r w:rsidR="00E471E9" w:rsidRPr="00F67DDA">
        <w:rPr>
          <w:rFonts w:hint="eastAsia"/>
          <w:spacing w:val="30"/>
          <w:sz w:val="22"/>
        </w:rPr>
        <w:t>須以書面訂立，並由當事人簽署；律師應告知當事人有取得獨立法律意見的權利；以及</w:t>
      </w:r>
      <w:r w:rsidR="00E471E9" w:rsidRPr="00F67DDA">
        <w:rPr>
          <w:rFonts w:hint="eastAsia"/>
          <w:spacing w:val="30"/>
          <w:sz w:val="22"/>
        </w:rPr>
        <w:t>ORFS</w:t>
      </w:r>
      <w:r w:rsidR="00E471E9" w:rsidRPr="00F67DDA">
        <w:rPr>
          <w:rFonts w:hint="eastAsia"/>
          <w:spacing w:val="30"/>
          <w:sz w:val="22"/>
        </w:rPr>
        <w:t>應設有最少七天的冷靜期。</w:t>
      </w:r>
    </w:p>
    <w:p w:rsidR="00521041" w:rsidRDefault="00521041">
      <w:pPr>
        <w:widowControl/>
        <w:rPr>
          <w:spacing w:val="30"/>
          <w:sz w:val="22"/>
          <w:lang w:eastAsia="zh-HK"/>
        </w:rPr>
      </w:pPr>
    </w:p>
    <w:p w:rsidR="007C0780" w:rsidRPr="00A908F1" w:rsidRDefault="007C0780" w:rsidP="007C0780">
      <w:pPr>
        <w:adjustRightInd w:val="0"/>
        <w:snapToGrid w:val="0"/>
        <w:spacing w:line="360" w:lineRule="auto"/>
        <w:jc w:val="both"/>
        <w:rPr>
          <w:sz w:val="22"/>
        </w:rPr>
      </w:pPr>
      <w:r>
        <w:rPr>
          <w:rFonts w:hint="eastAsia"/>
          <w:spacing w:val="30"/>
          <w:sz w:val="22"/>
        </w:rPr>
        <w:t xml:space="preserve">　　</w:t>
      </w:r>
      <w:r w:rsidRPr="00A908F1">
        <w:rPr>
          <w:rFonts w:hint="eastAsia"/>
          <w:spacing w:val="30"/>
          <w:sz w:val="22"/>
        </w:rPr>
        <w:t>公眾人士可於法改會網站</w:t>
      </w:r>
      <w:proofErr w:type="gramStart"/>
      <w:r w:rsidRPr="00A908F1">
        <w:rPr>
          <w:rFonts w:hint="eastAsia"/>
          <w:spacing w:val="30"/>
          <w:sz w:val="22"/>
        </w:rPr>
        <w:t>（</w:t>
      </w:r>
      <w:proofErr w:type="gramEnd"/>
      <w:r w:rsidRPr="00A908F1">
        <w:rPr>
          <w:rFonts w:hint="eastAsia"/>
          <w:sz w:val="22"/>
        </w:rPr>
        <w:t>www.hkreform.gov.hk</w:t>
      </w:r>
      <w:proofErr w:type="gramStart"/>
      <w:r w:rsidRPr="00A908F1">
        <w:rPr>
          <w:rFonts w:hint="eastAsia"/>
          <w:spacing w:val="30"/>
          <w:sz w:val="22"/>
        </w:rPr>
        <w:t>）</w:t>
      </w:r>
      <w:proofErr w:type="gramEnd"/>
      <w:r w:rsidRPr="00A908F1">
        <w:rPr>
          <w:rFonts w:hint="eastAsia"/>
          <w:spacing w:val="30"/>
          <w:sz w:val="22"/>
        </w:rPr>
        <w:t>閱覽</w:t>
      </w:r>
      <w:r w:rsidRPr="00A908F1">
        <w:rPr>
          <w:rFonts w:hint="eastAsia"/>
          <w:spacing w:val="30"/>
          <w:sz w:val="22"/>
          <w:lang w:eastAsia="zh-HK"/>
        </w:rPr>
        <w:t>報告書</w:t>
      </w:r>
      <w:r w:rsidRPr="00A908F1">
        <w:rPr>
          <w:rFonts w:hint="eastAsia"/>
          <w:spacing w:val="30"/>
          <w:sz w:val="22"/>
        </w:rPr>
        <w:t>內容及摘要，亦可前往香港中環</w:t>
      </w:r>
      <w:proofErr w:type="gramStart"/>
      <w:r w:rsidRPr="00A908F1">
        <w:rPr>
          <w:rFonts w:hint="eastAsia"/>
          <w:spacing w:val="30"/>
          <w:sz w:val="22"/>
        </w:rPr>
        <w:t>下亞厘畢道</w:t>
      </w:r>
      <w:r w:rsidRPr="00A908F1">
        <w:rPr>
          <w:rFonts w:hint="eastAsia"/>
          <w:spacing w:val="30"/>
          <w:sz w:val="22"/>
        </w:rPr>
        <w:t>18</w:t>
      </w:r>
      <w:r w:rsidRPr="00A908F1">
        <w:rPr>
          <w:rFonts w:hint="eastAsia"/>
          <w:spacing w:val="30"/>
          <w:sz w:val="22"/>
        </w:rPr>
        <w:t>號律</w:t>
      </w:r>
      <w:proofErr w:type="gramEnd"/>
      <w:r w:rsidRPr="00A908F1">
        <w:rPr>
          <w:rFonts w:hint="eastAsia"/>
          <w:spacing w:val="30"/>
          <w:sz w:val="22"/>
        </w:rPr>
        <w:t>政中心</w:t>
      </w:r>
      <w:proofErr w:type="gramStart"/>
      <w:r w:rsidRPr="00A908F1">
        <w:rPr>
          <w:rFonts w:hint="eastAsia"/>
          <w:spacing w:val="30"/>
          <w:sz w:val="22"/>
        </w:rPr>
        <w:t>東座</w:t>
      </w:r>
      <w:r w:rsidRPr="00A908F1">
        <w:rPr>
          <w:rFonts w:hint="eastAsia"/>
          <w:spacing w:val="30"/>
          <w:sz w:val="22"/>
        </w:rPr>
        <w:t>4</w:t>
      </w:r>
      <w:r w:rsidRPr="00A908F1">
        <w:rPr>
          <w:rFonts w:hint="eastAsia"/>
          <w:spacing w:val="30"/>
          <w:sz w:val="22"/>
        </w:rPr>
        <w:t>樓法</w:t>
      </w:r>
      <w:proofErr w:type="gramEnd"/>
      <w:r w:rsidRPr="00A908F1">
        <w:rPr>
          <w:rFonts w:hint="eastAsia"/>
          <w:spacing w:val="30"/>
          <w:sz w:val="22"/>
        </w:rPr>
        <w:t>改會秘書處索取文本。</w:t>
      </w:r>
    </w:p>
    <w:p w:rsidR="007C0780" w:rsidRPr="000D2D3A" w:rsidRDefault="007C0780" w:rsidP="007C0780">
      <w:pPr>
        <w:adjustRightInd w:val="0"/>
        <w:snapToGrid w:val="0"/>
        <w:spacing w:line="360" w:lineRule="auto"/>
        <w:jc w:val="both"/>
        <w:rPr>
          <w:spacing w:val="30"/>
          <w:sz w:val="22"/>
        </w:rPr>
      </w:pPr>
    </w:p>
    <w:p w:rsidR="007C0780" w:rsidRPr="000D2D3A" w:rsidRDefault="000D2D3A" w:rsidP="007C0780">
      <w:pPr>
        <w:adjustRightInd w:val="0"/>
        <w:snapToGrid w:val="0"/>
        <w:spacing w:line="360" w:lineRule="auto"/>
        <w:jc w:val="both"/>
        <w:rPr>
          <w:spacing w:val="30"/>
          <w:sz w:val="22"/>
        </w:rPr>
      </w:pPr>
      <w:r w:rsidRPr="000D2D3A">
        <w:rPr>
          <w:rFonts w:hint="eastAsia"/>
          <w:spacing w:val="30"/>
          <w:sz w:val="22"/>
        </w:rPr>
        <w:t>完</w:t>
      </w:r>
    </w:p>
    <w:p w:rsidR="000D2D3A" w:rsidRPr="000D2D3A" w:rsidRDefault="000D2D3A" w:rsidP="007C0780">
      <w:pPr>
        <w:adjustRightInd w:val="0"/>
        <w:snapToGrid w:val="0"/>
        <w:spacing w:line="360" w:lineRule="auto"/>
        <w:jc w:val="both"/>
        <w:rPr>
          <w:spacing w:val="30"/>
          <w:sz w:val="22"/>
        </w:rPr>
      </w:pPr>
    </w:p>
    <w:p w:rsidR="007C0780" w:rsidRDefault="007C0780" w:rsidP="007C0780">
      <w:pPr>
        <w:adjustRightInd w:val="0"/>
        <w:snapToGrid w:val="0"/>
        <w:spacing w:line="360" w:lineRule="auto"/>
        <w:jc w:val="both"/>
        <w:rPr>
          <w:spacing w:val="30"/>
          <w:sz w:val="22"/>
        </w:rPr>
      </w:pPr>
      <w:r w:rsidRPr="00D24940">
        <w:rPr>
          <w:rFonts w:ascii="Times New Roman" w:hAnsi="Times New Roman" w:cs="Times New Roman"/>
          <w:spacing w:val="30"/>
          <w:sz w:val="22"/>
        </w:rPr>
        <w:t>2021</w:t>
      </w:r>
      <w:r w:rsidRPr="00D24940">
        <w:rPr>
          <w:rFonts w:ascii="Times New Roman" w:hAnsi="Times New Roman" w:cs="Times New Roman"/>
          <w:spacing w:val="30"/>
          <w:sz w:val="22"/>
        </w:rPr>
        <w:t>年</w:t>
      </w:r>
      <w:r w:rsidRPr="00D24940">
        <w:rPr>
          <w:rFonts w:ascii="Times New Roman" w:hAnsi="Times New Roman" w:cs="Times New Roman"/>
          <w:spacing w:val="30"/>
          <w:sz w:val="22"/>
        </w:rPr>
        <w:t>12</w:t>
      </w:r>
      <w:r w:rsidRPr="00D24940">
        <w:rPr>
          <w:rFonts w:ascii="Times New Roman" w:hAnsi="Times New Roman" w:cs="Times New Roman"/>
          <w:spacing w:val="30"/>
          <w:sz w:val="22"/>
        </w:rPr>
        <w:t>月</w:t>
      </w:r>
      <w:r w:rsidRPr="00D24940">
        <w:rPr>
          <w:rFonts w:ascii="Times New Roman" w:hAnsi="Times New Roman" w:cs="Times New Roman"/>
          <w:spacing w:val="30"/>
          <w:sz w:val="22"/>
        </w:rPr>
        <w:t>15</w:t>
      </w:r>
      <w:r w:rsidRPr="00D24940">
        <w:rPr>
          <w:rFonts w:ascii="Times New Roman" w:hAnsi="Times New Roman" w:cs="Times New Roman"/>
          <w:spacing w:val="30"/>
          <w:sz w:val="22"/>
        </w:rPr>
        <w:t>日</w:t>
      </w:r>
      <w:r w:rsidRPr="003875A1">
        <w:rPr>
          <w:rFonts w:hint="eastAsia"/>
          <w:spacing w:val="30"/>
          <w:sz w:val="22"/>
        </w:rPr>
        <w:t>（星期三）</w:t>
      </w:r>
    </w:p>
    <w:p w:rsidR="00AA4365" w:rsidRDefault="00AA4365">
      <w:pPr>
        <w:widowControl/>
        <w:rPr>
          <w:spacing w:val="30"/>
          <w:sz w:val="22"/>
          <w:lang w:eastAsia="zh-HK"/>
        </w:rPr>
      </w:pPr>
    </w:p>
    <w:sectPr w:rsidR="00AA4365" w:rsidSect="00537EBD">
      <w:pgSz w:w="11906" w:h="16838" w:code="9"/>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1E9" w:rsidRDefault="00E471E9" w:rsidP="00E471E9">
      <w:r>
        <w:separator/>
      </w:r>
    </w:p>
  </w:endnote>
  <w:endnote w:type="continuationSeparator" w:id="0">
    <w:p w:rsidR="00E471E9" w:rsidRDefault="00E471E9" w:rsidP="00E4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1E9" w:rsidRDefault="00E471E9" w:rsidP="00E471E9">
      <w:r>
        <w:separator/>
      </w:r>
    </w:p>
  </w:footnote>
  <w:footnote w:type="continuationSeparator" w:id="0">
    <w:p w:rsidR="00E471E9" w:rsidRDefault="00E471E9" w:rsidP="00E47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62F2F"/>
    <w:multiLevelType w:val="multilevel"/>
    <w:tmpl w:val="C52A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438"/>
    <w:rsid w:val="00080D30"/>
    <w:rsid w:val="000D2D3A"/>
    <w:rsid w:val="001A1CE4"/>
    <w:rsid w:val="001B0517"/>
    <w:rsid w:val="003D3438"/>
    <w:rsid w:val="003E4615"/>
    <w:rsid w:val="003F55F3"/>
    <w:rsid w:val="003F5CA0"/>
    <w:rsid w:val="00521041"/>
    <w:rsid w:val="00537EBD"/>
    <w:rsid w:val="00586B72"/>
    <w:rsid w:val="00615360"/>
    <w:rsid w:val="006C1A6C"/>
    <w:rsid w:val="006D7E6A"/>
    <w:rsid w:val="006F32B8"/>
    <w:rsid w:val="006F5547"/>
    <w:rsid w:val="007C0780"/>
    <w:rsid w:val="00812F46"/>
    <w:rsid w:val="008132F5"/>
    <w:rsid w:val="008F12B7"/>
    <w:rsid w:val="00934B4C"/>
    <w:rsid w:val="009A17E2"/>
    <w:rsid w:val="00AA4365"/>
    <w:rsid w:val="00AF5D55"/>
    <w:rsid w:val="00B27919"/>
    <w:rsid w:val="00B43979"/>
    <w:rsid w:val="00C23C97"/>
    <w:rsid w:val="00C82912"/>
    <w:rsid w:val="00C94371"/>
    <w:rsid w:val="00CC163D"/>
    <w:rsid w:val="00CF1B92"/>
    <w:rsid w:val="00D20BF5"/>
    <w:rsid w:val="00D24940"/>
    <w:rsid w:val="00D40C42"/>
    <w:rsid w:val="00E471E9"/>
    <w:rsid w:val="00F67DDA"/>
    <w:rsid w:val="00F87B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6C2D2CA6-3C1E-4834-8DCE-CC2EC812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1">
    <w:name w:val="heading 1"/>
    <w:basedOn w:val="Normal"/>
    <w:link w:val="Heading1Char"/>
    <w:uiPriority w:val="9"/>
    <w:qFormat/>
    <w:rsid w:val="003D3438"/>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471E9"/>
    <w:pPr>
      <w:keepNext/>
      <w:spacing w:line="720" w:lineRule="auto"/>
      <w:outlineLvl w:val="1"/>
    </w:pPr>
    <w:rPr>
      <w:rFonts w:asciiTheme="majorHAnsi" w:eastAsiaTheme="majorEastAsia" w:hAnsiTheme="majorHAnsi" w:cstheme="majorBidi"/>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34B4C"/>
    <w:pPr>
      <w:snapToGrid w:val="0"/>
    </w:pPr>
    <w:rPr>
      <w:rFonts w:ascii="Arial" w:eastAsia="Arial" w:hAnsi="Arial" w:cs="Arial"/>
      <w:sz w:val="18"/>
      <w:szCs w:val="20"/>
    </w:rPr>
  </w:style>
  <w:style w:type="character" w:customStyle="1" w:styleId="FootnoteTextChar">
    <w:name w:val="Footnote Text Char"/>
    <w:basedOn w:val="DefaultParagraphFont"/>
    <w:link w:val="FootnoteText"/>
    <w:uiPriority w:val="99"/>
    <w:rsid w:val="00934B4C"/>
    <w:rPr>
      <w:rFonts w:ascii="Arial" w:eastAsia="Arial" w:hAnsi="Arial" w:cs="Arial"/>
      <w:sz w:val="18"/>
      <w:szCs w:val="20"/>
    </w:rPr>
  </w:style>
  <w:style w:type="character" w:customStyle="1" w:styleId="Heading1Char">
    <w:name w:val="Heading 1 Char"/>
    <w:basedOn w:val="DefaultParagraphFont"/>
    <w:link w:val="Heading1"/>
    <w:uiPriority w:val="9"/>
    <w:rsid w:val="003D343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D3438"/>
    <w:rPr>
      <w:color w:val="0000FF"/>
      <w:u w:val="single"/>
    </w:rPr>
  </w:style>
  <w:style w:type="character" w:customStyle="1" w:styleId="breadcrumbseparator">
    <w:name w:val="breadcrumbseparator"/>
    <w:basedOn w:val="DefaultParagraphFont"/>
    <w:rsid w:val="003D3438"/>
  </w:style>
  <w:style w:type="paragraph" w:styleId="Header">
    <w:name w:val="header"/>
    <w:basedOn w:val="Normal"/>
    <w:link w:val="HeaderChar"/>
    <w:uiPriority w:val="99"/>
    <w:unhideWhenUsed/>
    <w:rsid w:val="00E471E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471E9"/>
    <w:rPr>
      <w:sz w:val="20"/>
      <w:szCs w:val="20"/>
    </w:rPr>
  </w:style>
  <w:style w:type="paragraph" w:styleId="Footer">
    <w:name w:val="footer"/>
    <w:basedOn w:val="Normal"/>
    <w:link w:val="FooterChar"/>
    <w:uiPriority w:val="99"/>
    <w:unhideWhenUsed/>
    <w:rsid w:val="00E471E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471E9"/>
    <w:rPr>
      <w:sz w:val="20"/>
      <w:szCs w:val="20"/>
    </w:rPr>
  </w:style>
  <w:style w:type="character" w:customStyle="1" w:styleId="Heading2Char">
    <w:name w:val="Heading 2 Char"/>
    <w:basedOn w:val="DefaultParagraphFont"/>
    <w:link w:val="Heading2"/>
    <w:uiPriority w:val="9"/>
    <w:semiHidden/>
    <w:rsid w:val="00E471E9"/>
    <w:rPr>
      <w:rFonts w:asciiTheme="majorHAnsi" w:eastAsiaTheme="majorEastAsia" w:hAnsiTheme="majorHAnsi" w:cstheme="majorBidi"/>
      <w:b/>
      <w:bCs/>
      <w:sz w:val="48"/>
      <w:szCs w:val="48"/>
    </w:rPr>
  </w:style>
  <w:style w:type="paragraph" w:customStyle="1" w:styleId="pagetitle2">
    <w:name w:val="pagetitle2"/>
    <w:basedOn w:val="Normal"/>
    <w:rsid w:val="00E471E9"/>
    <w:pPr>
      <w:widowControl/>
      <w:spacing w:before="100" w:beforeAutospacing="1" w:after="100" w:afterAutospacing="1"/>
    </w:pPr>
    <w:rPr>
      <w:rFonts w:ascii="Times New Roman" w:eastAsia="Times New Roman" w:hAnsi="Times New Roman" w:cs="Times New Roman"/>
      <w:kern w:val="0"/>
      <w:szCs w:val="24"/>
    </w:rPr>
  </w:style>
  <w:style w:type="character" w:customStyle="1" w:styleId="contentbold">
    <w:name w:val="content_bold"/>
    <w:basedOn w:val="DefaultParagraphFont"/>
    <w:rsid w:val="00E471E9"/>
  </w:style>
  <w:style w:type="paragraph" w:styleId="BalloonText">
    <w:name w:val="Balloon Text"/>
    <w:basedOn w:val="Normal"/>
    <w:link w:val="BalloonTextChar"/>
    <w:uiPriority w:val="99"/>
    <w:semiHidden/>
    <w:unhideWhenUsed/>
    <w:rsid w:val="001B05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5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3781">
      <w:bodyDiv w:val="1"/>
      <w:marLeft w:val="0"/>
      <w:marRight w:val="0"/>
      <w:marTop w:val="0"/>
      <w:marBottom w:val="0"/>
      <w:divBdr>
        <w:top w:val="none" w:sz="0" w:space="0" w:color="auto"/>
        <w:left w:val="none" w:sz="0" w:space="0" w:color="auto"/>
        <w:bottom w:val="none" w:sz="0" w:space="0" w:color="auto"/>
        <w:right w:val="none" w:sz="0" w:space="0" w:color="auto"/>
      </w:divBdr>
      <w:divsChild>
        <w:div w:id="1920014815">
          <w:marLeft w:val="0"/>
          <w:marRight w:val="0"/>
          <w:marTop w:val="450"/>
          <w:marBottom w:val="0"/>
          <w:divBdr>
            <w:top w:val="none" w:sz="0" w:space="0" w:color="auto"/>
            <w:left w:val="none" w:sz="0" w:space="0" w:color="auto"/>
            <w:bottom w:val="none" w:sz="0" w:space="0" w:color="auto"/>
            <w:right w:val="none" w:sz="0" w:space="0" w:color="auto"/>
          </w:divBdr>
        </w:div>
      </w:divsChild>
    </w:div>
    <w:div w:id="913008129">
      <w:bodyDiv w:val="1"/>
      <w:marLeft w:val="0"/>
      <w:marRight w:val="0"/>
      <w:marTop w:val="0"/>
      <w:marBottom w:val="0"/>
      <w:divBdr>
        <w:top w:val="none" w:sz="0" w:space="0" w:color="auto"/>
        <w:left w:val="none" w:sz="0" w:space="0" w:color="auto"/>
        <w:bottom w:val="none" w:sz="0" w:space="0" w:color="auto"/>
        <w:right w:val="none" w:sz="0" w:space="0" w:color="auto"/>
      </w:divBdr>
      <w:divsChild>
        <w:div w:id="959412257">
          <w:marLeft w:val="0"/>
          <w:marRight w:val="0"/>
          <w:marTop w:val="450"/>
          <w:marBottom w:val="0"/>
          <w:divBdr>
            <w:top w:val="none" w:sz="0" w:space="0" w:color="auto"/>
            <w:left w:val="none" w:sz="0" w:space="0" w:color="auto"/>
            <w:bottom w:val="none" w:sz="0" w:space="0" w:color="auto"/>
            <w:right w:val="none" w:sz="0" w:space="0" w:color="auto"/>
          </w:divBdr>
        </w:div>
      </w:divsChild>
    </w:div>
    <w:div w:id="1821078032">
      <w:bodyDiv w:val="1"/>
      <w:marLeft w:val="0"/>
      <w:marRight w:val="0"/>
      <w:marTop w:val="0"/>
      <w:marBottom w:val="0"/>
      <w:divBdr>
        <w:top w:val="none" w:sz="0" w:space="0" w:color="auto"/>
        <w:left w:val="none" w:sz="0" w:space="0" w:color="auto"/>
        <w:bottom w:val="none" w:sz="0" w:space="0" w:color="auto"/>
        <w:right w:val="none" w:sz="0" w:space="0" w:color="auto"/>
      </w:divBdr>
      <w:divsChild>
        <w:div w:id="1048531546">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Wingy WG</dc:creator>
  <cp:keywords/>
  <dc:description/>
  <cp:lastModifiedBy>HA, Wingy WG</cp:lastModifiedBy>
  <cp:revision>6</cp:revision>
  <cp:lastPrinted>2021-12-14T07:05:00Z</cp:lastPrinted>
  <dcterms:created xsi:type="dcterms:W3CDTF">2021-12-16T06:56:00Z</dcterms:created>
  <dcterms:modified xsi:type="dcterms:W3CDTF">2021-12-16T09:09:00Z</dcterms:modified>
</cp:coreProperties>
</file>