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91B18" w14:textId="77777777" w:rsidR="003520F6" w:rsidRPr="00C3671B" w:rsidRDefault="003520F6" w:rsidP="003520F6">
      <w:pPr>
        <w:spacing w:after="120" w:line="0" w:lineRule="atLeast"/>
        <w:jc w:val="center"/>
        <w:rPr>
          <w:rFonts w:ascii="Arial Bold" w:hAnsi="Arial Bold" w:cs="Arial"/>
          <w:b/>
          <w:smallCaps/>
          <w:sz w:val="28"/>
          <w:szCs w:val="28"/>
          <w:lang w:val="en-US"/>
        </w:rPr>
      </w:pPr>
      <w:bookmarkStart w:id="0" w:name="_GoBack"/>
      <w:bookmarkEnd w:id="0"/>
      <w:r w:rsidRPr="00C3671B">
        <w:rPr>
          <w:rFonts w:ascii="Arial Bold" w:hAnsi="Arial Bold" w:cs="Arial"/>
          <w:b/>
          <w:smallCaps/>
          <w:sz w:val="28"/>
          <w:szCs w:val="28"/>
          <w:lang w:val="en-US"/>
        </w:rPr>
        <w:t>The Law Reform Commission of Hong Kong</w:t>
      </w:r>
    </w:p>
    <w:p w14:paraId="65F129F4" w14:textId="77777777" w:rsidR="003520F6" w:rsidRPr="00C3671B" w:rsidRDefault="003520F6" w:rsidP="003520F6">
      <w:pPr>
        <w:tabs>
          <w:tab w:val="clear" w:pos="1418"/>
          <w:tab w:val="left" w:pos="1440"/>
        </w:tabs>
        <w:spacing w:after="120"/>
        <w:jc w:val="center"/>
        <w:rPr>
          <w:rFonts w:ascii="Arial Bold" w:hAnsi="Arial Bold" w:cs="Arial"/>
          <w:smallCaps/>
          <w:lang w:val="en-US"/>
        </w:rPr>
      </w:pPr>
    </w:p>
    <w:p w14:paraId="6FE3655B" w14:textId="77777777" w:rsidR="003520F6" w:rsidRPr="00C3671B" w:rsidRDefault="003520F6" w:rsidP="003520F6">
      <w:pPr>
        <w:spacing w:after="120"/>
        <w:jc w:val="center"/>
        <w:rPr>
          <w:rFonts w:ascii="Arial Bold" w:hAnsi="Arial Bold" w:cs="Arial"/>
          <w:b/>
          <w:smallCaps/>
          <w:sz w:val="32"/>
          <w:szCs w:val="32"/>
          <w:lang w:val="en-US"/>
        </w:rPr>
      </w:pPr>
      <w:r w:rsidRPr="00C3671B">
        <w:rPr>
          <w:rFonts w:ascii="Arial Bold" w:hAnsi="Arial Bold" w:cs="Arial"/>
          <w:b/>
          <w:smallCaps/>
          <w:sz w:val="32"/>
          <w:szCs w:val="32"/>
          <w:lang w:val="en-US"/>
        </w:rPr>
        <w:t>Report</w:t>
      </w:r>
    </w:p>
    <w:p w14:paraId="01B44D99" w14:textId="77777777" w:rsidR="003520F6" w:rsidRPr="00C3671B" w:rsidRDefault="003520F6" w:rsidP="003520F6">
      <w:pPr>
        <w:spacing w:after="120"/>
        <w:jc w:val="center"/>
        <w:rPr>
          <w:rFonts w:ascii="Arial Bold" w:hAnsi="Arial Bold" w:cs="Arial"/>
          <w:b/>
          <w:smallCaps/>
          <w:lang w:val="en-US"/>
        </w:rPr>
      </w:pPr>
    </w:p>
    <w:p w14:paraId="7D118BAB" w14:textId="77777777" w:rsidR="003520F6" w:rsidRDefault="003520F6" w:rsidP="003520F6">
      <w:pPr>
        <w:spacing w:after="120" w:line="0" w:lineRule="atLeast"/>
        <w:jc w:val="center"/>
        <w:rPr>
          <w:rFonts w:ascii="Arial Bold" w:hAnsi="Arial Bold" w:cs="Arial"/>
          <w:b/>
          <w:smallCaps/>
          <w:sz w:val="32"/>
          <w:szCs w:val="32"/>
          <w:lang w:val="en-US"/>
        </w:rPr>
      </w:pPr>
      <w:r w:rsidRPr="00B149D5">
        <w:rPr>
          <w:rFonts w:ascii="Arial Bold" w:hAnsi="Arial Bold" w:cs="Arial"/>
          <w:b/>
          <w:smallCaps/>
          <w:sz w:val="32"/>
          <w:szCs w:val="32"/>
          <w:lang w:val="en-US"/>
        </w:rPr>
        <w:t>PERIODICAL PAYMENTS FOR FUTURE PECUNIARY LOSS IN PERSONAL INJURY CASES</w:t>
      </w:r>
    </w:p>
    <w:p w14:paraId="25281BF5" w14:textId="77777777" w:rsidR="003520F6" w:rsidRPr="00C3671B" w:rsidRDefault="003520F6" w:rsidP="003520F6">
      <w:pPr>
        <w:spacing w:after="120" w:line="0" w:lineRule="atLeast"/>
        <w:jc w:val="center"/>
        <w:rPr>
          <w:rFonts w:ascii="Arial Bold" w:hAnsi="Arial Bold" w:cs="Arial"/>
          <w:b/>
          <w:smallCaps/>
          <w:lang w:val="en-US"/>
        </w:rPr>
      </w:pPr>
    </w:p>
    <w:p w14:paraId="0EC541BA" w14:textId="77777777" w:rsidR="003520F6" w:rsidRPr="00C3671B" w:rsidRDefault="003520F6" w:rsidP="003520F6">
      <w:pPr>
        <w:spacing w:after="120" w:line="0" w:lineRule="atLeast"/>
        <w:jc w:val="center"/>
        <w:rPr>
          <w:rFonts w:ascii="Arial Bold" w:hAnsi="Arial Bold" w:cs="Arial"/>
          <w:b/>
          <w:smallCaps/>
          <w:sz w:val="28"/>
          <w:szCs w:val="28"/>
          <w:lang w:val="en-US"/>
        </w:rPr>
      </w:pPr>
      <w:r w:rsidRPr="00C3671B">
        <w:rPr>
          <w:rFonts w:ascii="Arial Bold" w:hAnsi="Arial Bold" w:cs="Arial"/>
          <w:b/>
          <w:smallCaps/>
          <w:sz w:val="28"/>
          <w:szCs w:val="28"/>
          <w:lang w:val="en-US"/>
        </w:rPr>
        <w:t>Executive Summary</w:t>
      </w:r>
    </w:p>
    <w:p w14:paraId="3624FD6C" w14:textId="77777777" w:rsidR="003520F6" w:rsidRPr="00C3671B" w:rsidRDefault="003520F6" w:rsidP="003520F6">
      <w:pPr>
        <w:spacing w:line="0" w:lineRule="atLeast"/>
        <w:jc w:val="center"/>
        <w:rPr>
          <w:b/>
          <w:smallCaps/>
        </w:rPr>
      </w:pPr>
    </w:p>
    <w:p w14:paraId="441AE94F" w14:textId="77777777" w:rsidR="003520F6" w:rsidRPr="00C3671B" w:rsidRDefault="003520F6" w:rsidP="003520F6">
      <w:pPr>
        <w:spacing w:line="0" w:lineRule="atLeast"/>
        <w:jc w:val="center"/>
        <w:rPr>
          <w:b/>
          <w:smallCaps/>
        </w:rPr>
      </w:pPr>
    </w:p>
    <w:p w14:paraId="577543B4" w14:textId="55EB8172" w:rsidR="003520F6" w:rsidRPr="00C3671B" w:rsidRDefault="003520F6" w:rsidP="003520F6">
      <w:pPr>
        <w:rPr>
          <w:rFonts w:cs="Arial"/>
        </w:rPr>
      </w:pPr>
      <w:r w:rsidRPr="00C3671B">
        <w:rPr>
          <w:rFonts w:cs="Arial"/>
          <w:i/>
          <w:sz w:val="22"/>
        </w:rPr>
        <w:t>(This executive summary is an outline of the Report.  Copies of the full Report can be downloaded from the Commission</w:t>
      </w:r>
      <w:r w:rsidR="00115808">
        <w:rPr>
          <w:rFonts w:cs="Arial"/>
          <w:i/>
          <w:sz w:val="22"/>
        </w:rPr>
        <w:t>'</w:t>
      </w:r>
      <w:r w:rsidRPr="00C3671B">
        <w:rPr>
          <w:rFonts w:cs="Arial"/>
          <w:i/>
          <w:sz w:val="22"/>
        </w:rPr>
        <w:t xml:space="preserve">s website at: </w:t>
      </w:r>
      <w:hyperlink r:id="rId8" w:history="1">
        <w:r w:rsidRPr="00C3671B">
          <w:rPr>
            <w:rStyle w:val="Hyperlink"/>
            <w:rFonts w:cs="Arial"/>
            <w:i/>
            <w:sz w:val="22"/>
          </w:rPr>
          <w:t>http://www.hkreform.gov.hk</w:t>
        </w:r>
      </w:hyperlink>
      <w:r w:rsidRPr="00C3671B">
        <w:rPr>
          <w:rFonts w:cs="Arial"/>
          <w:i/>
          <w:sz w:val="22"/>
        </w:rPr>
        <w:t xml:space="preserve"> or obtained from the Secretariat of the Law Reform Commission, 4th Floor, East Wing, Justice Place, 18 Lower Albert Road, Central, Hong Kong.) </w:t>
      </w:r>
    </w:p>
    <w:p w14:paraId="48B33F96" w14:textId="77777777" w:rsidR="003520F6" w:rsidRPr="00C3671B" w:rsidRDefault="003520F6" w:rsidP="003520F6">
      <w:pPr>
        <w:snapToGrid/>
        <w:spacing w:line="0" w:lineRule="atLeast"/>
        <w:rPr>
          <w:lang w:val="en-US"/>
        </w:rPr>
      </w:pPr>
    </w:p>
    <w:p w14:paraId="1F9B2640" w14:textId="77777777" w:rsidR="003520F6" w:rsidRPr="00C3671B" w:rsidRDefault="003520F6" w:rsidP="003520F6">
      <w:pPr>
        <w:snapToGrid/>
        <w:spacing w:line="0" w:lineRule="atLeast"/>
        <w:rPr>
          <w:lang w:val="en-US"/>
        </w:rPr>
      </w:pPr>
    </w:p>
    <w:p w14:paraId="1E17270A" w14:textId="77777777" w:rsidR="003520F6" w:rsidRPr="00C3671B" w:rsidRDefault="003520F6" w:rsidP="003520F6">
      <w:pPr>
        <w:snapToGrid/>
        <w:spacing w:line="0" w:lineRule="atLeast"/>
        <w:rPr>
          <w:b/>
          <w:sz w:val="28"/>
          <w:szCs w:val="28"/>
          <w:lang w:val="en-US"/>
        </w:rPr>
      </w:pPr>
      <w:r w:rsidRPr="00C3671B">
        <w:rPr>
          <w:b/>
          <w:sz w:val="28"/>
          <w:szCs w:val="28"/>
          <w:lang w:val="en-US"/>
        </w:rPr>
        <w:t>Consultation process</w:t>
      </w:r>
    </w:p>
    <w:p w14:paraId="7941708A" w14:textId="77777777" w:rsidR="003520F6" w:rsidRPr="00C3671B" w:rsidRDefault="003520F6" w:rsidP="003520F6">
      <w:pPr>
        <w:widowControl/>
        <w:tabs>
          <w:tab w:val="clear" w:pos="1418"/>
        </w:tabs>
        <w:adjustRightInd/>
        <w:rPr>
          <w:szCs w:val="20"/>
        </w:rPr>
      </w:pPr>
    </w:p>
    <w:p w14:paraId="5E874A07" w14:textId="624C9FDB" w:rsidR="003520F6" w:rsidRPr="003068A2" w:rsidRDefault="003068A2" w:rsidP="003068A2">
      <w:pPr>
        <w:pStyle w:val="ListParagraph"/>
        <w:widowControl/>
        <w:numPr>
          <w:ilvl w:val="0"/>
          <w:numId w:val="5"/>
        </w:numPr>
        <w:tabs>
          <w:tab w:val="clear" w:pos="1418"/>
        </w:tabs>
        <w:adjustRightInd/>
        <w:ind w:left="0" w:firstLine="0"/>
        <w:rPr>
          <w:szCs w:val="20"/>
        </w:rPr>
      </w:pPr>
      <w:r>
        <w:rPr>
          <w:szCs w:val="20"/>
        </w:rPr>
        <w:tab/>
      </w:r>
      <w:r w:rsidR="003520F6" w:rsidRPr="003068A2">
        <w:rPr>
          <w:szCs w:val="20"/>
        </w:rPr>
        <w:t>In April 2018, the Law Reform Commission</w:t>
      </w:r>
      <w:r w:rsidR="00115808">
        <w:rPr>
          <w:szCs w:val="20"/>
        </w:rPr>
        <w:t>'</w:t>
      </w:r>
      <w:r w:rsidR="003520F6" w:rsidRPr="003068A2">
        <w:rPr>
          <w:szCs w:val="20"/>
        </w:rPr>
        <w:t>s Periodical Payments for Future Pecuniary Loss in Personal Injury Cases Sub-committee (</w:t>
      </w:r>
      <w:r w:rsidR="00115808">
        <w:rPr>
          <w:szCs w:val="20"/>
        </w:rPr>
        <w:t>"</w:t>
      </w:r>
      <w:r w:rsidR="003520F6" w:rsidRPr="003068A2">
        <w:rPr>
          <w:b/>
          <w:szCs w:val="20"/>
        </w:rPr>
        <w:t>Sub-committee</w:t>
      </w:r>
      <w:r w:rsidR="00115808">
        <w:rPr>
          <w:szCs w:val="20"/>
        </w:rPr>
        <w:t>"</w:t>
      </w:r>
      <w:r w:rsidR="003520F6" w:rsidRPr="003068A2">
        <w:rPr>
          <w:szCs w:val="20"/>
        </w:rPr>
        <w:t>) published the Consultation Paper on Periodical Payments for Future Pecuniary Loss in Personal Injury Cases (</w:t>
      </w:r>
      <w:r w:rsidR="00115808">
        <w:rPr>
          <w:szCs w:val="20"/>
        </w:rPr>
        <w:t>"</w:t>
      </w:r>
      <w:r w:rsidR="003520F6" w:rsidRPr="003068A2">
        <w:rPr>
          <w:b/>
          <w:szCs w:val="20"/>
        </w:rPr>
        <w:t>CP</w:t>
      </w:r>
      <w:r w:rsidR="00115808">
        <w:rPr>
          <w:szCs w:val="20"/>
        </w:rPr>
        <w:t>"</w:t>
      </w:r>
      <w:r w:rsidR="003520F6" w:rsidRPr="003068A2">
        <w:rPr>
          <w:szCs w:val="20"/>
        </w:rPr>
        <w:t>), pursuant to the following terms of reference:</w:t>
      </w:r>
    </w:p>
    <w:p w14:paraId="072FDDF7" w14:textId="77777777" w:rsidR="003520F6" w:rsidRPr="00C3671B" w:rsidRDefault="003520F6" w:rsidP="003520F6">
      <w:pPr>
        <w:widowControl/>
        <w:tabs>
          <w:tab w:val="clear" w:pos="1418"/>
        </w:tabs>
        <w:adjustRightInd/>
        <w:rPr>
          <w:szCs w:val="20"/>
        </w:rPr>
      </w:pPr>
    </w:p>
    <w:p w14:paraId="52630407" w14:textId="58019FC7" w:rsidR="003520F6" w:rsidRPr="00C3671B" w:rsidRDefault="00115808" w:rsidP="003520F6">
      <w:pPr>
        <w:widowControl/>
        <w:tabs>
          <w:tab w:val="clear" w:pos="1418"/>
        </w:tabs>
        <w:adjustRightInd/>
        <w:ind w:left="720" w:right="720"/>
        <w:rPr>
          <w:rFonts w:cs="Arial"/>
          <w:i/>
          <w:szCs w:val="20"/>
        </w:rPr>
      </w:pPr>
      <w:r>
        <w:rPr>
          <w:rFonts w:cs="Arial"/>
          <w:i/>
          <w:szCs w:val="20"/>
        </w:rPr>
        <w:t>"</w:t>
      </w:r>
      <w:r w:rsidR="003520F6" w:rsidRPr="00A17212">
        <w:rPr>
          <w:i/>
        </w:rPr>
        <w:t>To review the relevant law relating to the assessment of damages for future pecuniary loss in personal injury cases, for the purpose of considering whether reform is needed to allow periodical payments for future pecuniary loss to be awarded, and if so, to make recommendations for reform as appropriate including, if deemed necessary, the viability and desirability of a mechanism for fixing and reviewing the presumed rate of return on investment to be applied in assessment of damages in personal injury cases</w:t>
      </w:r>
      <w:r w:rsidR="003520F6" w:rsidRPr="00C3671B">
        <w:rPr>
          <w:i/>
        </w:rPr>
        <w:t>.</w:t>
      </w:r>
      <w:r>
        <w:rPr>
          <w:rFonts w:cs="Arial"/>
          <w:i/>
          <w:szCs w:val="20"/>
        </w:rPr>
        <w:t>"</w:t>
      </w:r>
    </w:p>
    <w:p w14:paraId="3B9E5C55" w14:textId="77777777" w:rsidR="003520F6" w:rsidRPr="00C3671B" w:rsidRDefault="003520F6" w:rsidP="003520F6">
      <w:pPr>
        <w:widowControl/>
        <w:tabs>
          <w:tab w:val="clear" w:pos="1418"/>
        </w:tabs>
        <w:adjustRightInd/>
        <w:ind w:left="720" w:right="720"/>
        <w:rPr>
          <w:rFonts w:cs="Arial"/>
          <w:i/>
          <w:szCs w:val="20"/>
        </w:rPr>
      </w:pPr>
    </w:p>
    <w:p w14:paraId="4548EFE9" w14:textId="14A92212" w:rsidR="003520F6" w:rsidRPr="00DB6AF5" w:rsidRDefault="003068A2" w:rsidP="003068A2">
      <w:pPr>
        <w:pStyle w:val="ListParagraph"/>
        <w:widowControl/>
        <w:numPr>
          <w:ilvl w:val="0"/>
          <w:numId w:val="5"/>
        </w:numPr>
        <w:tabs>
          <w:tab w:val="clear" w:pos="1418"/>
        </w:tabs>
        <w:adjustRightInd/>
        <w:ind w:left="0" w:firstLine="0"/>
        <w:rPr>
          <w:rFonts w:cs="Arial"/>
        </w:rPr>
      </w:pPr>
      <w:r>
        <w:rPr>
          <w:szCs w:val="20"/>
        </w:rPr>
        <w:tab/>
      </w:r>
      <w:r w:rsidR="003520F6">
        <w:rPr>
          <w:rFonts w:cs="Arial"/>
        </w:rPr>
        <w:t>Under the current law</w:t>
      </w:r>
      <w:r w:rsidR="003520F6" w:rsidRPr="00DB6AF5">
        <w:rPr>
          <w:rFonts w:cs="Arial"/>
        </w:rPr>
        <w:t xml:space="preserve">, the court awards pecuniary damages in personal injury cases in a lump sum.  Damages for future pecuniary losses may be awarded on the same basis as damages for past pecuniary losses, that is, </w:t>
      </w:r>
      <w:r w:rsidR="003520F6" w:rsidRPr="00DB6AF5">
        <w:rPr>
          <w:rFonts w:cs="Arial"/>
          <w:i/>
        </w:rPr>
        <w:t>restitutio in integrum</w:t>
      </w:r>
      <w:r w:rsidR="003520F6" w:rsidRPr="00DB6AF5">
        <w:rPr>
          <w:rFonts w:cs="Arial"/>
        </w:rPr>
        <w:t xml:space="preserve"> or full compensation for the loss.  The claimant</w:t>
      </w:r>
      <w:r w:rsidR="00115808">
        <w:rPr>
          <w:rFonts w:cs="Arial"/>
        </w:rPr>
        <w:t>'</w:t>
      </w:r>
      <w:r w:rsidR="003520F6" w:rsidRPr="00DB6AF5">
        <w:rPr>
          <w:rFonts w:cs="Arial"/>
        </w:rPr>
        <w:t>s past and future losses are assessed and crystallised, once and for all</w:t>
      </w:r>
      <w:r w:rsidR="003520F6">
        <w:rPr>
          <w:rFonts w:cs="Arial"/>
        </w:rPr>
        <w:t>,</w:t>
      </w:r>
      <w:r w:rsidR="003520F6" w:rsidRPr="00DB6AF5">
        <w:rPr>
          <w:rFonts w:cs="Arial"/>
        </w:rPr>
        <w:t xml:space="preserve"> into a lump sum payment</w:t>
      </w:r>
      <w:r w:rsidR="003520F6" w:rsidRPr="00DB6AF5">
        <w:rPr>
          <w:rStyle w:val="FootnoteReference"/>
        </w:rPr>
        <w:footnoteReference w:id="1"/>
      </w:r>
      <w:r w:rsidR="003520F6" w:rsidRPr="00DB6AF5">
        <w:rPr>
          <w:rFonts w:cs="Arial"/>
        </w:rPr>
        <w:t xml:space="preserve"> which is determined at the date </w:t>
      </w:r>
      <w:r w:rsidR="005D12F7">
        <w:rPr>
          <w:rFonts w:cs="Arial"/>
        </w:rPr>
        <w:t xml:space="preserve">of the </w:t>
      </w:r>
      <w:r w:rsidR="003520F6" w:rsidRPr="00DB6AF5">
        <w:rPr>
          <w:rFonts w:cs="Arial"/>
        </w:rPr>
        <w:t>hearing or agreement</w:t>
      </w:r>
      <w:r w:rsidR="009F5F37">
        <w:rPr>
          <w:rFonts w:cs="Arial"/>
        </w:rPr>
        <w:t>.</w:t>
      </w:r>
    </w:p>
    <w:p w14:paraId="1A289EFB" w14:textId="77777777" w:rsidR="003520F6" w:rsidRPr="00DB6AF5" w:rsidRDefault="003520F6" w:rsidP="003520F6">
      <w:pPr>
        <w:rPr>
          <w:rFonts w:cs="Arial"/>
        </w:rPr>
      </w:pPr>
    </w:p>
    <w:p w14:paraId="2367B4CA" w14:textId="39BAEA4A" w:rsidR="003520F6" w:rsidRPr="003068A2" w:rsidRDefault="00CA6719" w:rsidP="003068A2">
      <w:pPr>
        <w:pStyle w:val="ListParagraph"/>
        <w:widowControl/>
        <w:numPr>
          <w:ilvl w:val="0"/>
          <w:numId w:val="5"/>
        </w:numPr>
        <w:tabs>
          <w:tab w:val="clear" w:pos="1418"/>
        </w:tabs>
        <w:adjustRightInd/>
        <w:ind w:left="0" w:firstLine="0"/>
        <w:rPr>
          <w:rFonts w:cs="Arial"/>
        </w:rPr>
      </w:pPr>
      <w:r>
        <w:rPr>
          <w:rFonts w:cs="Arial"/>
        </w:rPr>
        <w:tab/>
      </w:r>
      <w:r w:rsidR="003520F6" w:rsidRPr="003068A2">
        <w:rPr>
          <w:rFonts w:cs="Arial"/>
        </w:rPr>
        <w:t xml:space="preserve">Assessing a </w:t>
      </w:r>
      <w:r w:rsidR="00115808">
        <w:rPr>
          <w:rFonts w:cs="Arial"/>
        </w:rPr>
        <w:t>"</w:t>
      </w:r>
      <w:r w:rsidR="003520F6" w:rsidRPr="003068A2">
        <w:rPr>
          <w:rFonts w:cs="Arial"/>
          <w:i/>
        </w:rPr>
        <w:t>once and for all</w:t>
      </w:r>
      <w:r w:rsidR="00115808">
        <w:rPr>
          <w:rFonts w:cs="Arial"/>
        </w:rPr>
        <w:t>"</w:t>
      </w:r>
      <w:r w:rsidR="003520F6" w:rsidRPr="003068A2">
        <w:rPr>
          <w:rFonts w:cs="Arial"/>
        </w:rPr>
        <w:t xml:space="preserve"> lump sum award is a difficult task for courts as any assessment of damages for future pecuniary loss must </w:t>
      </w:r>
      <w:r w:rsidR="003520F6" w:rsidRPr="003068A2">
        <w:rPr>
          <w:rFonts w:cs="Arial"/>
        </w:rPr>
        <w:lastRenderedPageBreak/>
        <w:t>consider what a plaintiff might have earned but for the injury, the earning capacity of the plaintiff after the injury and any additional expenses incurred fol</w:t>
      </w:r>
      <w:r w:rsidR="009F5F37">
        <w:rPr>
          <w:rFonts w:cs="Arial"/>
        </w:rPr>
        <w:t>lowing the injury.</w:t>
      </w:r>
    </w:p>
    <w:p w14:paraId="5C8F664C" w14:textId="77777777" w:rsidR="003520F6" w:rsidRDefault="003520F6" w:rsidP="003520F6">
      <w:pPr>
        <w:keepLines/>
        <w:rPr>
          <w:rFonts w:cs="Arial"/>
        </w:rPr>
      </w:pPr>
    </w:p>
    <w:p w14:paraId="0454654D" w14:textId="3A801EA9" w:rsidR="003520F6" w:rsidRPr="00DB6AF5" w:rsidRDefault="003520F6" w:rsidP="003068A2">
      <w:pPr>
        <w:pStyle w:val="ListParagraph"/>
        <w:widowControl/>
        <w:numPr>
          <w:ilvl w:val="0"/>
          <w:numId w:val="5"/>
        </w:numPr>
        <w:tabs>
          <w:tab w:val="clear" w:pos="1418"/>
        </w:tabs>
        <w:adjustRightInd/>
        <w:ind w:left="0" w:firstLine="0"/>
        <w:rPr>
          <w:rFonts w:cs="Arial"/>
        </w:rPr>
      </w:pPr>
      <w:r w:rsidRPr="00DB6AF5">
        <w:rPr>
          <w:rFonts w:cs="Arial"/>
        </w:rPr>
        <w:tab/>
        <w:t xml:space="preserve">In a case, </w:t>
      </w:r>
      <w:r w:rsidRPr="00DB6AF5">
        <w:rPr>
          <w:rFonts w:cs="Arial"/>
          <w:i/>
        </w:rPr>
        <w:t>Chan Pak Ting v Chan Chi Kuen &amp; Anor,</w:t>
      </w:r>
      <w:r w:rsidRPr="00DB6AF5">
        <w:rPr>
          <w:rFonts w:cs="Arial"/>
          <w:vertAlign w:val="superscript"/>
        </w:rPr>
        <w:footnoteReference w:id="2"/>
      </w:r>
      <w:r w:rsidRPr="00DB6AF5">
        <w:rPr>
          <w:rFonts w:cs="Arial"/>
          <w:i/>
        </w:rPr>
        <w:t xml:space="preserve"> </w:t>
      </w:r>
      <w:r w:rsidRPr="00DB6AF5">
        <w:rPr>
          <w:rFonts w:cs="Arial"/>
        </w:rPr>
        <w:t>Bharwaney J pointed out the option of making periodical payments as an alternative to the conventional multiplier/multiplicand approach to assessing damages for future pecuniary loss.</w:t>
      </w:r>
    </w:p>
    <w:p w14:paraId="1E696573" w14:textId="77777777" w:rsidR="003520F6" w:rsidRPr="00C1539D" w:rsidRDefault="003520F6" w:rsidP="003520F6">
      <w:pPr>
        <w:widowControl/>
        <w:tabs>
          <w:tab w:val="clear" w:pos="1418"/>
        </w:tabs>
        <w:adjustRightInd/>
        <w:rPr>
          <w:rFonts w:eastAsia="SimSun"/>
          <w:lang w:eastAsia="zh-CN"/>
        </w:rPr>
      </w:pPr>
    </w:p>
    <w:p w14:paraId="4C65A2CD" w14:textId="7CD08E1D" w:rsidR="003520F6" w:rsidRPr="00C3671B" w:rsidRDefault="003520F6" w:rsidP="003068A2">
      <w:pPr>
        <w:pStyle w:val="ListParagraph"/>
        <w:widowControl/>
        <w:numPr>
          <w:ilvl w:val="0"/>
          <w:numId w:val="5"/>
        </w:numPr>
        <w:tabs>
          <w:tab w:val="clear" w:pos="1418"/>
        </w:tabs>
        <w:adjustRightInd/>
        <w:ind w:left="0" w:firstLine="0"/>
        <w:rPr>
          <w:rFonts w:cs="Arial"/>
          <w:lang w:val="en-US"/>
        </w:rPr>
      </w:pPr>
      <w:r w:rsidRPr="00C3671B">
        <w:rPr>
          <w:lang w:val="en-US"/>
        </w:rPr>
        <w:tab/>
      </w:r>
      <w:r w:rsidRPr="00C3671B">
        <w:rPr>
          <w:rFonts w:cs="Arial"/>
        </w:rPr>
        <w:t xml:space="preserve">The Sub-committee received </w:t>
      </w:r>
      <w:r>
        <w:rPr>
          <w:rFonts w:cs="Arial"/>
        </w:rPr>
        <w:t>51</w:t>
      </w:r>
      <w:r w:rsidRPr="00C3671B">
        <w:rPr>
          <w:rStyle w:val="FootnoteReference"/>
          <w:rFonts w:cs="Arial"/>
        </w:rPr>
        <w:footnoteReference w:id="3"/>
      </w:r>
      <w:r w:rsidRPr="00C3671B">
        <w:rPr>
          <w:rFonts w:cs="Arial"/>
        </w:rPr>
        <w:t xml:space="preserve"> responses from members of the public during the consultation.  We are most grateful to all those who have commented on the CP </w:t>
      </w:r>
      <w:r w:rsidRPr="00C3671B">
        <w:rPr>
          <w:rFonts w:eastAsiaTheme="minorEastAsia" w:cs="Arial"/>
        </w:rPr>
        <w:t>(</w:t>
      </w:r>
      <w:r w:rsidR="00115808">
        <w:rPr>
          <w:rFonts w:eastAsiaTheme="minorEastAsia" w:cs="Arial"/>
        </w:rPr>
        <w:t>"</w:t>
      </w:r>
      <w:r w:rsidRPr="00C3671B">
        <w:rPr>
          <w:rFonts w:eastAsiaTheme="minorEastAsia" w:cs="Arial"/>
          <w:b/>
        </w:rPr>
        <w:t>Respondents</w:t>
      </w:r>
      <w:r w:rsidR="00115808">
        <w:rPr>
          <w:rFonts w:eastAsiaTheme="minorEastAsia" w:cs="Arial"/>
        </w:rPr>
        <w:t>"</w:t>
      </w:r>
      <w:r w:rsidRPr="00C3671B">
        <w:rPr>
          <w:rFonts w:eastAsiaTheme="minorEastAsia" w:cs="Arial"/>
        </w:rPr>
        <w:t>)</w:t>
      </w:r>
      <w:r w:rsidRPr="00C3671B">
        <w:rPr>
          <w:rFonts w:cs="Arial"/>
        </w:rPr>
        <w:t>.</w:t>
      </w:r>
    </w:p>
    <w:p w14:paraId="72236AE3" w14:textId="77777777" w:rsidR="003520F6" w:rsidRPr="00C3671B" w:rsidRDefault="003520F6" w:rsidP="003520F6">
      <w:pPr>
        <w:rPr>
          <w:lang w:val="en-US"/>
        </w:rPr>
      </w:pPr>
      <w:bookmarkStart w:id="1" w:name="_Toc460249244"/>
      <w:bookmarkStart w:id="2" w:name="_Toc459106005"/>
      <w:bookmarkStart w:id="3" w:name="_Toc442361794"/>
    </w:p>
    <w:p w14:paraId="53C86D31" w14:textId="77777777" w:rsidR="003520F6" w:rsidRPr="00C3671B" w:rsidRDefault="003520F6" w:rsidP="003520F6">
      <w:pPr>
        <w:rPr>
          <w:lang w:val="en-US"/>
        </w:rPr>
      </w:pPr>
    </w:p>
    <w:p w14:paraId="4B11CBD7" w14:textId="77777777" w:rsidR="003520F6" w:rsidRPr="00C3671B" w:rsidRDefault="003520F6" w:rsidP="003520F6">
      <w:pPr>
        <w:widowControl/>
        <w:tabs>
          <w:tab w:val="clear" w:pos="1418"/>
        </w:tabs>
        <w:adjustRightInd/>
        <w:rPr>
          <w:rFonts w:cs="Arial"/>
          <w:b/>
          <w:bCs/>
          <w:sz w:val="28"/>
          <w:szCs w:val="28"/>
          <w:lang w:val="en-US"/>
        </w:rPr>
      </w:pPr>
      <w:r w:rsidRPr="00C3671B">
        <w:rPr>
          <w:rFonts w:cs="Arial"/>
          <w:b/>
          <w:bCs/>
          <w:sz w:val="28"/>
          <w:szCs w:val="28"/>
          <w:lang w:val="en-US"/>
        </w:rPr>
        <w:t>Structure of the Report</w:t>
      </w:r>
    </w:p>
    <w:p w14:paraId="04C5C52F" w14:textId="77777777" w:rsidR="003520F6" w:rsidRPr="00C3671B" w:rsidRDefault="003520F6" w:rsidP="003520F6">
      <w:pPr>
        <w:widowControl/>
        <w:tabs>
          <w:tab w:val="clear" w:pos="1418"/>
        </w:tabs>
        <w:adjustRightInd/>
        <w:rPr>
          <w:rFonts w:cs="Arial"/>
          <w:b/>
          <w:bCs/>
          <w:sz w:val="28"/>
          <w:szCs w:val="28"/>
          <w:lang w:val="en-US"/>
        </w:rPr>
      </w:pPr>
    </w:p>
    <w:p w14:paraId="322A59E4" w14:textId="4C4E07B8" w:rsidR="003520F6" w:rsidRPr="0039329E" w:rsidRDefault="003520F6" w:rsidP="003068A2">
      <w:pPr>
        <w:pStyle w:val="ListParagraph"/>
        <w:widowControl/>
        <w:numPr>
          <w:ilvl w:val="0"/>
          <w:numId w:val="5"/>
        </w:numPr>
        <w:tabs>
          <w:tab w:val="clear" w:pos="1418"/>
        </w:tabs>
        <w:adjustRightInd/>
        <w:ind w:left="0" w:firstLine="0"/>
        <w:rPr>
          <w:rFonts w:eastAsiaTheme="minorEastAsia" w:cs="Arial"/>
        </w:rPr>
      </w:pPr>
      <w:r w:rsidRPr="00C3671B">
        <w:rPr>
          <w:rFonts w:cs="Arial"/>
        </w:rPr>
        <w:tab/>
        <w:t xml:space="preserve">The Report consists of 6 chapters dealing with </w:t>
      </w:r>
      <w:r w:rsidR="00B17AE6">
        <w:rPr>
          <w:rFonts w:cs="Arial"/>
        </w:rPr>
        <w:t xml:space="preserve">8 </w:t>
      </w:r>
      <w:r w:rsidRPr="00C3671B">
        <w:rPr>
          <w:rFonts w:cs="Arial"/>
        </w:rPr>
        <w:t>Final Recommendations:</w:t>
      </w:r>
      <w:r w:rsidRPr="00C3671B">
        <w:rPr>
          <w:rFonts w:eastAsiaTheme="minorEastAsia" w:cs="Arial"/>
        </w:rPr>
        <w:t xml:space="preserve"> </w:t>
      </w:r>
    </w:p>
    <w:p w14:paraId="1DC7540D" w14:textId="77777777" w:rsidR="003520F6" w:rsidRPr="0039329E" w:rsidRDefault="003520F6" w:rsidP="003520F6">
      <w:pPr>
        <w:widowControl/>
        <w:tabs>
          <w:tab w:val="clear" w:pos="1418"/>
          <w:tab w:val="left" w:pos="1440"/>
        </w:tabs>
        <w:rPr>
          <w:rFonts w:eastAsiaTheme="minorEastAsia" w:cs="Arial"/>
        </w:rPr>
      </w:pPr>
    </w:p>
    <w:p w14:paraId="02F0307F" w14:textId="5C855F00" w:rsidR="003520F6" w:rsidRPr="0039329E" w:rsidRDefault="003520F6" w:rsidP="003520F6">
      <w:pPr>
        <w:pStyle w:val="ListParagraph"/>
        <w:widowControl/>
        <w:numPr>
          <w:ilvl w:val="0"/>
          <w:numId w:val="1"/>
        </w:numPr>
        <w:adjustRightInd/>
        <w:spacing w:after="120"/>
        <w:ind w:left="1440" w:hanging="720"/>
        <w:rPr>
          <w:rFonts w:eastAsiaTheme="minorEastAsia" w:cs="Arial"/>
        </w:rPr>
      </w:pPr>
      <w:r w:rsidRPr="0039329E">
        <w:rPr>
          <w:rFonts w:eastAsiaTheme="minorEastAsia" w:cs="Arial"/>
        </w:rPr>
        <w:t xml:space="preserve">Chapter 1 </w:t>
      </w:r>
      <w:r w:rsidR="00A903DF">
        <w:rPr>
          <w:rFonts w:eastAsiaTheme="minorEastAsia" w:cs="Arial"/>
        </w:rPr>
        <w:t>addresses</w:t>
      </w:r>
      <w:r w:rsidR="00A903DF" w:rsidRPr="0039329E">
        <w:rPr>
          <w:rFonts w:eastAsiaTheme="minorEastAsia" w:cs="Arial"/>
        </w:rPr>
        <w:t xml:space="preserve"> </w:t>
      </w:r>
      <w:r w:rsidRPr="0039329E">
        <w:rPr>
          <w:rFonts w:eastAsiaTheme="minorEastAsia" w:cs="Arial"/>
        </w:rPr>
        <w:t>the need to confer the power to the court to make Periodical Payment Order</w:t>
      </w:r>
      <w:r w:rsidR="00B17AE6">
        <w:rPr>
          <w:rFonts w:eastAsiaTheme="minorEastAsia" w:cs="Arial"/>
        </w:rPr>
        <w:t>s</w:t>
      </w:r>
      <w:r w:rsidRPr="0039329E">
        <w:rPr>
          <w:rFonts w:eastAsiaTheme="minorEastAsia" w:cs="Arial"/>
        </w:rPr>
        <w:t xml:space="preserve"> (</w:t>
      </w:r>
      <w:r w:rsidR="00115808">
        <w:rPr>
          <w:rFonts w:eastAsiaTheme="minorEastAsia" w:cs="Arial"/>
        </w:rPr>
        <w:t>"</w:t>
      </w:r>
      <w:r w:rsidRPr="0039329E">
        <w:rPr>
          <w:rFonts w:eastAsiaTheme="minorEastAsia" w:cs="Arial"/>
          <w:b/>
        </w:rPr>
        <w:t>PPO</w:t>
      </w:r>
      <w:r w:rsidR="00B17AE6">
        <w:rPr>
          <w:rFonts w:eastAsiaTheme="minorEastAsia" w:cs="Arial"/>
          <w:b/>
        </w:rPr>
        <w:t>s</w:t>
      </w:r>
      <w:r w:rsidR="00115808">
        <w:rPr>
          <w:rFonts w:eastAsiaTheme="minorEastAsia" w:cs="Arial"/>
        </w:rPr>
        <w:t>"</w:t>
      </w:r>
      <w:r w:rsidRPr="0039329E">
        <w:rPr>
          <w:rFonts w:eastAsiaTheme="minorEastAsia" w:cs="Arial"/>
        </w:rPr>
        <w:t>) in respect of damages for future pecuniary loss in personal injury cases (Final Recommendation 1).</w:t>
      </w:r>
    </w:p>
    <w:p w14:paraId="53812D56" w14:textId="7CA67276" w:rsidR="003520F6" w:rsidRPr="0039329E" w:rsidRDefault="003520F6" w:rsidP="003520F6">
      <w:pPr>
        <w:pStyle w:val="ListParagraph"/>
        <w:widowControl/>
        <w:numPr>
          <w:ilvl w:val="0"/>
          <w:numId w:val="1"/>
        </w:numPr>
        <w:adjustRightInd/>
        <w:spacing w:after="120"/>
        <w:ind w:left="1440" w:hanging="720"/>
        <w:rPr>
          <w:rFonts w:eastAsiaTheme="minorEastAsia" w:cs="Arial"/>
        </w:rPr>
      </w:pPr>
      <w:r w:rsidRPr="0039329E">
        <w:rPr>
          <w:rFonts w:eastAsiaTheme="minorEastAsia" w:cs="Arial"/>
        </w:rPr>
        <w:t xml:space="preserve">Chapter 2 </w:t>
      </w:r>
      <w:r>
        <w:rPr>
          <w:rFonts w:eastAsiaTheme="minorEastAsia" w:cs="Arial"/>
        </w:rPr>
        <w:t>deals with</w:t>
      </w:r>
      <w:r w:rsidRPr="0039329E">
        <w:rPr>
          <w:rFonts w:eastAsiaTheme="minorEastAsia" w:cs="Arial"/>
        </w:rPr>
        <w:t xml:space="preserve"> the </w:t>
      </w:r>
      <w:r w:rsidRPr="0039329E">
        <w:t>set</w:t>
      </w:r>
      <w:r>
        <w:t>ting</w:t>
      </w:r>
      <w:r w:rsidRPr="0039329E">
        <w:t xml:space="preserve"> up </w:t>
      </w:r>
      <w:r>
        <w:t xml:space="preserve">of </w:t>
      </w:r>
      <w:r w:rsidRPr="0039329E">
        <w:t>a m</w:t>
      </w:r>
      <w:r w:rsidRPr="0039329E">
        <w:rPr>
          <w:rFonts w:eastAsiaTheme="minorEastAsia" w:cs="Arial"/>
        </w:rPr>
        <w:t xml:space="preserve">echanism for the formulation and promulgation of the </w:t>
      </w:r>
      <w:r>
        <w:rPr>
          <w:rFonts w:eastAsiaTheme="minorEastAsia" w:cs="Arial"/>
        </w:rPr>
        <w:t>presumed net rate(s) of return on investment (</w:t>
      </w:r>
      <w:r w:rsidR="00115808">
        <w:rPr>
          <w:rFonts w:eastAsiaTheme="minorEastAsia" w:cs="Arial"/>
        </w:rPr>
        <w:t>"</w:t>
      </w:r>
      <w:r w:rsidRPr="008E0F07">
        <w:rPr>
          <w:rFonts w:eastAsiaTheme="minorEastAsia" w:cs="Arial"/>
          <w:b/>
        </w:rPr>
        <w:t>Discount</w:t>
      </w:r>
      <w:r w:rsidRPr="0039329E">
        <w:rPr>
          <w:rFonts w:eastAsiaTheme="minorEastAsia" w:cs="Arial"/>
        </w:rPr>
        <w:t xml:space="preserve"> </w:t>
      </w:r>
      <w:r w:rsidRPr="008E0F07">
        <w:rPr>
          <w:rFonts w:eastAsiaTheme="minorEastAsia" w:cs="Arial"/>
          <w:b/>
        </w:rPr>
        <w:t>Rate</w:t>
      </w:r>
      <w:r w:rsidR="00115808">
        <w:rPr>
          <w:rFonts w:eastAsiaTheme="minorEastAsia" w:cs="Arial"/>
        </w:rPr>
        <w:t>"</w:t>
      </w:r>
      <w:r>
        <w:rPr>
          <w:rFonts w:eastAsiaTheme="minorEastAsia" w:cs="Arial"/>
        </w:rPr>
        <w:t>)</w:t>
      </w:r>
      <w:r w:rsidRPr="0039329E">
        <w:rPr>
          <w:rFonts w:eastAsiaTheme="minorEastAsia" w:cs="Arial"/>
        </w:rPr>
        <w:t xml:space="preserve"> (Final Recommendation 2).</w:t>
      </w:r>
    </w:p>
    <w:p w14:paraId="1DB514BD" w14:textId="2F9AB503" w:rsidR="003520F6" w:rsidRPr="0039329E" w:rsidRDefault="003520F6" w:rsidP="003520F6">
      <w:pPr>
        <w:pStyle w:val="ListParagraph"/>
        <w:widowControl/>
        <w:numPr>
          <w:ilvl w:val="0"/>
          <w:numId w:val="1"/>
        </w:numPr>
        <w:adjustRightInd/>
        <w:spacing w:after="120"/>
        <w:ind w:left="1440" w:hanging="720"/>
        <w:rPr>
          <w:rFonts w:eastAsiaTheme="minorEastAsia" w:cs="Arial"/>
        </w:rPr>
      </w:pPr>
      <w:r w:rsidRPr="0039329E">
        <w:rPr>
          <w:rFonts w:eastAsiaTheme="minorEastAsia" w:cs="Arial"/>
        </w:rPr>
        <w:t>Chapter 3 discusses various factors and limitations on the court</w:t>
      </w:r>
      <w:r w:rsidR="00115808">
        <w:rPr>
          <w:rFonts w:eastAsiaTheme="minorEastAsia" w:cs="Arial"/>
        </w:rPr>
        <w:t>'</w:t>
      </w:r>
      <w:r w:rsidRPr="0039329E">
        <w:rPr>
          <w:rFonts w:eastAsiaTheme="minorEastAsia" w:cs="Arial"/>
        </w:rPr>
        <w:t>s power to award PPOs (Final Recommendation 3).</w:t>
      </w:r>
    </w:p>
    <w:p w14:paraId="46E94EA2" w14:textId="77777777" w:rsidR="003520F6" w:rsidRPr="0039329E" w:rsidRDefault="003520F6" w:rsidP="003520F6">
      <w:pPr>
        <w:pStyle w:val="ListParagraph"/>
        <w:widowControl/>
        <w:numPr>
          <w:ilvl w:val="0"/>
          <w:numId w:val="1"/>
        </w:numPr>
        <w:adjustRightInd/>
        <w:spacing w:after="120"/>
        <w:ind w:left="1440" w:hanging="720"/>
        <w:rPr>
          <w:rFonts w:eastAsiaTheme="minorEastAsia" w:cs="Arial"/>
        </w:rPr>
      </w:pPr>
      <w:r w:rsidRPr="0039329E">
        <w:rPr>
          <w:rFonts w:eastAsia="SimSun" w:cs="Arial"/>
          <w:lang w:eastAsia="zh-CN"/>
        </w:rPr>
        <w:t xml:space="preserve">Chapter 4 examines the circumstances for review by the court of PPOs and co-existence of a PPO regime with the current regime </w:t>
      </w:r>
      <w:r>
        <w:rPr>
          <w:rFonts w:eastAsia="SimSun" w:cs="Arial"/>
          <w:lang w:eastAsia="zh-CN"/>
        </w:rPr>
        <w:t xml:space="preserve">of provisional damages </w:t>
      </w:r>
      <w:r w:rsidRPr="0039329E">
        <w:rPr>
          <w:rFonts w:eastAsia="SimSun" w:cs="Arial"/>
          <w:lang w:eastAsia="zh-CN"/>
        </w:rPr>
        <w:t>(Final Recommendations 4</w:t>
      </w:r>
      <w:r>
        <w:rPr>
          <w:rFonts w:eastAsia="SimSun" w:cs="Arial"/>
          <w:lang w:eastAsia="zh-CN"/>
        </w:rPr>
        <w:t>,</w:t>
      </w:r>
      <w:r w:rsidRPr="0039329E">
        <w:rPr>
          <w:rFonts w:eastAsia="SimSun" w:cs="Arial"/>
          <w:lang w:eastAsia="zh-CN"/>
        </w:rPr>
        <w:t xml:space="preserve"> 5 and 6).</w:t>
      </w:r>
    </w:p>
    <w:p w14:paraId="7F7A6AA0" w14:textId="7860C680" w:rsidR="003520F6" w:rsidRPr="0039329E" w:rsidRDefault="003520F6" w:rsidP="003520F6">
      <w:pPr>
        <w:pStyle w:val="ListParagraph"/>
        <w:widowControl/>
        <w:numPr>
          <w:ilvl w:val="0"/>
          <w:numId w:val="1"/>
        </w:numPr>
        <w:adjustRightInd/>
        <w:spacing w:after="120"/>
        <w:ind w:left="1440" w:hanging="720"/>
        <w:rPr>
          <w:rFonts w:eastAsiaTheme="minorEastAsia" w:cs="Arial"/>
        </w:rPr>
      </w:pPr>
      <w:r w:rsidRPr="0039329E">
        <w:rPr>
          <w:rFonts w:eastAsia="SimSun" w:cs="Arial" w:hint="eastAsia"/>
          <w:lang w:eastAsia="zh-CN"/>
        </w:rPr>
        <w:t xml:space="preserve">Chapter </w:t>
      </w:r>
      <w:r w:rsidRPr="0039329E">
        <w:rPr>
          <w:rFonts w:eastAsia="SimSun" w:cs="Arial"/>
          <w:lang w:eastAsia="zh-CN"/>
        </w:rPr>
        <w:t>5</w:t>
      </w:r>
      <w:r w:rsidRPr="0039329E">
        <w:rPr>
          <w:rFonts w:eastAsia="SimSun" w:cs="Arial" w:hint="eastAsia"/>
          <w:lang w:eastAsia="zh-CN"/>
        </w:rPr>
        <w:t xml:space="preserve"> </w:t>
      </w:r>
      <w:r w:rsidR="00A903DF">
        <w:rPr>
          <w:rFonts w:eastAsia="SimSun" w:cs="Arial"/>
          <w:lang w:eastAsia="zh-CN"/>
        </w:rPr>
        <w:t>focuses on</w:t>
      </w:r>
      <w:r w:rsidR="00A903DF" w:rsidRPr="0039329E">
        <w:rPr>
          <w:rFonts w:eastAsia="SimSun" w:cs="Arial"/>
          <w:lang w:eastAsia="zh-CN"/>
        </w:rPr>
        <w:t xml:space="preserve"> </w:t>
      </w:r>
      <w:r w:rsidRPr="0039329E">
        <w:rPr>
          <w:rFonts w:eastAsia="SimSun" w:cs="Arial"/>
          <w:lang w:eastAsia="zh-CN"/>
        </w:rPr>
        <w:t>the need to ensure the security of payment under PPO</w:t>
      </w:r>
      <w:r>
        <w:rPr>
          <w:rFonts w:eastAsia="SimSun" w:cs="Arial"/>
          <w:lang w:eastAsia="zh-CN"/>
        </w:rPr>
        <w:t>s</w:t>
      </w:r>
      <w:r w:rsidRPr="0039329E">
        <w:rPr>
          <w:rFonts w:eastAsia="SimSun" w:cs="Arial"/>
          <w:lang w:eastAsia="zh-CN"/>
        </w:rPr>
        <w:t xml:space="preserve"> </w:t>
      </w:r>
      <w:r w:rsidR="00115D77">
        <w:rPr>
          <w:rFonts w:eastAsia="SimSun" w:cs="Arial"/>
          <w:lang w:eastAsia="zh-CN"/>
        </w:rPr>
        <w:t xml:space="preserve">and the implementation of the PPO regime by way of legislation as soon as practicable.  </w:t>
      </w:r>
      <w:r w:rsidRPr="0039329E">
        <w:rPr>
          <w:rFonts w:eastAsia="SimSun" w:cs="Arial"/>
          <w:lang w:eastAsia="zh-CN"/>
        </w:rPr>
        <w:t>(Final Recommendation</w:t>
      </w:r>
      <w:r w:rsidR="00266835">
        <w:rPr>
          <w:rFonts w:eastAsia="SimSun" w:cs="Arial"/>
          <w:lang w:eastAsia="zh-CN"/>
        </w:rPr>
        <w:t>s</w:t>
      </w:r>
      <w:r w:rsidRPr="0039329E">
        <w:rPr>
          <w:rFonts w:eastAsia="SimSun" w:cs="Arial"/>
          <w:lang w:eastAsia="zh-CN"/>
        </w:rPr>
        <w:t xml:space="preserve"> 7</w:t>
      </w:r>
      <w:r w:rsidR="00266835">
        <w:rPr>
          <w:rFonts w:eastAsia="SimSun" w:cs="Arial"/>
          <w:lang w:eastAsia="zh-CN"/>
        </w:rPr>
        <w:t xml:space="preserve"> and 8</w:t>
      </w:r>
      <w:r w:rsidRPr="0039329E">
        <w:rPr>
          <w:rFonts w:eastAsia="SimSun" w:cs="Arial"/>
          <w:lang w:eastAsia="zh-CN"/>
        </w:rPr>
        <w:t>).</w:t>
      </w:r>
    </w:p>
    <w:p w14:paraId="16596ACC" w14:textId="2F54B2AA" w:rsidR="003520F6" w:rsidRPr="00C3671B" w:rsidRDefault="003520F6" w:rsidP="003520F6">
      <w:pPr>
        <w:pStyle w:val="ListParagraph"/>
        <w:widowControl/>
        <w:numPr>
          <w:ilvl w:val="0"/>
          <w:numId w:val="1"/>
        </w:numPr>
        <w:adjustRightInd/>
        <w:ind w:left="1440" w:hanging="720"/>
        <w:rPr>
          <w:rFonts w:eastAsiaTheme="minorEastAsia" w:cs="Arial"/>
        </w:rPr>
      </w:pPr>
      <w:r w:rsidRPr="00C3671B">
        <w:rPr>
          <w:rFonts w:eastAsiaTheme="minorEastAsia" w:cs="Arial"/>
        </w:rPr>
        <w:t xml:space="preserve">Chapter </w:t>
      </w:r>
      <w:r>
        <w:rPr>
          <w:rFonts w:eastAsiaTheme="minorEastAsia" w:cs="Arial"/>
        </w:rPr>
        <w:t>6</w:t>
      </w:r>
      <w:r w:rsidRPr="00C3671B">
        <w:rPr>
          <w:rFonts w:eastAsiaTheme="minorEastAsia" w:cs="Arial"/>
        </w:rPr>
        <w:t xml:space="preserve"> sets out again, for quick reference, all of the Final Recommendations made in the previous chapters.</w:t>
      </w:r>
    </w:p>
    <w:p w14:paraId="7F62D285" w14:textId="77777777" w:rsidR="003520F6" w:rsidRPr="00C3671B" w:rsidRDefault="003520F6" w:rsidP="003520F6">
      <w:pPr>
        <w:widowControl/>
        <w:tabs>
          <w:tab w:val="clear" w:pos="1418"/>
          <w:tab w:val="left" w:pos="1440"/>
        </w:tabs>
        <w:rPr>
          <w:rFonts w:eastAsiaTheme="minorEastAsia" w:cs="Arial"/>
        </w:rPr>
      </w:pPr>
    </w:p>
    <w:p w14:paraId="0D334449" w14:textId="64956B81" w:rsidR="003520F6" w:rsidRPr="00C3671B" w:rsidRDefault="00EC2484" w:rsidP="003068A2">
      <w:pPr>
        <w:pStyle w:val="ListParagraph"/>
        <w:widowControl/>
        <w:numPr>
          <w:ilvl w:val="0"/>
          <w:numId w:val="5"/>
        </w:numPr>
        <w:tabs>
          <w:tab w:val="clear" w:pos="1418"/>
        </w:tabs>
        <w:adjustRightInd/>
        <w:ind w:left="0" w:firstLine="0"/>
        <w:rPr>
          <w:rFonts w:eastAsiaTheme="minorEastAsia" w:cs="Arial"/>
        </w:rPr>
      </w:pPr>
      <w:r>
        <w:rPr>
          <w:rFonts w:eastAsiaTheme="minorEastAsia" w:cs="Arial"/>
        </w:rPr>
        <w:tab/>
      </w:r>
      <w:r w:rsidR="003520F6" w:rsidRPr="00C3671B">
        <w:rPr>
          <w:rFonts w:eastAsiaTheme="minorEastAsia" w:cs="Arial"/>
        </w:rPr>
        <w:t>The list of Respondents to the consultation (</w:t>
      </w:r>
      <w:r w:rsidR="003520F6" w:rsidRPr="00C3671B">
        <w:rPr>
          <w:rFonts w:eastAsiaTheme="minorEastAsia" w:cs="Arial"/>
          <w:b/>
        </w:rPr>
        <w:t xml:space="preserve">Annex </w:t>
      </w:r>
      <w:r w:rsidR="003520F6">
        <w:rPr>
          <w:rFonts w:eastAsiaTheme="minorEastAsia" w:cs="Arial"/>
          <w:b/>
        </w:rPr>
        <w:t>1</w:t>
      </w:r>
      <w:r w:rsidR="003520F6" w:rsidRPr="00C3671B">
        <w:rPr>
          <w:rFonts w:eastAsiaTheme="minorEastAsia" w:cs="Arial"/>
        </w:rPr>
        <w:t>)</w:t>
      </w:r>
      <w:r w:rsidR="003520F6">
        <w:rPr>
          <w:rFonts w:eastAsiaTheme="minorEastAsia" w:cs="Arial"/>
        </w:rPr>
        <w:t xml:space="preserve">, the </w:t>
      </w:r>
      <w:r w:rsidR="003520F6" w:rsidRPr="00C3671B">
        <w:rPr>
          <w:rFonts w:eastAsiaTheme="minorEastAsia" w:cs="Arial"/>
        </w:rPr>
        <w:t xml:space="preserve">draft </w:t>
      </w:r>
      <w:r w:rsidR="003520F6">
        <w:rPr>
          <w:rFonts w:eastAsiaTheme="minorEastAsia" w:cs="Arial"/>
        </w:rPr>
        <w:t>Personal Injuries (Miscellaneous Provisions) Bill</w:t>
      </w:r>
      <w:r w:rsidR="003520F6" w:rsidRPr="00C3671B">
        <w:rPr>
          <w:rFonts w:eastAsiaTheme="minorEastAsia" w:cs="Arial"/>
        </w:rPr>
        <w:t xml:space="preserve"> (</w:t>
      </w:r>
      <w:r w:rsidR="003520F6" w:rsidRPr="00C3671B">
        <w:rPr>
          <w:rFonts w:eastAsiaTheme="minorEastAsia" w:cs="Arial"/>
          <w:b/>
        </w:rPr>
        <w:t xml:space="preserve">Annex </w:t>
      </w:r>
      <w:r w:rsidR="003520F6">
        <w:rPr>
          <w:rFonts w:eastAsiaTheme="minorEastAsia" w:cs="Arial"/>
          <w:b/>
        </w:rPr>
        <w:t>2</w:t>
      </w:r>
      <w:r w:rsidR="003520F6" w:rsidRPr="00C3671B">
        <w:rPr>
          <w:rFonts w:eastAsiaTheme="minorEastAsia" w:cs="Arial"/>
        </w:rPr>
        <w:t>)</w:t>
      </w:r>
      <w:r w:rsidR="003520F6">
        <w:rPr>
          <w:rFonts w:eastAsiaTheme="minorEastAsia" w:cs="Arial"/>
        </w:rPr>
        <w:t xml:space="preserve"> </w:t>
      </w:r>
      <w:r w:rsidR="00C85756">
        <w:rPr>
          <w:rFonts w:eastAsiaTheme="minorEastAsia" w:cs="Arial"/>
        </w:rPr>
        <w:t>(</w:t>
      </w:r>
      <w:r w:rsidR="00115808">
        <w:rPr>
          <w:rFonts w:eastAsiaTheme="minorEastAsia" w:cs="Arial"/>
        </w:rPr>
        <w:t>"</w:t>
      </w:r>
      <w:r w:rsidR="00C85756" w:rsidRPr="00C85756">
        <w:rPr>
          <w:rFonts w:eastAsiaTheme="minorEastAsia" w:cs="Arial"/>
          <w:b/>
        </w:rPr>
        <w:t>Draft Bill</w:t>
      </w:r>
      <w:r w:rsidR="00115808">
        <w:rPr>
          <w:rFonts w:eastAsiaTheme="minorEastAsia" w:cs="Arial"/>
        </w:rPr>
        <w:t>"</w:t>
      </w:r>
      <w:r w:rsidR="00C85756">
        <w:rPr>
          <w:rFonts w:eastAsiaTheme="minorEastAsia" w:cs="Arial"/>
        </w:rPr>
        <w:t>)</w:t>
      </w:r>
      <w:r w:rsidR="002A14D5">
        <w:rPr>
          <w:rFonts w:eastAsiaTheme="minorEastAsia" w:cs="Arial"/>
        </w:rPr>
        <w:t xml:space="preserve"> </w:t>
      </w:r>
      <w:r w:rsidR="003520F6">
        <w:rPr>
          <w:rFonts w:eastAsiaTheme="minorEastAsia" w:cs="Arial"/>
        </w:rPr>
        <w:t>and</w:t>
      </w:r>
      <w:r w:rsidR="003520F6" w:rsidRPr="00C3671B">
        <w:rPr>
          <w:rFonts w:eastAsiaTheme="minorEastAsia" w:cs="Arial"/>
        </w:rPr>
        <w:t xml:space="preserve"> </w:t>
      </w:r>
      <w:r w:rsidR="003520F6" w:rsidRPr="00C3671B">
        <w:rPr>
          <w:rFonts w:cs="Arial"/>
        </w:rPr>
        <w:t xml:space="preserve">the </w:t>
      </w:r>
      <w:r w:rsidR="003520F6">
        <w:rPr>
          <w:rFonts w:cs="Arial"/>
        </w:rPr>
        <w:t>Overview of existing compensation schemes in Hong Kong</w:t>
      </w:r>
      <w:r w:rsidR="003520F6" w:rsidRPr="00C3671B">
        <w:rPr>
          <w:rFonts w:cs="Arial"/>
        </w:rPr>
        <w:t xml:space="preserve"> </w:t>
      </w:r>
      <w:r w:rsidR="003520F6" w:rsidRPr="00C3671B">
        <w:rPr>
          <w:rFonts w:eastAsiaTheme="minorEastAsia" w:cs="Arial"/>
        </w:rPr>
        <w:t>(</w:t>
      </w:r>
      <w:r w:rsidR="003520F6" w:rsidRPr="00C3671B">
        <w:rPr>
          <w:rFonts w:eastAsiaTheme="minorEastAsia" w:cs="Arial"/>
          <w:b/>
        </w:rPr>
        <w:t xml:space="preserve">Annex </w:t>
      </w:r>
      <w:r w:rsidR="003520F6">
        <w:rPr>
          <w:rFonts w:eastAsiaTheme="minorEastAsia" w:cs="Arial"/>
          <w:b/>
        </w:rPr>
        <w:t>3</w:t>
      </w:r>
      <w:r w:rsidR="003520F6" w:rsidRPr="00C3671B">
        <w:rPr>
          <w:rFonts w:eastAsiaTheme="minorEastAsia" w:cs="Arial"/>
        </w:rPr>
        <w:t>) can be found at the end of the Report.</w:t>
      </w:r>
    </w:p>
    <w:p w14:paraId="73C16E08" w14:textId="77777777" w:rsidR="003520F6" w:rsidRPr="00C3671B" w:rsidRDefault="003520F6" w:rsidP="003520F6">
      <w:pPr>
        <w:widowControl/>
        <w:tabs>
          <w:tab w:val="clear" w:pos="1418"/>
        </w:tabs>
        <w:adjustRightInd/>
        <w:rPr>
          <w:b/>
          <w:sz w:val="28"/>
          <w:szCs w:val="28"/>
          <w:lang w:val="en-US"/>
        </w:rPr>
      </w:pPr>
      <w:r w:rsidRPr="00C3671B">
        <w:rPr>
          <w:b/>
          <w:sz w:val="28"/>
          <w:szCs w:val="28"/>
          <w:lang w:val="en-US"/>
        </w:rPr>
        <w:lastRenderedPageBreak/>
        <w:t xml:space="preserve">Chapter </w:t>
      </w:r>
      <w:r>
        <w:rPr>
          <w:b/>
          <w:sz w:val="28"/>
          <w:szCs w:val="28"/>
          <w:lang w:val="en-US"/>
        </w:rPr>
        <w:t>1</w:t>
      </w:r>
      <w:r w:rsidRPr="00C3671B">
        <w:rPr>
          <w:b/>
          <w:sz w:val="28"/>
          <w:szCs w:val="28"/>
          <w:lang w:val="en-US"/>
        </w:rPr>
        <w:t xml:space="preserve">: </w:t>
      </w:r>
      <w:r w:rsidRPr="00903CA5">
        <w:rPr>
          <w:b/>
          <w:sz w:val="28"/>
          <w:szCs w:val="28"/>
          <w:lang w:val="en-US"/>
        </w:rPr>
        <w:t>Power of the court to make PPOs in respect of damages for future pecuniary loss in personal injury cases</w:t>
      </w:r>
    </w:p>
    <w:p w14:paraId="5EA72237" w14:textId="77777777" w:rsidR="003520F6" w:rsidRPr="003068A2" w:rsidRDefault="003520F6" w:rsidP="003068A2">
      <w:pPr>
        <w:widowControl/>
        <w:tabs>
          <w:tab w:val="clear" w:pos="1418"/>
        </w:tabs>
        <w:adjustRightInd/>
        <w:rPr>
          <w:rFonts w:cs="Arial"/>
          <w:b/>
          <w:bCs/>
          <w:lang w:val="en-US"/>
        </w:rPr>
      </w:pPr>
    </w:p>
    <w:bookmarkEnd w:id="1"/>
    <w:bookmarkEnd w:id="2"/>
    <w:bookmarkEnd w:id="3"/>
    <w:p w14:paraId="4CD874D1" w14:textId="3F385DAF" w:rsidR="003520F6" w:rsidRDefault="003520F6" w:rsidP="003068A2">
      <w:pPr>
        <w:pStyle w:val="ListParagraph"/>
        <w:widowControl/>
        <w:numPr>
          <w:ilvl w:val="0"/>
          <w:numId w:val="5"/>
        </w:numPr>
        <w:tabs>
          <w:tab w:val="clear" w:pos="1418"/>
        </w:tabs>
        <w:adjustRightInd/>
        <w:ind w:left="0" w:firstLine="0"/>
        <w:rPr>
          <w:rFonts w:cs="Arial"/>
          <w:lang w:val="en-US"/>
        </w:rPr>
      </w:pPr>
      <w:r w:rsidRPr="00C3671B">
        <w:rPr>
          <w:rFonts w:cs="Arial"/>
          <w:lang w:val="en-US"/>
        </w:rPr>
        <w:tab/>
      </w:r>
      <w:r>
        <w:rPr>
          <w:rFonts w:cs="Arial"/>
          <w:lang w:val="en-US"/>
        </w:rPr>
        <w:t>In Question 1 of the CP, the Sub-committee invites comments on whether, as a matter of</w:t>
      </w:r>
      <w:r w:rsidRPr="001B0BF9">
        <w:rPr>
          <w:rFonts w:cs="Arial"/>
          <w:lang w:val="en-US"/>
        </w:rPr>
        <w:t xml:space="preserve"> principle</w:t>
      </w:r>
      <w:r>
        <w:rPr>
          <w:rFonts w:cs="Arial"/>
          <w:lang w:val="en-US"/>
        </w:rPr>
        <w:t>, the court should be given, by way of legislation, the power to make PPOs in respect of damages for future pecuniary loss in personal injury cases</w:t>
      </w:r>
      <w:r w:rsidR="00115808">
        <w:rPr>
          <w:rFonts w:cs="Arial"/>
          <w:lang w:val="en-US"/>
        </w:rPr>
        <w:t>.</w:t>
      </w:r>
      <w:r w:rsidR="004532F1">
        <w:rPr>
          <w:rStyle w:val="FootnoteReference"/>
          <w:rFonts w:cs="Arial"/>
          <w:lang w:val="en-US"/>
        </w:rPr>
        <w:footnoteReference w:id="4"/>
      </w:r>
      <w:r w:rsidRPr="001B0BF9">
        <w:rPr>
          <w:rFonts w:cs="Arial"/>
          <w:lang w:val="en-US"/>
        </w:rPr>
        <w:t xml:space="preserve"> </w:t>
      </w:r>
      <w:r>
        <w:rPr>
          <w:rFonts w:cs="Arial"/>
          <w:lang w:val="en-US"/>
        </w:rPr>
        <w:t xml:space="preserve"> </w:t>
      </w:r>
      <w:r w:rsidRPr="001B0BF9">
        <w:rPr>
          <w:rFonts w:cs="Arial"/>
          <w:lang w:val="en-US"/>
        </w:rPr>
        <w:t>The vast majority of the responses were supportive of the principle of bestowing upon the court a statutory power to order periodical payments for future pecuniary loss.</w:t>
      </w:r>
      <w:r>
        <w:rPr>
          <w:rFonts w:cs="Arial"/>
          <w:lang w:val="en-US"/>
        </w:rPr>
        <w:t xml:space="preserve">  </w:t>
      </w:r>
      <w:r w:rsidRPr="001B0BF9">
        <w:rPr>
          <w:rFonts w:cs="Arial"/>
          <w:lang w:val="en-US"/>
        </w:rPr>
        <w:t xml:space="preserve">How this question was approached depended to a large extent on the background of the relevant Respondents.  The four opposing Respondents </w:t>
      </w:r>
      <w:r>
        <w:rPr>
          <w:rFonts w:cs="Arial"/>
          <w:lang w:val="en-US"/>
        </w:rPr>
        <w:t xml:space="preserve">(out of the 24 responses to Question 1 received) </w:t>
      </w:r>
      <w:r w:rsidRPr="001B0BF9">
        <w:rPr>
          <w:rFonts w:cs="Arial"/>
          <w:lang w:val="en-US"/>
        </w:rPr>
        <w:t>have an insurance or quasi-insurance background and they may generally be regarded as the payers.</w:t>
      </w:r>
    </w:p>
    <w:p w14:paraId="270651CA" w14:textId="77777777" w:rsidR="003520F6" w:rsidRDefault="003520F6" w:rsidP="003520F6">
      <w:pPr>
        <w:rPr>
          <w:rFonts w:cs="Arial"/>
          <w:lang w:val="en-US"/>
        </w:rPr>
      </w:pPr>
    </w:p>
    <w:p w14:paraId="387C8062" w14:textId="509DE4E2"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Pr="00DB6AF5">
        <w:rPr>
          <w:rFonts w:cs="Arial"/>
          <w:lang w:val="en-US"/>
        </w:rPr>
        <w:t xml:space="preserve">It is </w:t>
      </w:r>
      <w:r>
        <w:rPr>
          <w:rFonts w:cs="Arial"/>
          <w:lang w:val="en-US"/>
        </w:rPr>
        <w:t>discernible</w:t>
      </w:r>
      <w:r w:rsidRPr="00DB6AF5">
        <w:rPr>
          <w:rFonts w:cs="Arial"/>
          <w:lang w:val="en-US"/>
        </w:rPr>
        <w:t xml:space="preserve"> from overseas experience that the insurance industry</w:t>
      </w:r>
      <w:r>
        <w:rPr>
          <w:rFonts w:cs="Arial"/>
          <w:lang w:val="en-US"/>
        </w:rPr>
        <w:t xml:space="preserve"> perceived itself to be adversely affected by the introduction of periodical payments in </w:t>
      </w:r>
      <w:r w:rsidRPr="00DB6AF5">
        <w:rPr>
          <w:rFonts w:cs="Arial"/>
          <w:lang w:val="en-US"/>
        </w:rPr>
        <w:t>the sense that the overall</w:t>
      </w:r>
      <w:r>
        <w:rPr>
          <w:rFonts w:cs="Arial"/>
          <w:lang w:val="en-US"/>
        </w:rPr>
        <w:t xml:space="preserve"> costs for</w:t>
      </w:r>
      <w:r w:rsidRPr="00DB6AF5">
        <w:rPr>
          <w:rFonts w:cs="Arial"/>
          <w:lang w:val="en-US"/>
        </w:rPr>
        <w:t xml:space="preserve"> settlement of the claims </w:t>
      </w:r>
      <w:r>
        <w:rPr>
          <w:rFonts w:cs="Arial"/>
          <w:lang w:val="en-US"/>
        </w:rPr>
        <w:t xml:space="preserve">would be higher </w:t>
      </w:r>
      <w:r w:rsidRPr="00DB6AF5">
        <w:rPr>
          <w:rFonts w:cs="Arial"/>
          <w:lang w:val="en-US"/>
        </w:rPr>
        <w:t>and the</w:t>
      </w:r>
      <w:r>
        <w:rPr>
          <w:rFonts w:cs="Arial"/>
          <w:lang w:val="en-US"/>
        </w:rPr>
        <w:t xml:space="preserve"> negative reaction of the</w:t>
      </w:r>
      <w:r w:rsidRPr="00DB6AF5">
        <w:rPr>
          <w:rFonts w:cs="Arial"/>
          <w:lang w:val="en-US"/>
        </w:rPr>
        <w:t xml:space="preserve"> insurance industr</w:t>
      </w:r>
      <w:r>
        <w:rPr>
          <w:rFonts w:cs="Arial"/>
          <w:lang w:val="en-US"/>
        </w:rPr>
        <w:t>y</w:t>
      </w:r>
      <w:r w:rsidRPr="00DB6AF5">
        <w:rPr>
          <w:rFonts w:cs="Arial"/>
          <w:lang w:val="en-US"/>
        </w:rPr>
        <w:t xml:space="preserve"> </w:t>
      </w:r>
      <w:r>
        <w:rPr>
          <w:rFonts w:cs="Arial"/>
          <w:lang w:val="en-US"/>
        </w:rPr>
        <w:t>is generally</w:t>
      </w:r>
      <w:r w:rsidRPr="00DB6AF5">
        <w:rPr>
          <w:rFonts w:cs="Arial"/>
          <w:lang w:val="en-US"/>
        </w:rPr>
        <w:t xml:space="preserve"> </w:t>
      </w:r>
      <w:r>
        <w:rPr>
          <w:rFonts w:cs="Arial"/>
          <w:lang w:val="en-US"/>
        </w:rPr>
        <w:t>precipitated</w:t>
      </w:r>
      <w:r w:rsidRPr="00DB6AF5">
        <w:rPr>
          <w:rFonts w:cs="Arial"/>
          <w:lang w:val="en-US"/>
        </w:rPr>
        <w:t xml:space="preserve"> </w:t>
      </w:r>
      <w:r>
        <w:rPr>
          <w:rFonts w:cs="Arial"/>
          <w:lang w:val="en-US"/>
        </w:rPr>
        <w:t>by such sentiment</w:t>
      </w:r>
      <w:r w:rsidRPr="00DB6AF5">
        <w:rPr>
          <w:rFonts w:cs="Arial"/>
          <w:lang w:val="en-US"/>
        </w:rPr>
        <w:t>.</w:t>
      </w:r>
    </w:p>
    <w:p w14:paraId="1B560CD1" w14:textId="77777777" w:rsidR="003520F6" w:rsidRPr="00DB6AF5" w:rsidRDefault="003520F6" w:rsidP="003520F6">
      <w:pPr>
        <w:rPr>
          <w:rFonts w:cs="Arial"/>
          <w:lang w:val="en-US"/>
        </w:rPr>
      </w:pPr>
    </w:p>
    <w:p w14:paraId="4F365FE7" w14:textId="7262E268" w:rsidR="003520F6" w:rsidRPr="00E020D0" w:rsidRDefault="003B1330"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sidRPr="002642AE">
        <w:rPr>
          <w:rFonts w:cs="Arial"/>
          <w:lang w:val="en-US"/>
        </w:rPr>
        <w:t>We acknowledge that jurisprudential and public policy issues are frequently intertwined.  However, in the realm of the topic under consultation, the jurisprudential concept lies at the heart of what we are addressing.  For instance, a court imposed PPO is seemingly at odds with another concept often repeated by Respondents in relation to plaintiff</w:t>
      </w:r>
      <w:r w:rsidR="00115808">
        <w:rPr>
          <w:rFonts w:cs="Arial"/>
          <w:lang w:val="en-US"/>
        </w:rPr>
        <w:t>'</w:t>
      </w:r>
      <w:r w:rsidR="003520F6" w:rsidRPr="002642AE">
        <w:rPr>
          <w:rFonts w:cs="Arial"/>
          <w:lang w:val="en-US"/>
        </w:rPr>
        <w:t xml:space="preserve">s </w:t>
      </w:r>
      <w:r w:rsidR="00115808">
        <w:rPr>
          <w:rFonts w:cs="Arial"/>
          <w:lang w:val="en-US"/>
        </w:rPr>
        <w:t>"</w:t>
      </w:r>
      <w:r w:rsidR="003520F6" w:rsidRPr="00C85756">
        <w:rPr>
          <w:rFonts w:cs="Arial"/>
          <w:i/>
          <w:lang w:val="en-US"/>
        </w:rPr>
        <w:t>exercise of their free will</w:t>
      </w:r>
      <w:r w:rsidR="00115808">
        <w:rPr>
          <w:rFonts w:cs="Arial"/>
          <w:lang w:val="en-US"/>
        </w:rPr>
        <w:t>"</w:t>
      </w:r>
      <w:r w:rsidR="003520F6" w:rsidRPr="002642AE">
        <w:rPr>
          <w:rFonts w:cs="Arial"/>
          <w:lang w:val="en-US"/>
        </w:rPr>
        <w:t xml:space="preserve"> to decide whether to accept a lump sum or PPO and how to invest and spend the money received by way of damages.  However, it has to be recognised that the assessment of damages in personal injury cases is often not dependent upon the plaintiffs</w:t>
      </w:r>
      <w:r w:rsidR="00115808">
        <w:rPr>
          <w:rFonts w:cs="Arial"/>
          <w:lang w:val="en-US"/>
        </w:rPr>
        <w:t>'</w:t>
      </w:r>
      <w:r w:rsidR="003520F6" w:rsidRPr="002642AE">
        <w:rPr>
          <w:rFonts w:cs="Arial"/>
          <w:lang w:val="en-US"/>
        </w:rPr>
        <w:t xml:space="preserve"> </w:t>
      </w:r>
      <w:r w:rsidR="00115808">
        <w:rPr>
          <w:rFonts w:cs="Arial"/>
          <w:lang w:val="en-US"/>
        </w:rPr>
        <w:t>"</w:t>
      </w:r>
      <w:r w:rsidR="003520F6" w:rsidRPr="00C85756">
        <w:rPr>
          <w:rFonts w:cs="Arial"/>
          <w:i/>
          <w:lang w:val="en-US"/>
        </w:rPr>
        <w:t>free will</w:t>
      </w:r>
      <w:r w:rsidR="00115808">
        <w:rPr>
          <w:rFonts w:cs="Arial"/>
          <w:lang w:val="en-US"/>
        </w:rPr>
        <w:t>"</w:t>
      </w:r>
      <w:r w:rsidR="003520F6" w:rsidRPr="002642AE">
        <w:rPr>
          <w:rFonts w:cs="Arial"/>
          <w:lang w:val="en-US"/>
        </w:rPr>
        <w:t>, although the preference of the plaintiffs, in particular, as to the care regime will be taken into account as a relevant factor.</w:t>
      </w:r>
      <w:r w:rsidR="003520F6">
        <w:rPr>
          <w:rFonts w:cs="Arial"/>
          <w:lang w:val="en-US"/>
        </w:rPr>
        <w:t xml:space="preserve"> </w:t>
      </w:r>
      <w:r w:rsidR="009F5F37">
        <w:rPr>
          <w:rFonts w:cs="Arial"/>
          <w:lang w:val="en-US"/>
        </w:rPr>
        <w:t xml:space="preserve"> </w:t>
      </w:r>
      <w:r w:rsidR="003520F6" w:rsidRPr="00DB6AF5">
        <w:rPr>
          <w:rFonts w:cs="Arial"/>
        </w:rPr>
        <w:t xml:space="preserve">In our legal system, the basis of the award of damages for personal injuries is jurisprudential and it is </w:t>
      </w:r>
      <w:r w:rsidR="003520F6" w:rsidRPr="00DB6AF5">
        <w:rPr>
          <w:rFonts w:cs="Arial"/>
          <w:i/>
        </w:rPr>
        <w:t>restitutio in integrum</w:t>
      </w:r>
      <w:r w:rsidR="003520F6" w:rsidRPr="00DB6AF5">
        <w:rPr>
          <w:rFonts w:cs="Arial"/>
        </w:rPr>
        <w:t>.  Lump sum awards are less able to achieve this aim.</w:t>
      </w:r>
    </w:p>
    <w:p w14:paraId="740A00AC" w14:textId="77777777" w:rsidR="003520F6" w:rsidRDefault="003520F6" w:rsidP="003520F6">
      <w:pPr>
        <w:rPr>
          <w:rFonts w:cs="Arial"/>
        </w:rPr>
      </w:pPr>
    </w:p>
    <w:p w14:paraId="4D350C27" w14:textId="0DCDD782" w:rsidR="00C8575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t>I</w:t>
      </w:r>
      <w:r w:rsidRPr="002642AE">
        <w:rPr>
          <w:rFonts w:cs="Arial"/>
          <w:lang w:val="en-US"/>
        </w:rPr>
        <w:t>n many cases, lump sum awards are more costly to evaluate, requiring more expert evidence, for instance, on life expectancy.</w:t>
      </w:r>
      <w:r>
        <w:rPr>
          <w:rFonts w:cs="Arial"/>
          <w:lang w:val="en-US"/>
        </w:rPr>
        <w:t xml:space="preserve">  </w:t>
      </w:r>
      <w:r>
        <w:rPr>
          <w:rFonts w:cs="Arial"/>
        </w:rPr>
        <w:t>In essence,</w:t>
      </w:r>
      <w:r w:rsidRPr="00DB6AF5">
        <w:rPr>
          <w:rFonts w:cs="Arial"/>
        </w:rPr>
        <w:t xml:space="preserve"> </w:t>
      </w:r>
      <w:r>
        <w:rPr>
          <w:rFonts w:cs="Arial"/>
        </w:rPr>
        <w:t>the</w:t>
      </w:r>
      <w:r w:rsidRPr="00DB6AF5">
        <w:rPr>
          <w:rFonts w:cs="Arial"/>
        </w:rPr>
        <w:t xml:space="preserve"> lump sum awards put the future risk </w:t>
      </w:r>
      <w:r>
        <w:rPr>
          <w:rFonts w:cs="Arial"/>
        </w:rPr>
        <w:t xml:space="preserve">of under-compensation </w:t>
      </w:r>
      <w:r w:rsidRPr="00DB6AF5">
        <w:rPr>
          <w:rFonts w:cs="Arial"/>
        </w:rPr>
        <w:t xml:space="preserve">on the </w:t>
      </w:r>
      <w:r>
        <w:rPr>
          <w:rFonts w:cs="Arial"/>
        </w:rPr>
        <w:t>p</w:t>
      </w:r>
      <w:r w:rsidRPr="00DB6AF5">
        <w:rPr>
          <w:rFonts w:cs="Arial"/>
        </w:rPr>
        <w:t xml:space="preserve">laintiff </w:t>
      </w:r>
      <w:r>
        <w:rPr>
          <w:rFonts w:cs="Arial"/>
        </w:rPr>
        <w:t xml:space="preserve">and the future risk of over-compensation on </w:t>
      </w:r>
      <w:r w:rsidRPr="00DB6AF5">
        <w:rPr>
          <w:rFonts w:cs="Arial"/>
        </w:rPr>
        <w:t>the tortfeasor as lump sum awards are unable to reflect future changes in economic</w:t>
      </w:r>
      <w:r>
        <w:rPr>
          <w:rFonts w:cs="Arial"/>
        </w:rPr>
        <w:t>, financial</w:t>
      </w:r>
      <w:r w:rsidRPr="00DB6AF5">
        <w:rPr>
          <w:rFonts w:cs="Arial"/>
        </w:rPr>
        <w:t xml:space="preserve"> and personal circumstances.</w:t>
      </w:r>
    </w:p>
    <w:p w14:paraId="445B597E" w14:textId="77777777" w:rsidR="00C85756" w:rsidRDefault="00C85756" w:rsidP="003520F6">
      <w:pPr>
        <w:rPr>
          <w:rFonts w:cs="Arial"/>
          <w:lang w:val="en-US"/>
        </w:rPr>
      </w:pPr>
    </w:p>
    <w:p w14:paraId="3EC8CBEF" w14:textId="3AE73235" w:rsidR="003520F6" w:rsidRDefault="00C8575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D26B5B">
        <w:rPr>
          <w:rFonts w:cs="Arial"/>
          <w:lang w:val="en-US"/>
        </w:rPr>
        <w:t xml:space="preserve">In our view, </w:t>
      </w:r>
      <w:r w:rsidR="00D26B5B">
        <w:rPr>
          <w:rFonts w:cs="Arial"/>
        </w:rPr>
        <w:t>periodical payments</w:t>
      </w:r>
      <w:r w:rsidR="00D26B5B" w:rsidRPr="00DB6AF5">
        <w:rPr>
          <w:rFonts w:cs="Arial"/>
        </w:rPr>
        <w:t xml:space="preserve"> </w:t>
      </w:r>
      <w:r w:rsidR="00D26B5B" w:rsidRPr="002642AE">
        <w:rPr>
          <w:rFonts w:cs="Arial"/>
          <w:lang w:val="en-US"/>
        </w:rPr>
        <w:t>would remove the future risk arising from uncertain life expectancy and economic conditions.</w:t>
      </w:r>
      <w:r w:rsidR="003520F6" w:rsidRPr="00C1719C">
        <w:t xml:space="preserve"> </w:t>
      </w:r>
      <w:r w:rsidR="00BC7A87">
        <w:t xml:space="preserve"> </w:t>
      </w:r>
      <w:r w:rsidR="003520F6">
        <w:rPr>
          <w:rFonts w:cs="Arial"/>
        </w:rPr>
        <w:t xml:space="preserve">Further, we are of the view that </w:t>
      </w:r>
      <w:r w:rsidR="003520F6" w:rsidRPr="00DB6AF5">
        <w:rPr>
          <w:rFonts w:cs="Arial"/>
        </w:rPr>
        <w:t>PPO</w:t>
      </w:r>
      <w:r w:rsidR="00B17AE6">
        <w:rPr>
          <w:rFonts w:cs="Arial"/>
        </w:rPr>
        <w:t>s</w:t>
      </w:r>
      <w:r w:rsidR="003520F6" w:rsidRPr="00DB6AF5">
        <w:rPr>
          <w:rFonts w:cs="Arial"/>
        </w:rPr>
        <w:t xml:space="preserve"> can avoid the possible dissipation of assets by family members and subsequent reliance on</w:t>
      </w:r>
      <w:r w:rsidR="00BC7A87">
        <w:rPr>
          <w:rFonts w:cs="Arial"/>
        </w:rPr>
        <w:t xml:space="preserve"> social welfare.</w:t>
      </w:r>
    </w:p>
    <w:p w14:paraId="384456A2" w14:textId="77777777" w:rsidR="003520F6" w:rsidRDefault="003520F6" w:rsidP="003520F6">
      <w:pPr>
        <w:rPr>
          <w:rFonts w:cs="Arial"/>
          <w:lang w:val="en-US"/>
        </w:rPr>
      </w:pPr>
    </w:p>
    <w:p w14:paraId="30BC5148" w14:textId="21388B75" w:rsidR="003520F6" w:rsidRDefault="003B1330" w:rsidP="003068A2">
      <w:pPr>
        <w:pStyle w:val="ListParagraph"/>
        <w:widowControl/>
        <w:numPr>
          <w:ilvl w:val="0"/>
          <w:numId w:val="5"/>
        </w:numPr>
        <w:tabs>
          <w:tab w:val="clear" w:pos="1418"/>
        </w:tabs>
        <w:adjustRightInd/>
        <w:ind w:left="0" w:firstLine="0"/>
        <w:rPr>
          <w:rFonts w:cs="Arial"/>
          <w:lang w:val="en-US"/>
        </w:rPr>
      </w:pPr>
      <w:r>
        <w:rPr>
          <w:rFonts w:cs="Arial"/>
        </w:rPr>
        <w:tab/>
      </w:r>
      <w:r w:rsidR="003520F6">
        <w:rPr>
          <w:rFonts w:cs="Arial"/>
        </w:rPr>
        <w:t>We agree with the Sub-committee</w:t>
      </w:r>
      <w:r w:rsidR="00115808">
        <w:rPr>
          <w:rFonts w:cs="Arial"/>
        </w:rPr>
        <w:t>'</w:t>
      </w:r>
      <w:r w:rsidR="003520F6">
        <w:rPr>
          <w:rFonts w:cs="Arial"/>
        </w:rPr>
        <w:t xml:space="preserve">s view that a </w:t>
      </w:r>
      <w:r w:rsidR="003520F6" w:rsidRPr="00DB6AF5">
        <w:rPr>
          <w:rFonts w:cs="Arial"/>
        </w:rPr>
        <w:t>PPO can</w:t>
      </w:r>
      <w:r w:rsidR="003520F6">
        <w:rPr>
          <w:rFonts w:cs="Arial"/>
        </w:rPr>
        <w:t xml:space="preserve"> afford protection to the recipient by</w:t>
      </w:r>
      <w:r w:rsidR="003520F6" w:rsidRPr="00DB6AF5">
        <w:rPr>
          <w:rFonts w:cs="Arial"/>
        </w:rPr>
        <w:t xml:space="preserve"> provid</w:t>
      </w:r>
      <w:r w:rsidR="003520F6">
        <w:rPr>
          <w:rFonts w:cs="Arial"/>
        </w:rPr>
        <w:t>ing</w:t>
      </w:r>
      <w:r w:rsidR="003520F6" w:rsidRPr="00DB6AF5">
        <w:rPr>
          <w:rFonts w:cs="Arial"/>
        </w:rPr>
        <w:t xml:space="preserve"> a steady income stream that can be </w:t>
      </w:r>
      <w:r w:rsidR="003520F6" w:rsidRPr="00DB6AF5">
        <w:rPr>
          <w:rFonts w:cs="Arial"/>
        </w:rPr>
        <w:lastRenderedPageBreak/>
        <w:t>index</w:t>
      </w:r>
      <w:r w:rsidR="003520F6">
        <w:rPr>
          <w:rFonts w:cs="Arial"/>
        </w:rPr>
        <w:t>-</w:t>
      </w:r>
      <w:r w:rsidR="003520F6" w:rsidRPr="00DB6AF5">
        <w:rPr>
          <w:rFonts w:cs="Arial"/>
        </w:rPr>
        <w:t>linked to reflect inflation.</w:t>
      </w:r>
      <w:r w:rsidR="003520F6">
        <w:rPr>
          <w:rFonts w:cs="Arial"/>
        </w:rPr>
        <w:t xml:space="preserve">  It would</w:t>
      </w:r>
      <w:r w:rsidR="003520F6" w:rsidRPr="00DB6AF5">
        <w:rPr>
          <w:rFonts w:cs="Arial"/>
        </w:rPr>
        <w:t xml:space="preserve"> </w:t>
      </w:r>
      <w:r w:rsidR="003520F6">
        <w:rPr>
          <w:rFonts w:cs="Arial"/>
        </w:rPr>
        <w:t xml:space="preserve">serve to </w:t>
      </w:r>
      <w:r w:rsidR="003520F6" w:rsidRPr="00DB6AF5">
        <w:rPr>
          <w:rFonts w:cs="Arial"/>
        </w:rPr>
        <w:t xml:space="preserve">remove the need for the </w:t>
      </w:r>
      <w:r w:rsidR="003520F6">
        <w:rPr>
          <w:rFonts w:cs="Arial"/>
        </w:rPr>
        <w:t>p</w:t>
      </w:r>
      <w:r w:rsidR="003520F6" w:rsidRPr="00DB6AF5">
        <w:rPr>
          <w:rFonts w:cs="Arial"/>
        </w:rPr>
        <w:t>laintiff to address the potentially stressful issue of life expectancy in his claim.</w:t>
      </w:r>
      <w:r w:rsidR="009F5F37">
        <w:rPr>
          <w:rFonts w:cs="Arial"/>
        </w:rPr>
        <w:t xml:space="preserve">  </w:t>
      </w:r>
      <w:r w:rsidR="003520F6">
        <w:rPr>
          <w:rFonts w:cs="Arial"/>
        </w:rPr>
        <w:t>In addition, t</w:t>
      </w:r>
      <w:r w:rsidR="003520F6" w:rsidRPr="00DB6AF5">
        <w:rPr>
          <w:rFonts w:cs="Arial"/>
        </w:rPr>
        <w:t>he plaintiff does not have to bear the investment costs and investment and inflation risk of a lump sum.</w:t>
      </w:r>
    </w:p>
    <w:p w14:paraId="2B76886B" w14:textId="77777777" w:rsidR="003520F6" w:rsidRDefault="003520F6" w:rsidP="003520F6">
      <w:pPr>
        <w:rPr>
          <w:rFonts w:cs="Arial"/>
          <w:lang w:val="en-US"/>
        </w:rPr>
      </w:pPr>
    </w:p>
    <w:p w14:paraId="7D5C48C2" w14:textId="4DFC3AB3"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Pr="001B0BF9">
        <w:rPr>
          <w:rFonts w:cs="Arial"/>
          <w:lang w:val="en-US"/>
        </w:rPr>
        <w:t xml:space="preserve">Having analysed the arguments for and against </w:t>
      </w:r>
      <w:r>
        <w:rPr>
          <w:rFonts w:cs="Arial"/>
          <w:lang w:val="en-US"/>
        </w:rPr>
        <w:t>Question</w:t>
      </w:r>
      <w:r w:rsidRPr="001B0BF9">
        <w:rPr>
          <w:rFonts w:cs="Arial"/>
          <w:lang w:val="en-US"/>
        </w:rPr>
        <w:t xml:space="preserve"> 1,</w:t>
      </w:r>
      <w:r>
        <w:rPr>
          <w:rFonts w:cs="Arial"/>
          <w:lang w:val="en-US"/>
        </w:rPr>
        <w:t xml:space="preserve"> we are persuaded that the concerns as to the vesting of the power of making PPO</w:t>
      </w:r>
      <w:r w:rsidR="00B17AE6">
        <w:rPr>
          <w:rFonts w:cs="Arial"/>
          <w:lang w:val="en-US"/>
        </w:rPr>
        <w:t>s</w:t>
      </w:r>
      <w:r>
        <w:rPr>
          <w:rFonts w:cs="Arial"/>
          <w:lang w:val="en-US"/>
        </w:rPr>
        <w:t xml:space="preserve"> to the court can be sufficiently addressed.  </w:t>
      </w:r>
      <w:r w:rsidRPr="001B0BF9">
        <w:rPr>
          <w:rFonts w:cs="Arial"/>
          <w:lang w:val="en-US"/>
        </w:rPr>
        <w:t xml:space="preserve">More importantly, considerations as to the desirability of vesting a power in the court to </w:t>
      </w:r>
      <w:r w:rsidR="00612C0A">
        <w:rPr>
          <w:rFonts w:cs="Arial"/>
          <w:lang w:val="en-US"/>
        </w:rPr>
        <w:t xml:space="preserve">make </w:t>
      </w:r>
      <w:r w:rsidRPr="001B0BF9">
        <w:rPr>
          <w:rFonts w:cs="Arial"/>
          <w:lang w:val="en-US"/>
        </w:rPr>
        <w:t>PPO</w:t>
      </w:r>
      <w:r w:rsidR="00B17AE6">
        <w:rPr>
          <w:rFonts w:cs="Arial"/>
          <w:lang w:val="en-US"/>
        </w:rPr>
        <w:t>s</w:t>
      </w:r>
      <w:r w:rsidRPr="001B0BF9">
        <w:rPr>
          <w:rFonts w:cs="Arial"/>
          <w:lang w:val="en-US"/>
        </w:rPr>
        <w:t xml:space="preserve"> is primarily a legal question, albeit with a social dimension, pertinent to the need to realise and give effect to the principle of </w:t>
      </w:r>
      <w:r w:rsidRPr="001B0BF9">
        <w:rPr>
          <w:rFonts w:cs="Arial"/>
          <w:i/>
          <w:lang w:val="en-US"/>
        </w:rPr>
        <w:t>restitutio in integrum</w:t>
      </w:r>
      <w:r w:rsidRPr="001B0BF9">
        <w:rPr>
          <w:rFonts w:cs="Arial"/>
          <w:lang w:val="en-US"/>
        </w:rPr>
        <w:t>.</w:t>
      </w:r>
      <w:r>
        <w:rPr>
          <w:rFonts w:cs="Arial"/>
          <w:lang w:val="en-US"/>
        </w:rPr>
        <w:t xml:space="preserve">  </w:t>
      </w:r>
      <w:r>
        <w:rPr>
          <w:rFonts w:cs="Arial"/>
        </w:rPr>
        <w:t>Hence, it is not a matter of public policy as such as might have been perceived at some quarters.  Rationally, t</w:t>
      </w:r>
      <w:r w:rsidRPr="00DB6AF5">
        <w:rPr>
          <w:rFonts w:cs="Arial"/>
        </w:rPr>
        <w:t xml:space="preserve">he </w:t>
      </w:r>
      <w:r w:rsidR="00BD296A">
        <w:rPr>
          <w:rFonts w:cs="Arial"/>
        </w:rPr>
        <w:t xml:space="preserve">risk </w:t>
      </w:r>
      <w:r>
        <w:rPr>
          <w:rFonts w:cs="Arial"/>
        </w:rPr>
        <w:t>of under-compensation</w:t>
      </w:r>
      <w:r w:rsidRPr="00DB6AF5">
        <w:rPr>
          <w:rFonts w:cs="Arial"/>
        </w:rPr>
        <w:t xml:space="preserve"> now faced by plaintiffs </w:t>
      </w:r>
      <w:r>
        <w:rPr>
          <w:rFonts w:cs="Arial"/>
        </w:rPr>
        <w:t xml:space="preserve">can be </w:t>
      </w:r>
      <w:r w:rsidR="00E05D3C">
        <w:rPr>
          <w:rFonts w:cs="Arial"/>
        </w:rPr>
        <w:t>managed</w:t>
      </w:r>
      <w:r>
        <w:rPr>
          <w:rFonts w:cs="Arial"/>
        </w:rPr>
        <w:t xml:space="preserve"> by the use of a </w:t>
      </w:r>
      <w:r w:rsidRPr="00DB6AF5">
        <w:rPr>
          <w:rFonts w:cs="Arial"/>
        </w:rPr>
        <w:t>PPO</w:t>
      </w:r>
      <w:r>
        <w:rPr>
          <w:rFonts w:cs="Arial"/>
        </w:rPr>
        <w:t xml:space="preserve">, which is </w:t>
      </w:r>
      <w:r w:rsidRPr="00DB6AF5">
        <w:rPr>
          <w:rFonts w:cs="Arial"/>
        </w:rPr>
        <w:t xml:space="preserve">a vehicle to </w:t>
      </w:r>
      <w:r>
        <w:rPr>
          <w:rFonts w:cs="Arial"/>
        </w:rPr>
        <w:t xml:space="preserve">properly and fully </w:t>
      </w:r>
      <w:r w:rsidRPr="00DB6AF5">
        <w:rPr>
          <w:rFonts w:cs="Arial"/>
        </w:rPr>
        <w:t>compensate plaintiffs for their loss.</w:t>
      </w:r>
    </w:p>
    <w:p w14:paraId="58603D26" w14:textId="77777777" w:rsidR="003520F6" w:rsidRDefault="003520F6" w:rsidP="003520F6">
      <w:pPr>
        <w:rPr>
          <w:rFonts w:cs="Arial"/>
          <w:lang w:val="en-US"/>
        </w:rPr>
      </w:pPr>
    </w:p>
    <w:p w14:paraId="7F16D29D" w14:textId="0EA22C4F" w:rsidR="003520F6" w:rsidRDefault="003B1330" w:rsidP="003068A2">
      <w:pPr>
        <w:pStyle w:val="ListParagraph"/>
        <w:widowControl/>
        <w:numPr>
          <w:ilvl w:val="0"/>
          <w:numId w:val="5"/>
        </w:numPr>
        <w:tabs>
          <w:tab w:val="clear" w:pos="1418"/>
        </w:tabs>
        <w:adjustRightInd/>
        <w:ind w:left="0" w:firstLine="0"/>
        <w:rPr>
          <w:rFonts w:cs="Arial"/>
          <w:lang w:val="en-US"/>
        </w:rPr>
      </w:pPr>
      <w:r>
        <w:rPr>
          <w:rFonts w:cs="Arial"/>
        </w:rPr>
        <w:tab/>
      </w:r>
      <w:r w:rsidR="003520F6" w:rsidRPr="00DB6AF5">
        <w:rPr>
          <w:rFonts w:cs="Arial"/>
        </w:rPr>
        <w:t>We recommend that t</w:t>
      </w:r>
      <w:r w:rsidR="003520F6" w:rsidRPr="00DB6AF5">
        <w:rPr>
          <w:rFonts w:cs="Arial"/>
          <w:lang w:val="en-US"/>
        </w:rPr>
        <w:t xml:space="preserve">he court should be given, by way of legislation, the power to make </w:t>
      </w:r>
      <w:r w:rsidR="003520F6">
        <w:rPr>
          <w:rFonts w:cs="Arial"/>
          <w:lang w:val="en-US"/>
        </w:rPr>
        <w:t>PPOs</w:t>
      </w:r>
      <w:r w:rsidR="003520F6" w:rsidRPr="00DB6AF5">
        <w:rPr>
          <w:rFonts w:cs="Arial"/>
          <w:lang w:val="en-US"/>
        </w:rPr>
        <w:t xml:space="preserve"> in respect of damages for future pecuniary loss in personal injury cases.</w:t>
      </w:r>
      <w:r w:rsidR="003520F6">
        <w:rPr>
          <w:rFonts w:cs="Arial"/>
          <w:lang w:val="en-US"/>
        </w:rPr>
        <w:t xml:space="preserve">  For the avoidance of doubt, this new power vested in the court is not intended to affect the free will and power of a non-mentally incapacitated person to attain amicable settlement with the tortfeasor or relevant </w:t>
      </w:r>
      <w:r w:rsidR="005F34B3">
        <w:rPr>
          <w:rFonts w:cs="Arial"/>
          <w:lang w:val="en-US"/>
        </w:rPr>
        <w:t xml:space="preserve">paying </w:t>
      </w:r>
      <w:r w:rsidR="003520F6">
        <w:rPr>
          <w:rFonts w:cs="Arial"/>
          <w:lang w:val="en-US"/>
        </w:rPr>
        <w:t>party.</w:t>
      </w:r>
      <w:r w:rsidR="003520F6" w:rsidRPr="00256DCD">
        <w:rPr>
          <w:rFonts w:cs="Arial"/>
          <w:lang w:val="en-US"/>
        </w:rPr>
        <w:t xml:space="preserve"> </w:t>
      </w:r>
      <w:r w:rsidR="00BC7A87">
        <w:rPr>
          <w:rFonts w:cs="Arial"/>
          <w:lang w:val="en-US"/>
        </w:rPr>
        <w:t xml:space="preserve"> </w:t>
      </w:r>
      <w:r w:rsidR="003520F6">
        <w:rPr>
          <w:rFonts w:cs="Arial"/>
          <w:lang w:val="en-US"/>
        </w:rPr>
        <w:t>Detailed mechanism of the proposed PPO regime is set out in Parts 2 and 3 of the Draft Bill</w:t>
      </w:r>
      <w:r w:rsidR="009F5F37">
        <w:rPr>
          <w:rFonts w:cs="Arial"/>
          <w:lang w:val="en-US"/>
        </w:rPr>
        <w:t>.</w:t>
      </w:r>
    </w:p>
    <w:p w14:paraId="3026A7D7" w14:textId="77777777" w:rsidR="003520F6" w:rsidRPr="00256DCD" w:rsidRDefault="003520F6" w:rsidP="003520F6">
      <w:pPr>
        <w:rPr>
          <w:rFonts w:cs="Arial"/>
          <w:lang w:val="en-US"/>
        </w:rPr>
      </w:pPr>
    </w:p>
    <w:p w14:paraId="5601BBAB" w14:textId="19924690" w:rsidR="003520F6" w:rsidRPr="0069292E" w:rsidRDefault="003B1330"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Pr>
          <w:rFonts w:cs="Arial"/>
          <w:lang w:val="en-US"/>
        </w:rPr>
        <w:t xml:space="preserve">Our </w:t>
      </w:r>
      <w:r w:rsidR="003520F6" w:rsidRPr="00D43C40">
        <w:rPr>
          <w:rFonts w:cs="Arial"/>
          <w:b/>
          <w:lang w:val="en-US"/>
        </w:rPr>
        <w:t>Final Recommendation 1</w:t>
      </w:r>
      <w:r w:rsidR="003520F6">
        <w:rPr>
          <w:rFonts w:cs="Arial"/>
          <w:lang w:val="en-US"/>
        </w:rPr>
        <w:t xml:space="preserve"> is thus as follows:</w:t>
      </w:r>
    </w:p>
    <w:p w14:paraId="1B8983C9" w14:textId="77777777" w:rsidR="003520F6" w:rsidRPr="00C3671B" w:rsidRDefault="003520F6" w:rsidP="003520F6">
      <w:pPr>
        <w:widowControl/>
        <w:tabs>
          <w:tab w:val="clear" w:pos="1418"/>
        </w:tabs>
        <w:adjustRightInd/>
        <w:rPr>
          <w:rFonts w:cs="Arial"/>
          <w:lang w:val="en-US"/>
        </w:rPr>
      </w:pPr>
    </w:p>
    <w:p w14:paraId="059188BF" w14:textId="4EFADE70" w:rsidR="003520F6" w:rsidRPr="00C3671B" w:rsidRDefault="00115808" w:rsidP="003520F6">
      <w:pPr>
        <w:widowControl/>
        <w:tabs>
          <w:tab w:val="clear" w:pos="1418"/>
        </w:tabs>
        <w:adjustRightInd/>
        <w:ind w:left="720" w:right="720"/>
        <w:rPr>
          <w:rFonts w:cs="Arial"/>
          <w:lang w:val="en-US"/>
        </w:rPr>
      </w:pPr>
      <w:r>
        <w:rPr>
          <w:rFonts w:cs="Arial"/>
          <w:i/>
          <w:lang w:val="en-US"/>
        </w:rPr>
        <w:t>"</w:t>
      </w:r>
      <w:r w:rsidR="003520F6" w:rsidRPr="00CE464F">
        <w:rPr>
          <w:rFonts w:cs="Arial"/>
          <w:i/>
          <w:lang w:val="en-US"/>
        </w:rPr>
        <w:t xml:space="preserve">We recommend that the court should be given, by way of legislation, the power to make PPOs in respect of damages for future pecuniary loss in personal injury cases.  For the avoidance of doubt, this new power vested in the court is not intended to affect the free will and power of a non-mentally incapacitated person to attain amicable settlement with the tortfeasor or relevant </w:t>
      </w:r>
      <w:r w:rsidR="00160FEC">
        <w:rPr>
          <w:rFonts w:cs="Arial"/>
          <w:i/>
          <w:lang w:val="en-US"/>
        </w:rPr>
        <w:t>paying</w:t>
      </w:r>
      <w:r w:rsidR="003520F6" w:rsidRPr="00CE464F">
        <w:rPr>
          <w:rFonts w:cs="Arial"/>
          <w:i/>
          <w:lang w:val="en-US"/>
        </w:rPr>
        <w:t xml:space="preserve"> party.</w:t>
      </w:r>
      <w:r>
        <w:rPr>
          <w:rFonts w:cs="Arial"/>
          <w:i/>
          <w:lang w:val="en-US"/>
        </w:rPr>
        <w:t>"</w:t>
      </w:r>
    </w:p>
    <w:p w14:paraId="3B37A8E1" w14:textId="77777777" w:rsidR="003520F6" w:rsidRPr="00C3671B" w:rsidRDefault="003520F6" w:rsidP="003520F6">
      <w:pPr>
        <w:widowControl/>
        <w:tabs>
          <w:tab w:val="clear" w:pos="1418"/>
        </w:tabs>
        <w:adjustRightInd/>
        <w:rPr>
          <w:rFonts w:cs="Arial"/>
          <w:lang w:val="en-US"/>
        </w:rPr>
      </w:pPr>
    </w:p>
    <w:p w14:paraId="62B44503" w14:textId="77777777" w:rsidR="0029259F" w:rsidRDefault="0029259F" w:rsidP="0029259F">
      <w:pPr>
        <w:keepNext/>
        <w:keepLines/>
        <w:widowControl/>
        <w:tabs>
          <w:tab w:val="clear" w:pos="1418"/>
        </w:tabs>
        <w:adjustRightInd/>
        <w:rPr>
          <w:b/>
          <w:sz w:val="28"/>
          <w:szCs w:val="28"/>
          <w:lang w:val="en-US"/>
        </w:rPr>
      </w:pPr>
    </w:p>
    <w:p w14:paraId="536B27A2" w14:textId="05F2F3F2" w:rsidR="003520F6" w:rsidRPr="00C3671B" w:rsidRDefault="003520F6" w:rsidP="0029259F">
      <w:pPr>
        <w:keepNext/>
        <w:keepLines/>
        <w:widowControl/>
        <w:tabs>
          <w:tab w:val="clear" w:pos="1418"/>
        </w:tabs>
        <w:adjustRightInd/>
        <w:rPr>
          <w:b/>
          <w:sz w:val="28"/>
          <w:szCs w:val="28"/>
          <w:lang w:val="en-US"/>
        </w:rPr>
      </w:pPr>
      <w:r w:rsidRPr="00C3671B">
        <w:rPr>
          <w:b/>
          <w:sz w:val="28"/>
          <w:szCs w:val="28"/>
          <w:lang w:val="en-US"/>
        </w:rPr>
        <w:t xml:space="preserve">Chapter </w:t>
      </w:r>
      <w:r>
        <w:rPr>
          <w:b/>
          <w:sz w:val="28"/>
          <w:szCs w:val="28"/>
          <w:lang w:val="en-US"/>
        </w:rPr>
        <w:t>2</w:t>
      </w:r>
      <w:r w:rsidRPr="00C3671B">
        <w:rPr>
          <w:b/>
          <w:sz w:val="28"/>
          <w:szCs w:val="28"/>
          <w:lang w:val="en-US"/>
        </w:rPr>
        <w:t xml:space="preserve">: </w:t>
      </w:r>
      <w:r w:rsidR="00BC7A87">
        <w:rPr>
          <w:b/>
          <w:sz w:val="28"/>
          <w:szCs w:val="28"/>
          <w:lang w:val="en-US"/>
        </w:rPr>
        <w:t xml:space="preserve"> </w:t>
      </w:r>
      <w:r w:rsidRPr="00CE464F">
        <w:rPr>
          <w:b/>
          <w:sz w:val="28"/>
          <w:szCs w:val="28"/>
          <w:lang w:val="en-US"/>
        </w:rPr>
        <w:t>Mechanism for the formulation and promulgation of the Discount Rate</w:t>
      </w:r>
    </w:p>
    <w:p w14:paraId="50DC5940" w14:textId="77777777" w:rsidR="003520F6" w:rsidRPr="00C3671B" w:rsidRDefault="003520F6" w:rsidP="0029259F">
      <w:pPr>
        <w:keepNext/>
        <w:keepLines/>
        <w:widowControl/>
        <w:tabs>
          <w:tab w:val="clear" w:pos="1418"/>
        </w:tabs>
        <w:adjustRightInd/>
        <w:rPr>
          <w:rFonts w:cs="Arial"/>
          <w:b/>
          <w:lang w:val="en-US"/>
        </w:rPr>
      </w:pPr>
    </w:p>
    <w:p w14:paraId="3058DF91" w14:textId="5A3C1823" w:rsidR="003520F6" w:rsidRPr="00DB6AF5" w:rsidRDefault="003520F6" w:rsidP="003068A2">
      <w:pPr>
        <w:pStyle w:val="ListParagraph"/>
        <w:widowControl/>
        <w:numPr>
          <w:ilvl w:val="0"/>
          <w:numId w:val="5"/>
        </w:numPr>
        <w:tabs>
          <w:tab w:val="clear" w:pos="1418"/>
        </w:tabs>
        <w:adjustRightInd/>
        <w:ind w:left="0" w:firstLine="0"/>
        <w:rPr>
          <w:rFonts w:cs="Arial"/>
          <w:lang w:val="en-US"/>
        </w:rPr>
      </w:pPr>
      <w:r w:rsidRPr="00C3671B">
        <w:rPr>
          <w:rFonts w:cs="Arial"/>
          <w:lang w:val="en-US"/>
        </w:rPr>
        <w:tab/>
      </w:r>
      <w:r>
        <w:rPr>
          <w:rFonts w:cs="Arial"/>
          <w:lang w:val="en-US"/>
        </w:rPr>
        <w:t>Question</w:t>
      </w:r>
      <w:r w:rsidRPr="00C3671B">
        <w:rPr>
          <w:rFonts w:cs="Arial"/>
          <w:lang w:val="en-US"/>
        </w:rPr>
        <w:t xml:space="preserve"> 2 in the CP</w:t>
      </w:r>
      <w:r>
        <w:rPr>
          <w:rFonts w:cs="Arial"/>
          <w:lang w:val="en-US"/>
        </w:rPr>
        <w:t xml:space="preserve"> invites submission on</w:t>
      </w:r>
      <w:r w:rsidRPr="00DB6AF5">
        <w:rPr>
          <w:rFonts w:cs="Arial"/>
          <w:lang w:val="en-US"/>
        </w:rPr>
        <w:t>:</w:t>
      </w:r>
    </w:p>
    <w:p w14:paraId="5C85860E" w14:textId="77777777" w:rsidR="003520F6" w:rsidRPr="00DB6AF5" w:rsidRDefault="003520F6" w:rsidP="003520F6">
      <w:pPr>
        <w:rPr>
          <w:rFonts w:cs="Arial"/>
          <w:lang w:val="en-US"/>
        </w:rPr>
      </w:pPr>
    </w:p>
    <w:p w14:paraId="0974B2C3" w14:textId="34878375" w:rsidR="003520F6" w:rsidRPr="004E62B7" w:rsidRDefault="00115808" w:rsidP="003520F6">
      <w:pPr>
        <w:ind w:left="1440" w:hanging="720"/>
        <w:rPr>
          <w:rFonts w:cs="Arial"/>
          <w:i/>
          <w:lang w:val="en-US"/>
        </w:rPr>
      </w:pPr>
      <w:r>
        <w:rPr>
          <w:rFonts w:cs="Arial"/>
          <w:i/>
          <w:lang w:val="en-US"/>
        </w:rPr>
        <w:t>"</w:t>
      </w:r>
      <w:r w:rsidR="003520F6" w:rsidRPr="004E62B7">
        <w:rPr>
          <w:rFonts w:cs="Arial"/>
          <w:i/>
          <w:lang w:val="en-US"/>
        </w:rPr>
        <w:t>(1)</w:t>
      </w:r>
      <w:r w:rsidR="003520F6" w:rsidRPr="004E62B7">
        <w:rPr>
          <w:rFonts w:cs="Arial"/>
          <w:i/>
          <w:lang w:val="en-US"/>
        </w:rPr>
        <w:tab/>
        <w:t>Whether an authority should be empowered to fix and to conduct periodical revision of the presumed net rate(s) of return on investment (</w:t>
      </w:r>
      <w:r w:rsidR="003520F6">
        <w:rPr>
          <w:rFonts w:cs="Arial"/>
          <w:i/>
          <w:lang w:val="en-US"/>
        </w:rPr>
        <w:t xml:space="preserve">the </w:t>
      </w:r>
      <w:r w:rsidR="003520F6" w:rsidRPr="004E62B7">
        <w:rPr>
          <w:rFonts w:cs="Arial"/>
          <w:i/>
          <w:lang w:val="en-US"/>
        </w:rPr>
        <w:t>Discount Rate(s)) to be applied in the assessment of damages in all personal injury cases, in particular, in the selection of multiplier(s) for assessing future pecuniary loss for different periods of future loss and expenses to be incurred.</w:t>
      </w:r>
    </w:p>
    <w:p w14:paraId="5CFA96FD" w14:textId="77777777" w:rsidR="003520F6" w:rsidRPr="004E62B7" w:rsidRDefault="003520F6" w:rsidP="003520F6">
      <w:pPr>
        <w:ind w:left="1440" w:hanging="720"/>
        <w:rPr>
          <w:rFonts w:cs="Arial"/>
          <w:i/>
          <w:lang w:val="en-US"/>
        </w:rPr>
      </w:pPr>
    </w:p>
    <w:p w14:paraId="147F51F0" w14:textId="77777777" w:rsidR="003520F6" w:rsidRPr="004E62B7" w:rsidRDefault="003520F6" w:rsidP="003520F6">
      <w:pPr>
        <w:ind w:left="1440" w:hanging="720"/>
        <w:rPr>
          <w:rFonts w:cs="Arial"/>
          <w:i/>
          <w:lang w:val="en-US"/>
        </w:rPr>
      </w:pPr>
      <w:r w:rsidRPr="004E62B7">
        <w:rPr>
          <w:rFonts w:cs="Arial"/>
          <w:i/>
          <w:lang w:val="en-US"/>
        </w:rPr>
        <w:t>(2)</w:t>
      </w:r>
      <w:r w:rsidRPr="004E62B7">
        <w:rPr>
          <w:rFonts w:cs="Arial"/>
          <w:i/>
          <w:lang w:val="en-US"/>
        </w:rPr>
        <w:tab/>
        <w:t>Whether the Chief Justice or any other person or body should be such empowered authority.</w:t>
      </w:r>
    </w:p>
    <w:p w14:paraId="7377187C" w14:textId="77777777" w:rsidR="003520F6" w:rsidRPr="004E62B7" w:rsidRDefault="003520F6" w:rsidP="003520F6">
      <w:pPr>
        <w:ind w:left="1440" w:hanging="720"/>
        <w:rPr>
          <w:rFonts w:cs="Arial"/>
          <w:i/>
          <w:lang w:val="en-US"/>
        </w:rPr>
      </w:pPr>
    </w:p>
    <w:p w14:paraId="3AF34502" w14:textId="00256720" w:rsidR="003520F6" w:rsidRPr="00DB6AF5" w:rsidRDefault="003520F6" w:rsidP="005108F4">
      <w:pPr>
        <w:keepLines/>
        <w:ind w:left="1440" w:hanging="720"/>
        <w:rPr>
          <w:rFonts w:cs="Arial"/>
          <w:lang w:val="en-US"/>
        </w:rPr>
      </w:pPr>
      <w:r w:rsidRPr="004E62B7">
        <w:rPr>
          <w:rFonts w:cs="Arial"/>
          <w:i/>
          <w:lang w:val="en-US"/>
        </w:rPr>
        <w:lastRenderedPageBreak/>
        <w:t>(3)</w:t>
      </w:r>
      <w:r w:rsidRPr="004E62B7">
        <w:rPr>
          <w:rFonts w:cs="Arial"/>
          <w:i/>
          <w:lang w:val="en-US"/>
        </w:rPr>
        <w:tab/>
        <w:t>The identification of the stakeholders whom such empowered authority should consult in fixing the Discount Rate(s), the frequency of review and the mode of promulgation of the Discount Rate(s) so fixed.</w:t>
      </w:r>
      <w:r w:rsidR="00115808">
        <w:rPr>
          <w:rFonts w:cs="Arial"/>
          <w:i/>
          <w:lang w:val="en-US"/>
        </w:rPr>
        <w:t>"</w:t>
      </w:r>
      <w:r w:rsidRPr="004E62B7">
        <w:rPr>
          <w:rStyle w:val="FootnoteReference"/>
          <w:rFonts w:cs="Arial"/>
          <w:lang w:val="en-US"/>
        </w:rPr>
        <w:footnoteReference w:id="5"/>
      </w:r>
    </w:p>
    <w:p w14:paraId="21AB303A" w14:textId="4D105A1F" w:rsidR="003520F6" w:rsidRDefault="003520F6" w:rsidP="003520F6">
      <w:pPr>
        <w:widowControl/>
        <w:tabs>
          <w:tab w:val="clear" w:pos="1418"/>
        </w:tabs>
        <w:adjustRightInd/>
        <w:rPr>
          <w:rFonts w:cs="Arial"/>
          <w:lang w:val="en-US"/>
        </w:rPr>
      </w:pPr>
    </w:p>
    <w:p w14:paraId="3F65D406" w14:textId="77777777" w:rsidR="003520F6" w:rsidRDefault="003520F6" w:rsidP="003520F6">
      <w:pPr>
        <w:widowControl/>
        <w:tabs>
          <w:tab w:val="clear" w:pos="1418"/>
        </w:tabs>
        <w:adjustRightInd/>
        <w:rPr>
          <w:rFonts w:cs="Arial"/>
          <w:lang w:val="en-US"/>
        </w:rPr>
      </w:pPr>
    </w:p>
    <w:p w14:paraId="4083B170" w14:textId="763F8842" w:rsidR="003520F6" w:rsidRPr="00501D84" w:rsidRDefault="002A14D5" w:rsidP="003520F6">
      <w:pPr>
        <w:widowControl/>
        <w:tabs>
          <w:tab w:val="clear" w:pos="1418"/>
        </w:tabs>
        <w:adjustRightInd/>
        <w:rPr>
          <w:rFonts w:cs="Arial"/>
          <w:b/>
          <w:i/>
          <w:lang w:val="en-US"/>
        </w:rPr>
      </w:pPr>
      <w:r>
        <w:rPr>
          <w:rFonts w:cs="Arial"/>
          <w:b/>
          <w:i/>
          <w:lang w:val="en-US"/>
        </w:rPr>
        <w:t>Question 2(1)</w:t>
      </w:r>
    </w:p>
    <w:p w14:paraId="173AE590" w14:textId="77777777" w:rsidR="003520F6" w:rsidRDefault="003520F6" w:rsidP="003520F6">
      <w:pPr>
        <w:widowControl/>
        <w:tabs>
          <w:tab w:val="clear" w:pos="1418"/>
        </w:tabs>
        <w:adjustRightInd/>
        <w:rPr>
          <w:rFonts w:cs="Arial"/>
          <w:lang w:val="en-US"/>
        </w:rPr>
      </w:pPr>
    </w:p>
    <w:p w14:paraId="498590EA" w14:textId="3548AF6B"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hint="eastAsia"/>
          <w:lang w:val="en-US"/>
        </w:rPr>
        <w:tab/>
      </w:r>
      <w:r w:rsidRPr="00501D84">
        <w:rPr>
          <w:rFonts w:cs="Arial"/>
          <w:lang w:val="en-US"/>
        </w:rPr>
        <w:t>In general, the vast majority were supportive of the idea of empowering an authority to conduct periodical review of the Discount Rate (</w:t>
      </w:r>
      <w:r w:rsidR="00115808">
        <w:rPr>
          <w:rFonts w:cs="Arial"/>
          <w:lang w:val="en-US"/>
        </w:rPr>
        <w:t>"</w:t>
      </w:r>
      <w:r w:rsidRPr="008E0F07">
        <w:rPr>
          <w:rFonts w:cs="Arial"/>
          <w:b/>
          <w:lang w:val="en-US"/>
        </w:rPr>
        <w:t>Authority</w:t>
      </w:r>
      <w:r w:rsidR="00115808">
        <w:rPr>
          <w:rFonts w:cs="Arial"/>
          <w:lang w:val="en-US"/>
        </w:rPr>
        <w:t>"</w:t>
      </w:r>
      <w:r w:rsidRPr="00501D84">
        <w:rPr>
          <w:rFonts w:cs="Arial"/>
          <w:lang w:val="en-US"/>
        </w:rPr>
        <w:t>).  Amongst those in support were various leading insurance companies.</w:t>
      </w:r>
      <w:r w:rsidR="009F5F37">
        <w:rPr>
          <w:rFonts w:cs="Arial"/>
          <w:lang w:val="en-US"/>
        </w:rPr>
        <w:t xml:space="preserve"> </w:t>
      </w:r>
      <w:r>
        <w:rPr>
          <w:rFonts w:cs="Arial"/>
          <w:lang w:val="en-US"/>
        </w:rPr>
        <w:t xml:space="preserve"> T</w:t>
      </w:r>
      <w:r w:rsidRPr="00A8071F">
        <w:rPr>
          <w:rFonts w:cs="Arial"/>
          <w:lang w:val="en-US"/>
        </w:rPr>
        <w:t>he support for establishing an Authority for fixing and reviewing the Discount Rate is unequivocal and overwhelming</w:t>
      </w:r>
      <w:r w:rsidR="009F5F37">
        <w:rPr>
          <w:rFonts w:cs="Arial"/>
          <w:lang w:val="en-US"/>
        </w:rPr>
        <w:t>.</w:t>
      </w:r>
    </w:p>
    <w:p w14:paraId="4406AFFC" w14:textId="77777777" w:rsidR="003F5ECC" w:rsidRDefault="003F5ECC" w:rsidP="003520F6">
      <w:pPr>
        <w:widowControl/>
        <w:tabs>
          <w:tab w:val="clear" w:pos="1418"/>
        </w:tabs>
        <w:adjustRightInd/>
        <w:rPr>
          <w:rFonts w:cs="Arial"/>
          <w:lang w:val="en-US"/>
        </w:rPr>
      </w:pPr>
    </w:p>
    <w:p w14:paraId="7B038411" w14:textId="5AA787F7" w:rsidR="002A14D5" w:rsidRDefault="003520F6" w:rsidP="002A14D5">
      <w:pPr>
        <w:widowControl/>
        <w:tabs>
          <w:tab w:val="left" w:pos="720"/>
        </w:tabs>
        <w:adjustRightInd/>
        <w:rPr>
          <w:rFonts w:cs="Arial"/>
          <w:b/>
          <w:i/>
          <w:lang w:val="en-US"/>
        </w:rPr>
      </w:pPr>
      <w:r>
        <w:rPr>
          <w:rFonts w:cs="Arial"/>
          <w:lang w:val="en-US"/>
        </w:rPr>
        <w:br/>
      </w:r>
      <w:r w:rsidR="002A14D5">
        <w:rPr>
          <w:rFonts w:cs="Arial"/>
          <w:b/>
          <w:i/>
          <w:lang w:val="en-US"/>
        </w:rPr>
        <w:t>Question 2(2)</w:t>
      </w:r>
    </w:p>
    <w:p w14:paraId="2415456A" w14:textId="7458500A" w:rsidR="003520F6" w:rsidRPr="00501D84" w:rsidRDefault="003520F6" w:rsidP="003520F6">
      <w:pPr>
        <w:widowControl/>
        <w:tabs>
          <w:tab w:val="clear" w:pos="1418"/>
        </w:tabs>
        <w:adjustRightInd/>
        <w:rPr>
          <w:rFonts w:cs="Arial"/>
          <w:b/>
          <w:i/>
          <w:lang w:val="en-US"/>
        </w:rPr>
      </w:pPr>
    </w:p>
    <w:p w14:paraId="4AB0EE1B" w14:textId="6BB13BD4" w:rsidR="002A14D5"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Pr="00501D84">
        <w:rPr>
          <w:rFonts w:cs="Arial"/>
          <w:lang w:val="en-US"/>
        </w:rPr>
        <w:t>The majority were in support of the Chief Justice assuming the role of the Authority</w:t>
      </w:r>
      <w:r w:rsidR="00115D77">
        <w:rPr>
          <w:rFonts w:cs="Arial"/>
          <w:lang w:val="en-US"/>
        </w:rPr>
        <w:t>.</w:t>
      </w:r>
      <w:r w:rsidRPr="00501D84">
        <w:rPr>
          <w:rFonts w:cs="Arial"/>
          <w:lang w:val="en-US"/>
        </w:rPr>
        <w:t xml:space="preserve"> </w:t>
      </w:r>
    </w:p>
    <w:p w14:paraId="2065012E" w14:textId="77777777" w:rsidR="002A14D5" w:rsidRDefault="002A14D5" w:rsidP="003520F6">
      <w:pPr>
        <w:widowControl/>
        <w:tabs>
          <w:tab w:val="clear" w:pos="1418"/>
        </w:tabs>
        <w:adjustRightInd/>
        <w:rPr>
          <w:rFonts w:cs="Arial"/>
          <w:lang w:val="en-US"/>
        </w:rPr>
      </w:pPr>
    </w:p>
    <w:p w14:paraId="38A148D6" w14:textId="78AB0EA7" w:rsidR="003520F6" w:rsidRDefault="00BC7A87" w:rsidP="005108F4">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Pr>
          <w:rFonts w:cs="Arial"/>
          <w:lang w:val="en-US"/>
        </w:rPr>
        <w:t>However, noting the concerns raised by some Respondents</w:t>
      </w:r>
      <w:r w:rsidR="002A14D5">
        <w:rPr>
          <w:rFonts w:cs="Arial"/>
          <w:lang w:val="en-US"/>
        </w:rPr>
        <w:t>,</w:t>
      </w:r>
      <w:r w:rsidR="0059715F">
        <w:rPr>
          <w:rFonts w:cs="Arial"/>
          <w:lang w:val="en-US"/>
        </w:rPr>
        <w:t xml:space="preserve"> for example,</w:t>
      </w:r>
      <w:r w:rsidR="003520F6">
        <w:rPr>
          <w:rFonts w:cs="Arial"/>
          <w:lang w:val="en-US"/>
        </w:rPr>
        <w:t xml:space="preserve"> in view of the </w:t>
      </w:r>
      <w:r w:rsidR="003520F6" w:rsidRPr="00A8071F">
        <w:rPr>
          <w:rFonts w:cs="Arial"/>
          <w:lang w:val="en-US"/>
        </w:rPr>
        <w:t>experience in England and Wales</w:t>
      </w:r>
      <w:r w:rsidR="003520F6">
        <w:rPr>
          <w:rFonts w:cs="Arial"/>
          <w:lang w:val="en-US"/>
        </w:rPr>
        <w:t xml:space="preserve"> and</w:t>
      </w:r>
      <w:r w:rsidR="003520F6" w:rsidRPr="00A8071F">
        <w:rPr>
          <w:rFonts w:cs="Arial"/>
          <w:lang w:val="en-US"/>
        </w:rPr>
        <w:t xml:space="preserve"> the </w:t>
      </w:r>
      <w:r w:rsidR="00115D77">
        <w:rPr>
          <w:rFonts w:cs="Arial"/>
          <w:lang w:val="en-US"/>
        </w:rPr>
        <w:t xml:space="preserve">risk </w:t>
      </w:r>
      <w:r w:rsidR="003520F6" w:rsidRPr="00A8071F">
        <w:rPr>
          <w:rFonts w:cs="Arial"/>
          <w:lang w:val="en-US"/>
        </w:rPr>
        <w:t xml:space="preserve">of </w:t>
      </w:r>
      <w:r w:rsidR="00115D77">
        <w:rPr>
          <w:rFonts w:cs="Arial"/>
          <w:lang w:val="en-US"/>
        </w:rPr>
        <w:t xml:space="preserve">legal challenges that may be brought against </w:t>
      </w:r>
      <w:r w:rsidR="003520F6" w:rsidRPr="00A8071F">
        <w:rPr>
          <w:rFonts w:cs="Arial"/>
          <w:lang w:val="en-US"/>
        </w:rPr>
        <w:t>the Authority by way of judicial review</w:t>
      </w:r>
      <w:r w:rsidR="003520F6">
        <w:rPr>
          <w:rFonts w:cs="Arial"/>
          <w:lang w:val="en-US"/>
        </w:rPr>
        <w:t xml:space="preserve">, we </w:t>
      </w:r>
      <w:r w:rsidR="00115D77" w:rsidRPr="00115D77">
        <w:rPr>
          <w:rFonts w:cs="Arial"/>
          <w:lang w:val="en-US"/>
        </w:rPr>
        <w:t>find it undesirable for the holder of the office of the Chief Justice, who is not expected to be in possession of the expertise and knowledge in economics and finance, to be placed in a position with exposure to threats of litigation over a subject of potential controversies.</w:t>
      </w:r>
      <w:r w:rsidR="00115D77">
        <w:rPr>
          <w:rFonts w:cs="Arial"/>
          <w:lang w:val="en-US"/>
        </w:rPr>
        <w:t xml:space="preserve"> </w:t>
      </w:r>
    </w:p>
    <w:p w14:paraId="1592991E" w14:textId="77777777" w:rsidR="00115D77" w:rsidRPr="008C0C35" w:rsidRDefault="00115D77" w:rsidP="005108F4">
      <w:pPr>
        <w:widowControl/>
        <w:tabs>
          <w:tab w:val="clear" w:pos="1418"/>
        </w:tabs>
        <w:adjustRightInd/>
        <w:rPr>
          <w:rFonts w:cs="Arial"/>
          <w:lang w:val="en-US"/>
        </w:rPr>
      </w:pPr>
    </w:p>
    <w:p w14:paraId="19C25F3F" w14:textId="7543FFF7" w:rsidR="00115D77" w:rsidRDefault="00115D77" w:rsidP="005108F4">
      <w:pPr>
        <w:pStyle w:val="ListParagraph"/>
        <w:widowControl/>
        <w:numPr>
          <w:ilvl w:val="0"/>
          <w:numId w:val="5"/>
        </w:numPr>
        <w:tabs>
          <w:tab w:val="clear" w:pos="1418"/>
        </w:tabs>
        <w:adjustRightInd/>
        <w:ind w:left="0" w:firstLine="0"/>
        <w:rPr>
          <w:rFonts w:cs="Arial"/>
          <w:lang w:val="en-US"/>
        </w:rPr>
      </w:pPr>
      <w:r>
        <w:rPr>
          <w:rFonts w:cs="Arial"/>
          <w:lang w:val="en-US"/>
        </w:rPr>
        <w:tab/>
      </w:r>
      <w:r w:rsidRPr="00115D77">
        <w:rPr>
          <w:rFonts w:cs="Arial"/>
          <w:lang w:val="en-US"/>
        </w:rPr>
        <w:t>As one of the primary responsibilities of the Financial Secretary is to oversee the policy formulation and implementation of decisions on financial, monetary, economic as well as trade and development matters in Hong Kong, we consider that the Financial Secretary, to be assisted by his team of financial experts and advisors, would be well placed to be the Authority</w:t>
      </w:r>
      <w:r w:rsidR="007873F0">
        <w:rPr>
          <w:rFonts w:cs="Arial"/>
          <w:lang w:val="en-US"/>
        </w:rPr>
        <w:t>.</w:t>
      </w:r>
      <w:r w:rsidR="007873F0">
        <w:rPr>
          <w:rStyle w:val="FootnoteReference"/>
          <w:rFonts w:cs="Arial"/>
          <w:lang w:val="en-US"/>
        </w:rPr>
        <w:footnoteReference w:id="6"/>
      </w:r>
    </w:p>
    <w:p w14:paraId="1E74166E" w14:textId="77777777" w:rsidR="003520F6" w:rsidRDefault="003520F6" w:rsidP="003520F6">
      <w:pPr>
        <w:widowControl/>
        <w:tabs>
          <w:tab w:val="clear" w:pos="1418"/>
        </w:tabs>
        <w:adjustRightInd/>
        <w:rPr>
          <w:rFonts w:cs="Arial"/>
          <w:lang w:val="en-US"/>
        </w:rPr>
      </w:pPr>
    </w:p>
    <w:p w14:paraId="3F2CFFA0" w14:textId="77777777" w:rsidR="0029259F" w:rsidRDefault="0029259F" w:rsidP="00E020D0">
      <w:pPr>
        <w:keepNext/>
        <w:keepLines/>
        <w:widowControl/>
        <w:tabs>
          <w:tab w:val="clear" w:pos="1418"/>
        </w:tabs>
        <w:adjustRightInd/>
        <w:rPr>
          <w:rFonts w:cs="Arial"/>
          <w:b/>
          <w:i/>
          <w:lang w:val="en-US"/>
        </w:rPr>
      </w:pPr>
    </w:p>
    <w:p w14:paraId="668D47E2" w14:textId="52F8A656" w:rsidR="003520F6" w:rsidRPr="00A8071F" w:rsidRDefault="00FA5CC6" w:rsidP="005108F4">
      <w:pPr>
        <w:keepNext/>
        <w:widowControl/>
        <w:tabs>
          <w:tab w:val="clear" w:pos="1418"/>
        </w:tabs>
        <w:adjustRightInd/>
        <w:rPr>
          <w:rFonts w:cs="Arial"/>
          <w:b/>
          <w:i/>
          <w:lang w:val="en-US"/>
        </w:rPr>
      </w:pPr>
      <w:r>
        <w:rPr>
          <w:rFonts w:cs="Arial"/>
          <w:b/>
          <w:i/>
          <w:lang w:val="en-US"/>
        </w:rPr>
        <w:t>Question 2(3)</w:t>
      </w:r>
    </w:p>
    <w:p w14:paraId="550BA5B5" w14:textId="77777777" w:rsidR="003520F6" w:rsidRDefault="003520F6" w:rsidP="005108F4">
      <w:pPr>
        <w:keepNext/>
        <w:widowControl/>
        <w:tabs>
          <w:tab w:val="clear" w:pos="1418"/>
        </w:tabs>
        <w:adjustRightInd/>
        <w:rPr>
          <w:rFonts w:cs="Arial"/>
          <w:lang w:val="en-US"/>
        </w:rPr>
      </w:pPr>
    </w:p>
    <w:p w14:paraId="3AE0ED37" w14:textId="555E057E"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Pr="00501D84">
        <w:rPr>
          <w:rFonts w:cs="Arial"/>
          <w:lang w:val="en-US"/>
        </w:rPr>
        <w:t>The general sentiment was that a review should be conducted at least once every three to five years</w:t>
      </w:r>
      <w:r w:rsidR="009F5F37">
        <w:rPr>
          <w:rFonts w:cs="Arial"/>
          <w:lang w:val="en-US"/>
        </w:rPr>
        <w:t xml:space="preserve">. </w:t>
      </w:r>
      <w:r>
        <w:rPr>
          <w:rFonts w:cs="Arial"/>
          <w:lang w:val="en-US"/>
        </w:rPr>
        <w:t xml:space="preserve"> However, in view of the experience in the </w:t>
      </w:r>
      <w:r w:rsidR="0059715F">
        <w:rPr>
          <w:rFonts w:cs="Arial"/>
          <w:lang w:val="en-US"/>
        </w:rPr>
        <w:t>UK</w:t>
      </w:r>
      <w:r>
        <w:rPr>
          <w:rFonts w:cs="Arial"/>
          <w:lang w:val="en-US"/>
        </w:rPr>
        <w:t>, a major review touching upon, for instance, the combination of a reasonable portfolio of investments upon which the rates of return are used for setting the Discount Rate, should only be undertaken every six years.</w:t>
      </w:r>
      <w:r>
        <w:rPr>
          <w:rStyle w:val="FootnoteReference"/>
          <w:rFonts w:cs="Arial"/>
          <w:lang w:val="en-US"/>
        </w:rPr>
        <w:footnoteReference w:id="7"/>
      </w:r>
      <w:r>
        <w:rPr>
          <w:rFonts w:cs="Arial"/>
          <w:lang w:val="en-US"/>
        </w:rPr>
        <w:t xml:space="preserve">  It is contemplated that </w:t>
      </w:r>
      <w:r w:rsidRPr="00A8071F">
        <w:rPr>
          <w:rFonts w:cs="Arial"/>
          <w:lang w:val="en-US"/>
        </w:rPr>
        <w:t>a major review of this nature would entail a process of public consultation capturing a wide array of stakeholders.</w:t>
      </w:r>
      <w:r w:rsidRPr="00A8071F">
        <w:t xml:space="preserve"> </w:t>
      </w:r>
      <w:r w:rsidRPr="00A8071F">
        <w:rPr>
          <w:rFonts w:cs="Arial"/>
          <w:lang w:val="en-US"/>
        </w:rPr>
        <w:t>Hence, an interval slightly longer than five years is deemed appropriate</w:t>
      </w:r>
      <w:r w:rsidR="009F5F37">
        <w:rPr>
          <w:rFonts w:cs="Arial"/>
          <w:lang w:val="en-US"/>
        </w:rPr>
        <w:t>.</w:t>
      </w:r>
    </w:p>
    <w:p w14:paraId="61F9365D" w14:textId="77777777" w:rsidR="003520F6" w:rsidRDefault="003520F6" w:rsidP="003520F6">
      <w:pPr>
        <w:widowControl/>
        <w:tabs>
          <w:tab w:val="clear" w:pos="1418"/>
        </w:tabs>
        <w:adjustRightInd/>
        <w:rPr>
          <w:rFonts w:cs="Arial"/>
          <w:lang w:val="en-US"/>
        </w:rPr>
      </w:pPr>
    </w:p>
    <w:p w14:paraId="30A77064" w14:textId="2160FC23" w:rsidR="003520F6" w:rsidRPr="00A8071F" w:rsidRDefault="003F5ECC" w:rsidP="003068A2">
      <w:pPr>
        <w:pStyle w:val="ListParagraph"/>
        <w:widowControl/>
        <w:numPr>
          <w:ilvl w:val="0"/>
          <w:numId w:val="5"/>
        </w:numPr>
        <w:tabs>
          <w:tab w:val="clear" w:pos="1418"/>
        </w:tabs>
        <w:adjustRightInd/>
        <w:ind w:left="0" w:firstLine="0"/>
        <w:rPr>
          <w:rFonts w:cs="Arial"/>
          <w:lang w:val="en-US"/>
        </w:rPr>
      </w:pPr>
      <w:r>
        <w:rPr>
          <w:rFonts w:cs="Arial"/>
          <w:lang w:val="en-US"/>
        </w:rPr>
        <w:lastRenderedPageBreak/>
        <w:tab/>
      </w:r>
      <w:r w:rsidR="003520F6" w:rsidRPr="00A8071F">
        <w:rPr>
          <w:rFonts w:cs="Arial"/>
          <w:lang w:val="en-US"/>
        </w:rPr>
        <w:t>There was a general consensus that expert input is required before any decision is made on the Discount Rate.</w:t>
      </w:r>
      <w:r w:rsidR="003520F6">
        <w:rPr>
          <w:rFonts w:cs="Arial"/>
          <w:lang w:val="en-US"/>
        </w:rPr>
        <w:t xml:space="preserve"> </w:t>
      </w:r>
      <w:r w:rsidR="009F5F37">
        <w:rPr>
          <w:rFonts w:cs="Arial"/>
          <w:lang w:val="en-US"/>
        </w:rPr>
        <w:t xml:space="preserve"> </w:t>
      </w:r>
      <w:r w:rsidR="003520F6">
        <w:rPr>
          <w:rFonts w:cs="Arial"/>
          <w:lang w:val="en-US"/>
        </w:rPr>
        <w:t xml:space="preserve">It seems sensible that an </w:t>
      </w:r>
      <w:r w:rsidR="00115808">
        <w:rPr>
          <w:rFonts w:cs="Arial"/>
          <w:lang w:val="en-US"/>
        </w:rPr>
        <w:t>"</w:t>
      </w:r>
      <w:r w:rsidR="003520F6" w:rsidRPr="0059715F">
        <w:rPr>
          <w:rFonts w:cs="Arial"/>
          <w:i/>
          <w:lang w:val="en-US"/>
        </w:rPr>
        <w:t>expert panel</w:t>
      </w:r>
      <w:r w:rsidR="00115808">
        <w:rPr>
          <w:rFonts w:cs="Arial"/>
          <w:lang w:val="en-US"/>
        </w:rPr>
        <w:t>"</w:t>
      </w:r>
      <w:r w:rsidR="003520F6" w:rsidRPr="00A8071F">
        <w:rPr>
          <w:rFonts w:cs="Arial"/>
          <w:lang w:val="en-US"/>
        </w:rPr>
        <w:t xml:space="preserve"> of the intended Authority should be kept to an optimum size consisting </w:t>
      </w:r>
      <w:r w:rsidR="00F968DF">
        <w:rPr>
          <w:rFonts w:cs="Arial"/>
          <w:lang w:val="en-US"/>
        </w:rPr>
        <w:t xml:space="preserve">of </w:t>
      </w:r>
      <w:r w:rsidR="003520F6" w:rsidRPr="00A8071F">
        <w:rPr>
          <w:rFonts w:cs="Arial"/>
          <w:lang w:val="en-US"/>
        </w:rPr>
        <w:t>no more than</w:t>
      </w:r>
      <w:r w:rsidR="0059715F">
        <w:rPr>
          <w:rFonts w:cs="Arial"/>
          <w:lang w:val="en-US"/>
        </w:rPr>
        <w:t>,</w:t>
      </w:r>
      <w:r w:rsidR="003520F6" w:rsidRPr="00A8071F">
        <w:rPr>
          <w:rFonts w:cs="Arial"/>
          <w:lang w:val="en-US"/>
        </w:rPr>
        <w:t xml:space="preserve"> say</w:t>
      </w:r>
      <w:r w:rsidR="0059715F">
        <w:rPr>
          <w:rFonts w:cs="Arial"/>
          <w:lang w:val="en-US"/>
        </w:rPr>
        <w:t>,</w:t>
      </w:r>
      <w:r w:rsidR="003520F6" w:rsidRPr="00A8071F">
        <w:rPr>
          <w:rFonts w:cs="Arial"/>
          <w:lang w:val="en-US"/>
        </w:rPr>
        <w:t xml:space="preserve"> seven members to be chosen from any </w:t>
      </w:r>
      <w:r w:rsidR="00F968DF">
        <w:rPr>
          <w:rFonts w:cs="Arial"/>
          <w:lang w:val="en-US"/>
        </w:rPr>
        <w:t>of the following organisations:</w:t>
      </w:r>
    </w:p>
    <w:p w14:paraId="228F87AB" w14:textId="77777777" w:rsidR="003520F6" w:rsidRPr="00A8071F" w:rsidRDefault="003520F6" w:rsidP="003520F6">
      <w:pPr>
        <w:widowControl/>
        <w:tabs>
          <w:tab w:val="clear" w:pos="1418"/>
        </w:tabs>
        <w:adjustRightInd/>
        <w:rPr>
          <w:rFonts w:cs="Arial"/>
          <w:lang w:val="en-US"/>
        </w:rPr>
      </w:pPr>
    </w:p>
    <w:p w14:paraId="77546EB4" w14:textId="77777777" w:rsidR="003520F6" w:rsidRPr="00A8071F" w:rsidRDefault="003520F6" w:rsidP="00E020D0">
      <w:pPr>
        <w:widowControl/>
        <w:tabs>
          <w:tab w:val="clear" w:pos="1418"/>
        </w:tabs>
        <w:adjustRightInd/>
        <w:ind w:left="720"/>
        <w:rPr>
          <w:rFonts w:cs="Arial"/>
          <w:lang w:val="en-US"/>
        </w:rPr>
      </w:pPr>
      <w:r w:rsidRPr="00A8071F">
        <w:rPr>
          <w:rFonts w:cs="Arial"/>
          <w:lang w:val="en-US"/>
        </w:rPr>
        <w:t>(a)</w:t>
      </w:r>
      <w:r w:rsidRPr="00A8071F">
        <w:rPr>
          <w:rFonts w:cs="Arial"/>
          <w:lang w:val="en-US"/>
        </w:rPr>
        <w:tab/>
        <w:t>Actuarial Society of Hong Kong;</w:t>
      </w:r>
    </w:p>
    <w:p w14:paraId="7D27E972" w14:textId="77777777" w:rsidR="003520F6" w:rsidRPr="00A8071F" w:rsidRDefault="003520F6" w:rsidP="00E020D0">
      <w:pPr>
        <w:widowControl/>
        <w:tabs>
          <w:tab w:val="clear" w:pos="1418"/>
        </w:tabs>
        <w:adjustRightInd/>
        <w:ind w:left="720"/>
        <w:rPr>
          <w:rFonts w:cs="Arial"/>
          <w:lang w:val="en-US"/>
        </w:rPr>
      </w:pPr>
      <w:r w:rsidRPr="00A8071F">
        <w:rPr>
          <w:rFonts w:cs="Arial"/>
          <w:lang w:val="en-US"/>
        </w:rPr>
        <w:t>(b)</w:t>
      </w:r>
      <w:r w:rsidRPr="00A8071F">
        <w:rPr>
          <w:rFonts w:cs="Arial"/>
          <w:lang w:val="en-US"/>
        </w:rPr>
        <w:tab/>
        <w:t>Hong Kong Monetary Authority;</w:t>
      </w:r>
    </w:p>
    <w:p w14:paraId="7F33B691" w14:textId="77777777" w:rsidR="003520F6" w:rsidRPr="00A8071F" w:rsidRDefault="003520F6" w:rsidP="00E020D0">
      <w:pPr>
        <w:widowControl/>
        <w:tabs>
          <w:tab w:val="clear" w:pos="1418"/>
        </w:tabs>
        <w:adjustRightInd/>
        <w:ind w:left="720"/>
        <w:rPr>
          <w:rFonts w:cs="Arial"/>
          <w:lang w:val="en-US"/>
        </w:rPr>
      </w:pPr>
      <w:r w:rsidRPr="00A8071F">
        <w:rPr>
          <w:rFonts w:cs="Arial"/>
          <w:lang w:val="en-US"/>
        </w:rPr>
        <w:t>(c)</w:t>
      </w:r>
      <w:r w:rsidRPr="00A8071F">
        <w:rPr>
          <w:rFonts w:cs="Arial"/>
          <w:lang w:val="en-US"/>
        </w:rPr>
        <w:tab/>
        <w:t>Investor and Financial Education Council;</w:t>
      </w:r>
    </w:p>
    <w:p w14:paraId="7DEFD820" w14:textId="77777777" w:rsidR="003520F6" w:rsidRPr="00A8071F" w:rsidRDefault="003520F6" w:rsidP="00E020D0">
      <w:pPr>
        <w:widowControl/>
        <w:tabs>
          <w:tab w:val="clear" w:pos="1418"/>
        </w:tabs>
        <w:adjustRightInd/>
        <w:ind w:left="720"/>
        <w:rPr>
          <w:rFonts w:cs="Arial"/>
          <w:lang w:val="en-US"/>
        </w:rPr>
      </w:pPr>
      <w:r w:rsidRPr="00A8071F">
        <w:rPr>
          <w:rFonts w:cs="Arial"/>
          <w:lang w:val="en-US"/>
        </w:rPr>
        <w:t>(d)</w:t>
      </w:r>
      <w:r w:rsidRPr="00A8071F">
        <w:rPr>
          <w:rFonts w:cs="Arial"/>
          <w:lang w:val="en-US"/>
        </w:rPr>
        <w:tab/>
        <w:t>Mandatory Provident Fund Schemes Authority;</w:t>
      </w:r>
    </w:p>
    <w:p w14:paraId="754342C6" w14:textId="3B438C54" w:rsidR="003520F6" w:rsidRPr="00A8071F" w:rsidRDefault="003520F6" w:rsidP="00E020D0">
      <w:pPr>
        <w:widowControl/>
        <w:tabs>
          <w:tab w:val="clear" w:pos="1418"/>
        </w:tabs>
        <w:adjustRightInd/>
        <w:ind w:left="720"/>
        <w:rPr>
          <w:rFonts w:cs="Arial"/>
          <w:lang w:val="en-US"/>
        </w:rPr>
      </w:pPr>
      <w:r w:rsidRPr="00A8071F">
        <w:rPr>
          <w:rFonts w:cs="Arial"/>
          <w:lang w:val="en-US"/>
        </w:rPr>
        <w:t>(e)</w:t>
      </w:r>
      <w:r w:rsidRPr="00A8071F">
        <w:rPr>
          <w:rFonts w:cs="Arial"/>
          <w:lang w:val="en-US"/>
        </w:rPr>
        <w:tab/>
      </w:r>
      <w:r w:rsidR="00C03F2D">
        <w:rPr>
          <w:rFonts w:cs="Arial"/>
          <w:lang w:val="en-US"/>
        </w:rPr>
        <w:t>CFA</w:t>
      </w:r>
      <w:r w:rsidR="00C03F2D" w:rsidRPr="0022422F">
        <w:rPr>
          <w:rFonts w:cs="Arial"/>
          <w:lang w:val="en-US"/>
        </w:rPr>
        <w:t xml:space="preserve"> Society </w:t>
      </w:r>
      <w:r w:rsidRPr="00A8071F">
        <w:rPr>
          <w:rFonts w:cs="Arial"/>
          <w:lang w:val="en-US"/>
        </w:rPr>
        <w:t>Hong Kong;</w:t>
      </w:r>
    </w:p>
    <w:p w14:paraId="3065AF93" w14:textId="77777777" w:rsidR="003520F6" w:rsidRPr="00A8071F" w:rsidRDefault="003520F6" w:rsidP="00E020D0">
      <w:pPr>
        <w:widowControl/>
        <w:tabs>
          <w:tab w:val="clear" w:pos="1418"/>
        </w:tabs>
        <w:adjustRightInd/>
        <w:ind w:left="720"/>
        <w:rPr>
          <w:rFonts w:cs="Arial"/>
          <w:lang w:val="en-US"/>
        </w:rPr>
      </w:pPr>
      <w:r w:rsidRPr="00A8071F">
        <w:rPr>
          <w:rFonts w:cs="Arial"/>
          <w:lang w:val="en-US"/>
        </w:rPr>
        <w:t>(f)</w:t>
      </w:r>
      <w:r w:rsidRPr="00A8071F">
        <w:rPr>
          <w:rFonts w:cs="Arial"/>
          <w:lang w:val="en-US"/>
        </w:rPr>
        <w:tab/>
        <w:t>Judge of the High Court in charge of the Personal Injuries List;</w:t>
      </w:r>
    </w:p>
    <w:p w14:paraId="480D67CE" w14:textId="77777777" w:rsidR="003520F6" w:rsidRPr="00A8071F" w:rsidRDefault="003520F6" w:rsidP="00E020D0">
      <w:pPr>
        <w:widowControl/>
        <w:tabs>
          <w:tab w:val="clear" w:pos="1418"/>
        </w:tabs>
        <w:adjustRightInd/>
        <w:ind w:left="720"/>
        <w:rPr>
          <w:rFonts w:cs="Arial"/>
          <w:lang w:val="en-US"/>
        </w:rPr>
      </w:pPr>
      <w:r w:rsidRPr="00A8071F">
        <w:rPr>
          <w:rFonts w:cs="Arial"/>
          <w:lang w:val="en-US"/>
        </w:rPr>
        <w:t>(g)</w:t>
      </w:r>
      <w:r w:rsidRPr="00A8071F">
        <w:rPr>
          <w:rFonts w:cs="Arial"/>
          <w:lang w:val="en-US"/>
        </w:rPr>
        <w:tab/>
        <w:t>The Treasury; and</w:t>
      </w:r>
    </w:p>
    <w:p w14:paraId="455415AA" w14:textId="70EC8881" w:rsidR="003520F6" w:rsidRDefault="003520F6" w:rsidP="00E020D0">
      <w:pPr>
        <w:widowControl/>
        <w:tabs>
          <w:tab w:val="clear" w:pos="1418"/>
        </w:tabs>
        <w:adjustRightInd/>
        <w:ind w:left="1440" w:hanging="720"/>
        <w:rPr>
          <w:rFonts w:cs="Arial"/>
          <w:lang w:val="en-US"/>
        </w:rPr>
      </w:pPr>
      <w:r w:rsidRPr="00A8071F">
        <w:rPr>
          <w:rFonts w:cs="Arial"/>
          <w:lang w:val="en-US"/>
        </w:rPr>
        <w:t>(h)</w:t>
      </w:r>
      <w:r w:rsidRPr="00A8071F">
        <w:rPr>
          <w:rFonts w:cs="Arial"/>
          <w:lang w:val="en-US"/>
        </w:rPr>
        <w:tab/>
        <w:t>University academics specialising in consumer and actuarial matters</w:t>
      </w:r>
      <w:r w:rsidR="009F5F37">
        <w:rPr>
          <w:rFonts w:cs="Arial"/>
          <w:lang w:val="en-US"/>
        </w:rPr>
        <w:t>.</w:t>
      </w:r>
    </w:p>
    <w:p w14:paraId="45CFEDB4" w14:textId="77777777" w:rsidR="003520F6" w:rsidRDefault="003520F6" w:rsidP="003520F6">
      <w:pPr>
        <w:widowControl/>
        <w:tabs>
          <w:tab w:val="clear" w:pos="1418"/>
        </w:tabs>
        <w:adjustRightInd/>
        <w:rPr>
          <w:rFonts w:cs="Arial"/>
          <w:lang w:val="en-US"/>
        </w:rPr>
      </w:pPr>
    </w:p>
    <w:p w14:paraId="695FDAC4" w14:textId="393782F9" w:rsidR="0059715F" w:rsidRDefault="00BC7A87"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Pr>
          <w:rFonts w:cs="Arial"/>
          <w:lang w:val="en-US"/>
        </w:rPr>
        <w:t>Details of the proposed mechanism and composition of the Authority for periodic review of the Discount Rate are set out in Part 2 of the Draft Bill</w:t>
      </w:r>
      <w:r w:rsidR="009F5F37">
        <w:rPr>
          <w:rFonts w:cs="Arial"/>
          <w:lang w:val="en-US"/>
        </w:rPr>
        <w:t>.</w:t>
      </w:r>
    </w:p>
    <w:p w14:paraId="205728AA" w14:textId="77777777" w:rsidR="003520F6" w:rsidRPr="008E0F07" w:rsidRDefault="003520F6" w:rsidP="003520F6">
      <w:pPr>
        <w:widowControl/>
        <w:tabs>
          <w:tab w:val="clear" w:pos="1418"/>
        </w:tabs>
        <w:adjustRightInd/>
        <w:rPr>
          <w:rFonts w:cs="Arial"/>
        </w:rPr>
      </w:pPr>
    </w:p>
    <w:p w14:paraId="4ABFB742" w14:textId="76354AF9" w:rsidR="003520F6" w:rsidRPr="00C3671B"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t xml:space="preserve">For the above reasons, </w:t>
      </w:r>
      <w:r w:rsidRPr="0029259F">
        <w:rPr>
          <w:rFonts w:cs="Arial"/>
          <w:lang w:val="en-US"/>
        </w:rPr>
        <w:t xml:space="preserve">our </w:t>
      </w:r>
      <w:r w:rsidRPr="00D43C40">
        <w:rPr>
          <w:rFonts w:cs="Arial"/>
          <w:b/>
          <w:lang w:val="en-US"/>
        </w:rPr>
        <w:t>Final Recommendation 2</w:t>
      </w:r>
      <w:r w:rsidRPr="00C3671B">
        <w:rPr>
          <w:rFonts w:cs="Arial"/>
          <w:b/>
          <w:lang w:val="en-US"/>
        </w:rPr>
        <w:t xml:space="preserve"> </w:t>
      </w:r>
      <w:r w:rsidRPr="00C3671B">
        <w:rPr>
          <w:rFonts w:cs="Arial"/>
          <w:lang w:val="en-US"/>
        </w:rPr>
        <w:t>is as follows:</w:t>
      </w:r>
    </w:p>
    <w:p w14:paraId="37E62CFA" w14:textId="77777777" w:rsidR="003520F6" w:rsidRPr="00C3671B" w:rsidRDefault="003520F6" w:rsidP="003520F6">
      <w:pPr>
        <w:widowControl/>
        <w:tabs>
          <w:tab w:val="clear" w:pos="1418"/>
        </w:tabs>
        <w:adjustRightInd/>
        <w:rPr>
          <w:rFonts w:cs="Arial"/>
          <w:lang w:val="en-US"/>
        </w:rPr>
      </w:pPr>
    </w:p>
    <w:p w14:paraId="14585009" w14:textId="72573A30" w:rsidR="003520F6" w:rsidRPr="00501D84" w:rsidRDefault="00115808" w:rsidP="003520F6">
      <w:pPr>
        <w:widowControl/>
        <w:tabs>
          <w:tab w:val="clear" w:pos="1418"/>
        </w:tabs>
        <w:adjustRightInd/>
        <w:ind w:left="720" w:right="720"/>
        <w:rPr>
          <w:rFonts w:cs="Arial"/>
          <w:i/>
          <w:lang w:val="en-US"/>
        </w:rPr>
      </w:pPr>
      <w:r>
        <w:rPr>
          <w:rFonts w:cs="Arial"/>
          <w:i/>
          <w:lang w:val="en-US"/>
        </w:rPr>
        <w:t>"</w:t>
      </w:r>
      <w:r w:rsidR="003520F6" w:rsidRPr="00501D84">
        <w:rPr>
          <w:rFonts w:cs="Arial"/>
          <w:i/>
          <w:lang w:val="en-US"/>
        </w:rPr>
        <w:t>We recommend that the Financial Secretary should be the Authority empowered to formulate and promulgate the Discount Rate.</w:t>
      </w:r>
    </w:p>
    <w:p w14:paraId="1B031B40" w14:textId="77777777" w:rsidR="003520F6" w:rsidRPr="00501D84" w:rsidRDefault="003520F6" w:rsidP="003520F6">
      <w:pPr>
        <w:widowControl/>
        <w:tabs>
          <w:tab w:val="clear" w:pos="1418"/>
        </w:tabs>
        <w:adjustRightInd/>
        <w:ind w:left="720" w:right="720"/>
        <w:rPr>
          <w:rFonts w:cs="Arial"/>
          <w:i/>
          <w:lang w:val="en-US"/>
        </w:rPr>
      </w:pPr>
    </w:p>
    <w:p w14:paraId="61391FA5" w14:textId="61830E2C" w:rsidR="003520F6" w:rsidRPr="00C3671B" w:rsidRDefault="003520F6" w:rsidP="003520F6">
      <w:pPr>
        <w:widowControl/>
        <w:tabs>
          <w:tab w:val="clear" w:pos="1418"/>
        </w:tabs>
        <w:adjustRightInd/>
        <w:ind w:left="720" w:right="720"/>
        <w:rPr>
          <w:rFonts w:cs="Arial"/>
          <w:i/>
          <w:lang w:val="en-US"/>
        </w:rPr>
      </w:pPr>
      <w:r w:rsidRPr="00501D84">
        <w:rPr>
          <w:rFonts w:cs="Arial"/>
          <w:i/>
          <w:lang w:val="en-US"/>
        </w:rPr>
        <w:t>We also recommend that the Financial Secretary should consult an expert panel for each review of the Discount Rate.  The Discount Rate should be subject to periodic review once every six years.</w:t>
      </w:r>
      <w:r w:rsidR="00115808">
        <w:rPr>
          <w:rFonts w:cs="Arial"/>
          <w:i/>
          <w:lang w:val="en-US"/>
        </w:rPr>
        <w:t>"</w:t>
      </w:r>
    </w:p>
    <w:p w14:paraId="677FDC06" w14:textId="77777777" w:rsidR="003520F6" w:rsidRDefault="003520F6" w:rsidP="003520F6">
      <w:pPr>
        <w:widowControl/>
        <w:tabs>
          <w:tab w:val="clear" w:pos="1418"/>
        </w:tabs>
        <w:adjustRightInd/>
        <w:rPr>
          <w:rFonts w:cs="Arial"/>
          <w:lang w:val="en-US"/>
        </w:rPr>
      </w:pPr>
    </w:p>
    <w:p w14:paraId="43CFAB4A" w14:textId="77777777" w:rsidR="0029259F" w:rsidRDefault="0029259F" w:rsidP="0029259F">
      <w:pPr>
        <w:keepNext/>
        <w:keepLines/>
        <w:widowControl/>
        <w:tabs>
          <w:tab w:val="clear" w:pos="1418"/>
        </w:tabs>
        <w:adjustRightInd/>
        <w:rPr>
          <w:b/>
          <w:sz w:val="28"/>
          <w:szCs w:val="28"/>
          <w:lang w:val="en-US"/>
        </w:rPr>
      </w:pPr>
    </w:p>
    <w:p w14:paraId="092E9BB4" w14:textId="7E245C20" w:rsidR="003520F6" w:rsidRPr="00C3671B" w:rsidRDefault="003520F6" w:rsidP="0029259F">
      <w:pPr>
        <w:keepNext/>
        <w:keepLines/>
        <w:widowControl/>
        <w:tabs>
          <w:tab w:val="clear" w:pos="1418"/>
        </w:tabs>
        <w:adjustRightInd/>
        <w:rPr>
          <w:rFonts w:cs="Arial"/>
          <w:b/>
          <w:i/>
          <w:lang w:val="en-US"/>
        </w:rPr>
      </w:pPr>
      <w:r w:rsidRPr="00C3671B">
        <w:rPr>
          <w:b/>
          <w:sz w:val="28"/>
          <w:szCs w:val="28"/>
          <w:lang w:val="en-US"/>
        </w:rPr>
        <w:t xml:space="preserve">Chapter </w:t>
      </w:r>
      <w:r>
        <w:rPr>
          <w:b/>
          <w:sz w:val="28"/>
          <w:szCs w:val="28"/>
          <w:lang w:val="en-US"/>
        </w:rPr>
        <w:t>3</w:t>
      </w:r>
      <w:r w:rsidRPr="00C3671B">
        <w:rPr>
          <w:b/>
          <w:sz w:val="28"/>
          <w:szCs w:val="28"/>
          <w:lang w:val="en-US"/>
        </w:rPr>
        <w:t xml:space="preserve">: </w:t>
      </w:r>
      <w:r w:rsidRPr="00CE464F">
        <w:rPr>
          <w:b/>
          <w:sz w:val="28"/>
          <w:szCs w:val="28"/>
          <w:lang w:val="en-US"/>
        </w:rPr>
        <w:t>Factors and limitations on the court</w:t>
      </w:r>
      <w:r w:rsidR="00115808">
        <w:rPr>
          <w:b/>
          <w:sz w:val="28"/>
          <w:szCs w:val="28"/>
          <w:lang w:val="en-US"/>
        </w:rPr>
        <w:t>'</w:t>
      </w:r>
      <w:r w:rsidRPr="00CE464F">
        <w:rPr>
          <w:b/>
          <w:sz w:val="28"/>
          <w:szCs w:val="28"/>
          <w:lang w:val="en-US"/>
        </w:rPr>
        <w:t>s power to award and review PPOs</w:t>
      </w:r>
    </w:p>
    <w:p w14:paraId="5C1803CF" w14:textId="77777777" w:rsidR="003520F6" w:rsidRDefault="003520F6" w:rsidP="0029259F">
      <w:pPr>
        <w:keepNext/>
        <w:keepLines/>
        <w:widowControl/>
        <w:tabs>
          <w:tab w:val="clear" w:pos="1418"/>
        </w:tabs>
        <w:adjustRightInd/>
        <w:rPr>
          <w:rFonts w:cs="Arial"/>
          <w:lang w:val="en-US"/>
        </w:rPr>
      </w:pPr>
    </w:p>
    <w:p w14:paraId="2056F79D" w14:textId="0EF747F2" w:rsidR="003520F6" w:rsidRPr="00DB6AF5" w:rsidRDefault="00CA6719"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sidRPr="00DB6AF5">
        <w:rPr>
          <w:rFonts w:cs="Arial"/>
          <w:lang w:val="en-US"/>
        </w:rPr>
        <w:t xml:space="preserve">Question 3 of the </w:t>
      </w:r>
      <w:r w:rsidR="003520F6">
        <w:rPr>
          <w:rFonts w:cs="Arial"/>
          <w:lang w:val="en-US"/>
        </w:rPr>
        <w:t xml:space="preserve">CP has </w:t>
      </w:r>
      <w:r w:rsidR="003520F6" w:rsidRPr="00DB6AF5">
        <w:rPr>
          <w:rFonts w:cs="Arial"/>
          <w:lang w:val="en-US"/>
        </w:rPr>
        <w:t>three parts, namely:</w:t>
      </w:r>
    </w:p>
    <w:p w14:paraId="43660C97" w14:textId="77777777" w:rsidR="003520F6" w:rsidRPr="00DB6AF5" w:rsidRDefault="003520F6" w:rsidP="003520F6">
      <w:pPr>
        <w:rPr>
          <w:rFonts w:cs="Arial"/>
          <w:lang w:val="en-US"/>
        </w:rPr>
      </w:pPr>
    </w:p>
    <w:p w14:paraId="3CFDCC6E" w14:textId="1735DBB7" w:rsidR="003520F6" w:rsidRPr="004E62B7" w:rsidRDefault="00115808" w:rsidP="003520F6">
      <w:pPr>
        <w:pStyle w:val="Indent1"/>
        <w:ind w:right="720"/>
        <w:rPr>
          <w:i/>
          <w:lang w:val="en-US"/>
        </w:rPr>
      </w:pPr>
      <w:r>
        <w:rPr>
          <w:i/>
          <w:lang w:val="en-US"/>
        </w:rPr>
        <w:t>"</w:t>
      </w:r>
      <w:r w:rsidR="003520F6" w:rsidRPr="004E62B7">
        <w:rPr>
          <w:i/>
          <w:lang w:val="en-US"/>
        </w:rPr>
        <w:t>(1)</w:t>
      </w:r>
      <w:r w:rsidR="003520F6" w:rsidRPr="004E62B7">
        <w:rPr>
          <w:i/>
          <w:lang w:val="en-US"/>
        </w:rPr>
        <w:tab/>
        <w:t>Whether the power of the court to award periodical payment should be irrespective of the consent of the parties to the proceedings.</w:t>
      </w:r>
    </w:p>
    <w:p w14:paraId="6F986E0D" w14:textId="77777777" w:rsidR="003520F6" w:rsidRPr="004E62B7" w:rsidRDefault="003520F6" w:rsidP="003520F6">
      <w:pPr>
        <w:pStyle w:val="Indent1"/>
        <w:ind w:right="720"/>
        <w:rPr>
          <w:i/>
          <w:lang w:val="en-US"/>
        </w:rPr>
      </w:pPr>
    </w:p>
    <w:p w14:paraId="45C2DD9C" w14:textId="77777777" w:rsidR="003520F6" w:rsidRPr="004E62B7" w:rsidRDefault="003520F6" w:rsidP="003520F6">
      <w:pPr>
        <w:pStyle w:val="Indent1"/>
        <w:ind w:right="720"/>
        <w:rPr>
          <w:i/>
          <w:lang w:val="en-US"/>
        </w:rPr>
      </w:pPr>
      <w:r w:rsidRPr="004E62B7">
        <w:rPr>
          <w:i/>
          <w:lang w:val="en-US"/>
        </w:rPr>
        <w:t>(2)</w:t>
      </w:r>
      <w:r w:rsidRPr="004E62B7">
        <w:rPr>
          <w:i/>
          <w:lang w:val="en-US"/>
        </w:rPr>
        <w:tab/>
        <w:t>Whether the power to award periodical payment should be generally vested in the court to be exercised in circumstances as it deems just and fair or whether such power should be limited to cover a specific class of personal injury cases, and, if so, how the class of cases is to be defined.</w:t>
      </w:r>
    </w:p>
    <w:p w14:paraId="5FBC914C" w14:textId="77777777" w:rsidR="003520F6" w:rsidRPr="004E62B7" w:rsidRDefault="003520F6" w:rsidP="003520F6">
      <w:pPr>
        <w:pStyle w:val="Indent1"/>
        <w:ind w:right="720"/>
        <w:rPr>
          <w:i/>
          <w:lang w:val="en-US"/>
        </w:rPr>
      </w:pPr>
    </w:p>
    <w:p w14:paraId="601EF277" w14:textId="5022A9FC" w:rsidR="003520F6" w:rsidRPr="00DB6AF5" w:rsidRDefault="003520F6" w:rsidP="005108F4">
      <w:pPr>
        <w:pStyle w:val="Indent1"/>
        <w:widowControl/>
        <w:ind w:right="720"/>
        <w:rPr>
          <w:lang w:val="en-US"/>
        </w:rPr>
      </w:pPr>
      <w:r w:rsidRPr="004E62B7">
        <w:rPr>
          <w:i/>
          <w:lang w:val="en-US"/>
        </w:rPr>
        <w:t>(3)</w:t>
      </w:r>
      <w:r w:rsidRPr="004E62B7">
        <w:rPr>
          <w:i/>
          <w:lang w:val="en-US"/>
        </w:rPr>
        <w:tab/>
        <w:t xml:space="preserve">Whether a </w:t>
      </w:r>
      <w:r>
        <w:rPr>
          <w:i/>
          <w:lang w:val="en-US"/>
        </w:rPr>
        <w:t>periodical payment order</w:t>
      </w:r>
      <w:r w:rsidRPr="004E62B7">
        <w:rPr>
          <w:i/>
          <w:lang w:val="en-US"/>
        </w:rPr>
        <w:t xml:space="preserve"> made by the court may cover all or only some heads of future pecuniary loss, in whole or in part, irrespective of the consent of the parties to the proceedings; and in the latter case, whether a periodical payment may cover all other heads of damages to such extent as the parties may agree.</w:t>
      </w:r>
      <w:r w:rsidR="00115808">
        <w:rPr>
          <w:i/>
          <w:lang w:val="en-US"/>
        </w:rPr>
        <w:t>"</w:t>
      </w:r>
      <w:r w:rsidRPr="004E62B7">
        <w:rPr>
          <w:rStyle w:val="FootnoteReference"/>
          <w:lang w:val="en-US"/>
        </w:rPr>
        <w:footnoteReference w:id="8"/>
      </w:r>
      <w:r w:rsidR="003F5ECC" w:rsidRPr="003F5ECC">
        <w:rPr>
          <w:rFonts w:cs="Arial"/>
          <w:lang w:val="en-US"/>
        </w:rPr>
        <w:t xml:space="preserve"> </w:t>
      </w:r>
    </w:p>
    <w:p w14:paraId="1E48A19D" w14:textId="1F4A0D8A" w:rsidR="003520F6" w:rsidRDefault="003520F6" w:rsidP="003520F6">
      <w:pPr>
        <w:rPr>
          <w:rFonts w:cs="Arial"/>
          <w:lang w:val="en-US"/>
        </w:rPr>
      </w:pPr>
    </w:p>
    <w:p w14:paraId="5FA02D8A" w14:textId="6346C1CD" w:rsidR="003520F6" w:rsidRDefault="003520F6" w:rsidP="003068A2">
      <w:pPr>
        <w:pStyle w:val="ListParagraph"/>
        <w:widowControl/>
        <w:numPr>
          <w:ilvl w:val="0"/>
          <w:numId w:val="5"/>
        </w:numPr>
        <w:tabs>
          <w:tab w:val="clear" w:pos="1418"/>
        </w:tabs>
        <w:adjustRightInd/>
        <w:ind w:left="0" w:firstLine="0"/>
        <w:rPr>
          <w:rFonts w:cs="Arial"/>
          <w:lang w:val="en-US"/>
        </w:rPr>
      </w:pPr>
      <w:r w:rsidRPr="00DB6AF5">
        <w:rPr>
          <w:rFonts w:cs="Arial"/>
          <w:lang w:val="en-US"/>
        </w:rPr>
        <w:tab/>
        <w:t xml:space="preserve">The three sub-questions posed under Question 3 look at who should be the ultimate decision maker on whether a </w:t>
      </w:r>
      <w:r>
        <w:rPr>
          <w:rFonts w:cs="Arial"/>
          <w:lang w:val="en-US"/>
        </w:rPr>
        <w:t>PPO</w:t>
      </w:r>
      <w:r w:rsidRPr="00DB6AF5">
        <w:rPr>
          <w:rFonts w:cs="Arial"/>
          <w:lang w:val="en-US"/>
        </w:rPr>
        <w:t xml:space="preserve"> is made, the court or the parties, and the breadth of coverage of any </w:t>
      </w:r>
      <w:r>
        <w:rPr>
          <w:rFonts w:cs="Arial"/>
          <w:lang w:val="en-US"/>
        </w:rPr>
        <w:t xml:space="preserve">PPOs </w:t>
      </w:r>
      <w:r w:rsidRPr="00DB6AF5">
        <w:rPr>
          <w:rFonts w:cs="Arial"/>
          <w:lang w:val="en-US"/>
        </w:rPr>
        <w:t>made</w:t>
      </w:r>
      <w:r w:rsidR="009F5F37">
        <w:rPr>
          <w:rFonts w:cs="Arial"/>
          <w:lang w:val="en-US"/>
        </w:rPr>
        <w:t>.</w:t>
      </w:r>
    </w:p>
    <w:p w14:paraId="1F000012" w14:textId="77777777" w:rsidR="003520F6" w:rsidRPr="00DB6AF5" w:rsidRDefault="003520F6" w:rsidP="003520F6">
      <w:pPr>
        <w:rPr>
          <w:rFonts w:cs="Arial"/>
          <w:lang w:val="en-US"/>
        </w:rPr>
      </w:pPr>
    </w:p>
    <w:p w14:paraId="5E0F6C75" w14:textId="77777777" w:rsidR="003520F6" w:rsidRDefault="003520F6" w:rsidP="003520F6">
      <w:pPr>
        <w:keepLines/>
        <w:widowControl/>
        <w:tabs>
          <w:tab w:val="clear" w:pos="1418"/>
        </w:tabs>
        <w:adjustRightInd/>
        <w:rPr>
          <w:rFonts w:cs="Arial"/>
          <w:lang w:val="en-US"/>
        </w:rPr>
      </w:pPr>
    </w:p>
    <w:p w14:paraId="38047D01" w14:textId="509A8FF2" w:rsidR="0059715F" w:rsidRDefault="0059715F" w:rsidP="0059715F">
      <w:pPr>
        <w:widowControl/>
        <w:tabs>
          <w:tab w:val="left" w:pos="720"/>
        </w:tabs>
        <w:adjustRightInd/>
        <w:rPr>
          <w:rFonts w:cs="Arial"/>
          <w:b/>
          <w:i/>
          <w:lang w:val="en-US"/>
        </w:rPr>
      </w:pPr>
      <w:r>
        <w:rPr>
          <w:rFonts w:cs="Arial"/>
          <w:b/>
          <w:i/>
          <w:lang w:val="en-US"/>
        </w:rPr>
        <w:t>Question 3(1)</w:t>
      </w:r>
    </w:p>
    <w:p w14:paraId="151C4B1E" w14:textId="34C6F1BB" w:rsidR="003520F6" w:rsidRDefault="003520F6" w:rsidP="003520F6">
      <w:pPr>
        <w:keepLines/>
        <w:widowControl/>
        <w:tabs>
          <w:tab w:val="clear" w:pos="1418"/>
        </w:tabs>
        <w:adjustRightInd/>
        <w:rPr>
          <w:rFonts w:cs="Arial"/>
          <w:lang w:val="en-US"/>
        </w:rPr>
      </w:pPr>
    </w:p>
    <w:p w14:paraId="797A8DB2" w14:textId="15009747" w:rsidR="003520F6" w:rsidRDefault="003520F6" w:rsidP="003068A2">
      <w:pPr>
        <w:pStyle w:val="ListParagraph"/>
        <w:widowControl/>
        <w:numPr>
          <w:ilvl w:val="0"/>
          <w:numId w:val="5"/>
        </w:numPr>
        <w:tabs>
          <w:tab w:val="clear" w:pos="1418"/>
        </w:tabs>
        <w:adjustRightInd/>
        <w:ind w:left="0" w:firstLine="0"/>
        <w:rPr>
          <w:rFonts w:cs="Arial"/>
          <w:lang w:val="en-US"/>
        </w:rPr>
      </w:pPr>
      <w:r w:rsidRPr="00C3671B">
        <w:rPr>
          <w:rFonts w:cs="Arial"/>
          <w:lang w:val="en-US"/>
        </w:rPr>
        <w:tab/>
      </w:r>
      <w:r w:rsidRPr="00217879">
        <w:rPr>
          <w:rFonts w:cs="Arial"/>
          <w:lang w:val="en-US"/>
        </w:rPr>
        <w:t xml:space="preserve">The majority of Respondents felt that the consent of </w:t>
      </w:r>
      <w:r>
        <w:rPr>
          <w:rFonts w:cs="Arial"/>
          <w:lang w:val="en-US"/>
        </w:rPr>
        <w:t>the parties should be paramount</w:t>
      </w:r>
      <w:r w:rsidR="009F5F37">
        <w:rPr>
          <w:rFonts w:cs="Arial"/>
          <w:lang w:val="en-US"/>
        </w:rPr>
        <w:t xml:space="preserve">.  </w:t>
      </w:r>
      <w:r w:rsidRPr="00DB6AF5">
        <w:rPr>
          <w:rFonts w:cs="Arial"/>
          <w:lang w:val="en-US"/>
        </w:rPr>
        <w:t>This is a debate which has taken place in other jurisdictions where periodical payments have been established</w:t>
      </w:r>
      <w:r>
        <w:rPr>
          <w:rFonts w:cs="Arial"/>
          <w:lang w:val="en-US"/>
        </w:rPr>
        <w:t>.</w:t>
      </w:r>
      <w:r w:rsidRPr="00DB6AF5">
        <w:rPr>
          <w:rFonts w:cs="Arial"/>
          <w:lang w:val="en-US"/>
        </w:rPr>
        <w:t xml:space="preserve">  In essence it is a conceptual issue as to whether the court, a neutral arbiter, is better placed to protect the interests of the claimant and to reflect a more appropriate application of the law than the individual parties or whether personal wishes of the parties should prevail</w:t>
      </w:r>
      <w:r w:rsidR="009F5F37">
        <w:rPr>
          <w:rFonts w:cs="Arial"/>
          <w:lang w:val="en-US"/>
        </w:rPr>
        <w:t>.</w:t>
      </w:r>
    </w:p>
    <w:p w14:paraId="6D9AD0A9" w14:textId="77777777" w:rsidR="003520F6" w:rsidRDefault="003520F6" w:rsidP="003520F6">
      <w:pPr>
        <w:keepLines/>
        <w:widowControl/>
        <w:tabs>
          <w:tab w:val="clear" w:pos="1418"/>
        </w:tabs>
        <w:adjustRightInd/>
        <w:rPr>
          <w:rFonts w:cs="Arial"/>
          <w:lang w:val="en-US"/>
        </w:rPr>
      </w:pPr>
    </w:p>
    <w:p w14:paraId="6743CBEB" w14:textId="739BAAD9" w:rsidR="003520F6" w:rsidRDefault="003B1330"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Pr>
          <w:rFonts w:cs="Arial"/>
          <w:lang w:val="en-US"/>
        </w:rPr>
        <w:t>I</w:t>
      </w:r>
      <w:r w:rsidR="003520F6" w:rsidRPr="00217879">
        <w:rPr>
          <w:rFonts w:cs="Arial"/>
          <w:lang w:val="en-US"/>
        </w:rPr>
        <w:t xml:space="preserve">t can be said that a court mandated decision may better ensure the application of the concept of </w:t>
      </w:r>
      <w:r w:rsidR="003520F6" w:rsidRPr="00217879">
        <w:rPr>
          <w:rFonts w:cs="Arial"/>
          <w:i/>
          <w:lang w:val="en-US"/>
        </w:rPr>
        <w:t>restitutio in integrum</w:t>
      </w:r>
      <w:r w:rsidR="003520F6" w:rsidRPr="00217879">
        <w:rPr>
          <w:rFonts w:cs="Arial"/>
          <w:lang w:val="en-US"/>
        </w:rPr>
        <w:t xml:space="preserve"> as it is likely to be a dispassionate decision focused on the plaintiffs</w:t>
      </w:r>
      <w:r w:rsidR="00115808">
        <w:rPr>
          <w:rFonts w:cs="Arial"/>
          <w:lang w:val="en-US"/>
        </w:rPr>
        <w:t>'</w:t>
      </w:r>
      <w:r w:rsidR="003520F6" w:rsidRPr="00217879">
        <w:rPr>
          <w:rFonts w:cs="Arial"/>
          <w:lang w:val="en-US"/>
        </w:rPr>
        <w:t xml:space="preserve"> objectively assessed best needs.  Where the decision is mandated by consent, then </w:t>
      </w:r>
      <w:r w:rsidR="00115808">
        <w:rPr>
          <w:rFonts w:cs="Arial"/>
          <w:lang w:val="en-US"/>
        </w:rPr>
        <w:t>"</w:t>
      </w:r>
      <w:r w:rsidR="003520F6" w:rsidRPr="008E0F07">
        <w:rPr>
          <w:rFonts w:cs="Arial"/>
          <w:i/>
          <w:lang w:val="en-US"/>
        </w:rPr>
        <w:t>best needs</w:t>
      </w:r>
      <w:r w:rsidR="00115808">
        <w:rPr>
          <w:rFonts w:cs="Arial"/>
          <w:lang w:val="en-US"/>
        </w:rPr>
        <w:t>"</w:t>
      </w:r>
      <w:r w:rsidR="003520F6" w:rsidRPr="00217879">
        <w:rPr>
          <w:rFonts w:cs="Arial"/>
          <w:lang w:val="en-US"/>
        </w:rPr>
        <w:t xml:space="preserve"> are not necessarily the overriding concern</w:t>
      </w:r>
      <w:r w:rsidR="009F5F37">
        <w:rPr>
          <w:rFonts w:cs="Arial"/>
          <w:lang w:val="en-US"/>
        </w:rPr>
        <w:t>.</w:t>
      </w:r>
      <w:r w:rsidR="00BC7A87">
        <w:rPr>
          <w:rFonts w:cs="Arial"/>
          <w:lang w:val="en-US"/>
        </w:rPr>
        <w:t xml:space="preserve"> </w:t>
      </w:r>
      <w:r w:rsidR="003520F6">
        <w:rPr>
          <w:rFonts w:cs="Arial"/>
          <w:lang w:val="en-US"/>
        </w:rPr>
        <w:t xml:space="preserve"> </w:t>
      </w:r>
      <w:r w:rsidR="003520F6" w:rsidRPr="00217879">
        <w:rPr>
          <w:rFonts w:cs="Arial"/>
          <w:lang w:val="en-US"/>
        </w:rPr>
        <w:t>It needs to be emphasised that in jurisdictions where the court is the final arbiter, the parties</w:t>
      </w:r>
      <w:r w:rsidR="00115808">
        <w:rPr>
          <w:rFonts w:cs="Arial"/>
          <w:lang w:val="en-US"/>
        </w:rPr>
        <w:t>'</w:t>
      </w:r>
      <w:r w:rsidR="003520F6" w:rsidRPr="00217879">
        <w:rPr>
          <w:rFonts w:cs="Arial"/>
          <w:lang w:val="en-US"/>
        </w:rPr>
        <w:t xml:space="preserve"> views are always an important element in its decision making</w:t>
      </w:r>
      <w:r w:rsidR="009F5F37">
        <w:rPr>
          <w:rFonts w:cs="Arial"/>
          <w:lang w:val="en-US"/>
        </w:rPr>
        <w:t>.</w:t>
      </w:r>
    </w:p>
    <w:p w14:paraId="2EF2DF32" w14:textId="77777777" w:rsidR="003520F6" w:rsidRDefault="003520F6" w:rsidP="003520F6">
      <w:pPr>
        <w:keepLines/>
        <w:widowControl/>
        <w:tabs>
          <w:tab w:val="clear" w:pos="1418"/>
        </w:tabs>
        <w:adjustRightInd/>
        <w:rPr>
          <w:rFonts w:cs="Arial"/>
          <w:lang w:val="en-US"/>
        </w:rPr>
      </w:pPr>
    </w:p>
    <w:p w14:paraId="04CBFA5D" w14:textId="77777777" w:rsidR="0029259F" w:rsidRDefault="0029259F" w:rsidP="003F5ECC">
      <w:pPr>
        <w:keepNext/>
        <w:keepLines/>
        <w:widowControl/>
        <w:tabs>
          <w:tab w:val="clear" w:pos="1418"/>
        </w:tabs>
        <w:adjustRightInd/>
        <w:rPr>
          <w:rFonts w:cs="Arial"/>
          <w:b/>
          <w:i/>
          <w:lang w:val="en-US"/>
        </w:rPr>
      </w:pPr>
    </w:p>
    <w:p w14:paraId="1CC26DBA" w14:textId="5DBF9F60" w:rsidR="0059715F" w:rsidRDefault="0059715F" w:rsidP="0059715F">
      <w:pPr>
        <w:widowControl/>
        <w:tabs>
          <w:tab w:val="left" w:pos="720"/>
        </w:tabs>
        <w:adjustRightInd/>
        <w:rPr>
          <w:rFonts w:cs="Arial"/>
          <w:b/>
          <w:i/>
          <w:lang w:val="en-US"/>
        </w:rPr>
      </w:pPr>
      <w:r>
        <w:rPr>
          <w:rFonts w:cs="Arial"/>
          <w:b/>
          <w:i/>
          <w:lang w:val="en-US"/>
        </w:rPr>
        <w:t>Question 3(2)</w:t>
      </w:r>
    </w:p>
    <w:p w14:paraId="037E9F69" w14:textId="77777777" w:rsidR="003520F6" w:rsidRDefault="003520F6" w:rsidP="003F5ECC">
      <w:pPr>
        <w:keepNext/>
        <w:keepLines/>
        <w:widowControl/>
        <w:tabs>
          <w:tab w:val="clear" w:pos="1418"/>
        </w:tabs>
        <w:adjustRightInd/>
        <w:rPr>
          <w:rFonts w:cs="Arial"/>
          <w:b/>
          <w:i/>
          <w:lang w:val="en-US"/>
        </w:rPr>
      </w:pPr>
    </w:p>
    <w:p w14:paraId="2BB62536" w14:textId="0EE4ECF1"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t>A majority of the Respondents</w:t>
      </w:r>
      <w:r w:rsidRPr="000A636C">
        <w:rPr>
          <w:rFonts w:cs="Arial"/>
          <w:lang w:val="en-US"/>
        </w:rPr>
        <w:t xml:space="preserve"> felt that the ultimate flexibility as to what a PPO should cover should lie with the court</w:t>
      </w:r>
      <w:r w:rsidR="009F5F37">
        <w:rPr>
          <w:rFonts w:cs="Arial"/>
          <w:lang w:val="en-US"/>
        </w:rPr>
        <w:t xml:space="preserve">. </w:t>
      </w:r>
      <w:r>
        <w:rPr>
          <w:rFonts w:cs="Arial"/>
          <w:lang w:val="en-US"/>
        </w:rPr>
        <w:t xml:space="preserve"> It is important to note that </w:t>
      </w:r>
      <w:r w:rsidRPr="00DB6AF5">
        <w:rPr>
          <w:rFonts w:cs="Arial"/>
          <w:lang w:val="en-US"/>
        </w:rPr>
        <w:t xml:space="preserve">it was generally felt by all </w:t>
      </w:r>
      <w:r>
        <w:rPr>
          <w:rFonts w:cs="Arial"/>
          <w:lang w:val="en-US"/>
        </w:rPr>
        <w:t>R</w:t>
      </w:r>
      <w:r w:rsidRPr="00DB6AF5">
        <w:rPr>
          <w:rFonts w:cs="Arial"/>
          <w:lang w:val="en-US"/>
        </w:rPr>
        <w:t>espondents that PPOs are more appropriate for the larger value claims involving long</w:t>
      </w:r>
      <w:r>
        <w:rPr>
          <w:rFonts w:cs="Arial"/>
          <w:lang w:val="en-US"/>
        </w:rPr>
        <w:t>-</w:t>
      </w:r>
      <w:r w:rsidRPr="00DB6AF5">
        <w:rPr>
          <w:rFonts w:cs="Arial"/>
          <w:lang w:val="en-US"/>
        </w:rPr>
        <w:t>term care or accommodation issues or claims referred to as catastrophic and</w:t>
      </w:r>
      <w:r>
        <w:rPr>
          <w:rFonts w:cs="Arial"/>
          <w:lang w:val="en-US"/>
        </w:rPr>
        <w:t>,</w:t>
      </w:r>
      <w:r w:rsidRPr="00DB6AF5">
        <w:rPr>
          <w:rFonts w:cs="Arial"/>
          <w:lang w:val="en-US"/>
        </w:rPr>
        <w:t xml:space="preserve"> in particular</w:t>
      </w:r>
      <w:r>
        <w:rPr>
          <w:rFonts w:cs="Arial"/>
          <w:lang w:val="en-US"/>
        </w:rPr>
        <w:t>,</w:t>
      </w:r>
      <w:r w:rsidRPr="00DB6AF5">
        <w:rPr>
          <w:rFonts w:cs="Arial"/>
          <w:lang w:val="en-US"/>
        </w:rPr>
        <w:t xml:space="preserve"> where the plaintiff was under a disability.</w:t>
      </w:r>
      <w:r>
        <w:rPr>
          <w:rFonts w:cs="Arial"/>
          <w:lang w:val="en-US"/>
        </w:rPr>
        <w:t xml:space="preserve">  This tallies with the experience from the UK.</w:t>
      </w:r>
      <w:r>
        <w:rPr>
          <w:rStyle w:val="FootnoteReference"/>
          <w:rFonts w:cs="Arial"/>
          <w:lang w:val="en-US"/>
        </w:rPr>
        <w:footnoteReference w:id="9"/>
      </w:r>
      <w:r w:rsidRPr="00BB0FCC">
        <w:rPr>
          <w:rFonts w:cs="Arial"/>
          <w:lang w:val="en-US"/>
        </w:rPr>
        <w:t xml:space="preserve"> </w:t>
      </w:r>
    </w:p>
    <w:p w14:paraId="05BE4696" w14:textId="77777777" w:rsidR="003520F6" w:rsidRDefault="003520F6" w:rsidP="003520F6">
      <w:pPr>
        <w:widowControl/>
        <w:rPr>
          <w:rFonts w:cs="Arial"/>
          <w:lang w:val="en-US"/>
        </w:rPr>
      </w:pPr>
    </w:p>
    <w:p w14:paraId="6FA6A448" w14:textId="63EF8673" w:rsidR="003520F6" w:rsidRDefault="003B1330"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sidRPr="00DB6AF5">
        <w:rPr>
          <w:rFonts w:cs="Arial"/>
          <w:lang w:val="en-US"/>
        </w:rPr>
        <w:t xml:space="preserve">It was also generally agreed </w:t>
      </w:r>
      <w:r w:rsidR="003520F6">
        <w:rPr>
          <w:rFonts w:cs="Arial"/>
          <w:lang w:val="en-US"/>
        </w:rPr>
        <w:t xml:space="preserve">by the Respondents </w:t>
      </w:r>
      <w:r w:rsidR="003520F6" w:rsidRPr="00DB6AF5">
        <w:rPr>
          <w:rFonts w:cs="Arial"/>
          <w:lang w:val="en-US"/>
        </w:rPr>
        <w:t xml:space="preserve">that where the claims </w:t>
      </w:r>
      <w:r w:rsidR="003520F6">
        <w:rPr>
          <w:rFonts w:cs="Arial"/>
          <w:lang w:val="en-US"/>
        </w:rPr>
        <w:t>are smaller, where</w:t>
      </w:r>
      <w:r w:rsidR="003520F6" w:rsidRPr="00DB6AF5">
        <w:rPr>
          <w:rFonts w:cs="Arial"/>
          <w:lang w:val="en-US"/>
        </w:rPr>
        <w:t xml:space="preserve"> past income losses or expenses already incurred </w:t>
      </w:r>
      <w:r w:rsidR="003520F6">
        <w:rPr>
          <w:rFonts w:cs="Arial"/>
          <w:lang w:val="en-US"/>
        </w:rPr>
        <w:t xml:space="preserve">are involved </w:t>
      </w:r>
      <w:r w:rsidR="003520F6" w:rsidRPr="00DB6AF5">
        <w:rPr>
          <w:rFonts w:cs="Arial"/>
          <w:lang w:val="en-US"/>
        </w:rPr>
        <w:t xml:space="preserve">or where the administration costs of running a PPO </w:t>
      </w:r>
      <w:r w:rsidR="003520F6">
        <w:rPr>
          <w:rFonts w:cs="Arial"/>
          <w:lang w:val="en-US"/>
        </w:rPr>
        <w:t>are</w:t>
      </w:r>
      <w:r w:rsidR="003520F6" w:rsidRPr="00DB6AF5">
        <w:rPr>
          <w:rFonts w:cs="Arial"/>
          <w:lang w:val="en-US"/>
        </w:rPr>
        <w:t xml:space="preserve"> disproportionately high </w:t>
      </w:r>
      <w:r w:rsidR="003520F6">
        <w:rPr>
          <w:rFonts w:cs="Arial"/>
          <w:lang w:val="en-US"/>
        </w:rPr>
        <w:t>(</w:t>
      </w:r>
      <w:r w:rsidR="003520F6" w:rsidRPr="00DB6AF5">
        <w:rPr>
          <w:rFonts w:cs="Arial"/>
          <w:lang w:val="en-US"/>
        </w:rPr>
        <w:t>perhaps for older plaintiffs</w:t>
      </w:r>
      <w:r w:rsidR="003520F6">
        <w:rPr>
          <w:rFonts w:cs="Arial"/>
          <w:lang w:val="en-US"/>
        </w:rPr>
        <w:t>),</w:t>
      </w:r>
      <w:r w:rsidR="003520F6" w:rsidRPr="00DB6AF5">
        <w:rPr>
          <w:rFonts w:cs="Arial"/>
          <w:lang w:val="en-US"/>
        </w:rPr>
        <w:t xml:space="preserve"> then PPOs </w:t>
      </w:r>
      <w:r w:rsidR="003520F6">
        <w:rPr>
          <w:rFonts w:cs="Arial"/>
          <w:lang w:val="en-US"/>
        </w:rPr>
        <w:t>would</w:t>
      </w:r>
      <w:r w:rsidR="003520F6" w:rsidRPr="00DB6AF5">
        <w:rPr>
          <w:rFonts w:cs="Arial"/>
          <w:lang w:val="en-US"/>
        </w:rPr>
        <w:t xml:space="preserve"> not </w:t>
      </w:r>
      <w:r w:rsidR="003520F6">
        <w:rPr>
          <w:rFonts w:cs="Arial"/>
          <w:lang w:val="en-US"/>
        </w:rPr>
        <w:t xml:space="preserve">be </w:t>
      </w:r>
      <w:r w:rsidR="003520F6" w:rsidRPr="00DB6AF5">
        <w:rPr>
          <w:rFonts w:cs="Arial"/>
          <w:lang w:val="en-US"/>
        </w:rPr>
        <w:t>appropriate.</w:t>
      </w:r>
    </w:p>
    <w:p w14:paraId="66F95C69" w14:textId="77777777" w:rsidR="003520F6" w:rsidRPr="00DB6AF5" w:rsidRDefault="003520F6" w:rsidP="003520F6">
      <w:pPr>
        <w:widowControl/>
        <w:rPr>
          <w:rFonts w:cs="Arial"/>
          <w:lang w:val="en-US"/>
        </w:rPr>
      </w:pPr>
      <w:r w:rsidRPr="00DB6AF5">
        <w:rPr>
          <w:rFonts w:cs="Arial"/>
          <w:lang w:val="en-US"/>
        </w:rPr>
        <w:t xml:space="preserve"> </w:t>
      </w:r>
    </w:p>
    <w:p w14:paraId="075B0489" w14:textId="2B947043" w:rsidR="003520F6" w:rsidRDefault="003B1330"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sidRPr="000A636C">
        <w:rPr>
          <w:rFonts w:cs="Arial"/>
          <w:lang w:val="en-US"/>
        </w:rPr>
        <w:t xml:space="preserve">The view of the majority not to restrict PPOs to artificially defined </w:t>
      </w:r>
      <w:r w:rsidR="00115808">
        <w:rPr>
          <w:rFonts w:cs="Arial"/>
          <w:lang w:val="en-US"/>
        </w:rPr>
        <w:t>"</w:t>
      </w:r>
      <w:r w:rsidR="003520F6" w:rsidRPr="007213CF">
        <w:rPr>
          <w:rFonts w:cs="Arial"/>
          <w:i/>
          <w:lang w:val="en-US"/>
        </w:rPr>
        <w:t>catastrophic</w:t>
      </w:r>
      <w:r w:rsidR="00115808" w:rsidRPr="007213CF">
        <w:rPr>
          <w:rFonts w:cs="Arial"/>
          <w:lang w:val="en-US"/>
        </w:rPr>
        <w:t>"</w:t>
      </w:r>
      <w:r w:rsidR="003520F6" w:rsidRPr="000A636C">
        <w:rPr>
          <w:rFonts w:cs="Arial"/>
          <w:lang w:val="en-US"/>
        </w:rPr>
        <w:t xml:space="preserve"> cases </w:t>
      </w:r>
      <w:r w:rsidR="00425D4C">
        <w:rPr>
          <w:rFonts w:cs="Arial"/>
          <w:lang w:val="en-US"/>
        </w:rPr>
        <w:t>is understandable</w:t>
      </w:r>
      <w:r w:rsidR="003520F6" w:rsidRPr="000A636C">
        <w:rPr>
          <w:rFonts w:cs="Arial"/>
          <w:lang w:val="en-US"/>
        </w:rPr>
        <w:t>.</w:t>
      </w:r>
      <w:r w:rsidR="003520F6" w:rsidRPr="000A636C">
        <w:t xml:space="preserve"> </w:t>
      </w:r>
      <w:r w:rsidR="004D6126">
        <w:t xml:space="preserve"> </w:t>
      </w:r>
      <w:r w:rsidR="003520F6" w:rsidRPr="000A636C">
        <w:rPr>
          <w:rFonts w:cs="Arial"/>
          <w:lang w:val="en-US"/>
        </w:rPr>
        <w:t>Time and again, arguments were unn</w:t>
      </w:r>
      <w:r w:rsidR="003520F6" w:rsidRPr="00180926">
        <w:rPr>
          <w:rFonts w:cs="Arial"/>
          <w:lang w:val="en-US"/>
        </w:rPr>
        <w:t>ecessarily canvassed as to which category of disability a particular claimant should fall</w:t>
      </w:r>
      <w:r w:rsidR="009F5F37">
        <w:rPr>
          <w:rFonts w:cs="Arial"/>
          <w:lang w:val="en-US"/>
        </w:rPr>
        <w:t xml:space="preserve">. </w:t>
      </w:r>
      <w:r w:rsidR="003520F6" w:rsidRPr="00180926">
        <w:t xml:space="preserve"> </w:t>
      </w:r>
      <w:r w:rsidR="003520F6" w:rsidRPr="00180926">
        <w:rPr>
          <w:rFonts w:cs="Arial"/>
          <w:lang w:val="en-US"/>
        </w:rPr>
        <w:t xml:space="preserve">Categorising PPOs, for instance, to only catastrophic injury cases is likely to lead to endless argument as to what constitutes catastrophic injury, and fixing an arbitrary threshold below which </w:t>
      </w:r>
      <w:r w:rsidR="0021009B">
        <w:rPr>
          <w:rFonts w:cs="Arial"/>
          <w:lang w:val="en-US"/>
        </w:rPr>
        <w:t xml:space="preserve">a </w:t>
      </w:r>
      <w:r w:rsidR="003520F6" w:rsidRPr="00180926">
        <w:rPr>
          <w:rFonts w:cs="Arial"/>
          <w:lang w:val="en-US"/>
        </w:rPr>
        <w:t>PPO should not be made would sidetrack from the real issue, being how claimants for future loss can be fully compensated</w:t>
      </w:r>
      <w:r w:rsidR="009F5F37">
        <w:rPr>
          <w:rFonts w:cs="Arial"/>
          <w:lang w:val="en-US"/>
        </w:rPr>
        <w:t>.</w:t>
      </w:r>
    </w:p>
    <w:p w14:paraId="28C615E9" w14:textId="77777777" w:rsidR="00213531" w:rsidRPr="001E21DE" w:rsidRDefault="00213531" w:rsidP="00115808">
      <w:pPr>
        <w:pStyle w:val="ListParagraph"/>
        <w:rPr>
          <w:rFonts w:cs="Arial"/>
          <w:lang w:val="en-US"/>
        </w:rPr>
      </w:pPr>
    </w:p>
    <w:p w14:paraId="28D56B11" w14:textId="2178950E" w:rsidR="00213531" w:rsidRDefault="00B925E2" w:rsidP="003068A2">
      <w:pPr>
        <w:pStyle w:val="ListParagraph"/>
        <w:widowControl/>
        <w:numPr>
          <w:ilvl w:val="0"/>
          <w:numId w:val="5"/>
        </w:numPr>
        <w:tabs>
          <w:tab w:val="clear" w:pos="1418"/>
        </w:tabs>
        <w:adjustRightInd/>
        <w:ind w:left="0" w:firstLine="0"/>
        <w:rPr>
          <w:rFonts w:cs="Arial"/>
          <w:lang w:val="en-US"/>
        </w:rPr>
      </w:pPr>
      <w:r>
        <w:rPr>
          <w:lang w:val="en-US"/>
        </w:rPr>
        <w:tab/>
      </w:r>
      <w:r w:rsidRPr="0022422F">
        <w:rPr>
          <w:lang w:val="en-US"/>
        </w:rPr>
        <w:t xml:space="preserve">Having considered the views of the respondents, and taking into account that most of the cases giving rise to the need for making PPOs (to avoid the uncertainty of life expectancy and future economic situations) are catastrophic cases which require constant medical care, we are inclined to </w:t>
      </w:r>
      <w:r w:rsidR="001E21DE">
        <w:rPr>
          <w:lang w:val="en-US"/>
        </w:rPr>
        <w:t xml:space="preserve">adopt the Irish model by </w:t>
      </w:r>
      <w:r>
        <w:rPr>
          <w:lang w:val="en-US"/>
        </w:rPr>
        <w:t>specify</w:t>
      </w:r>
      <w:r w:rsidR="001E21DE">
        <w:rPr>
          <w:lang w:val="en-US"/>
        </w:rPr>
        <w:t>ing</w:t>
      </w:r>
      <w:r w:rsidRPr="0022422F">
        <w:rPr>
          <w:lang w:val="en-US"/>
        </w:rPr>
        <w:t xml:space="preserve"> that PPOs should be limited to catastrophic cases properly understood.</w:t>
      </w:r>
      <w:r>
        <w:rPr>
          <w:lang w:val="en-US"/>
        </w:rPr>
        <w:t xml:space="preserve">  </w:t>
      </w:r>
      <w:r w:rsidRPr="0022422F">
        <w:rPr>
          <w:lang w:val="en-US"/>
        </w:rPr>
        <w:t xml:space="preserve">In this connection, it is noteworthy that what may be regarded as falling within a statutory definition of </w:t>
      </w:r>
      <w:r w:rsidR="00115808">
        <w:rPr>
          <w:lang w:val="en-US"/>
        </w:rPr>
        <w:t>"</w:t>
      </w:r>
      <w:r w:rsidRPr="0022422F">
        <w:rPr>
          <w:lang w:val="en-US"/>
        </w:rPr>
        <w:t>catastrophic cases</w:t>
      </w:r>
      <w:r w:rsidR="00115808">
        <w:rPr>
          <w:lang w:val="en-US"/>
        </w:rPr>
        <w:t>"</w:t>
      </w:r>
      <w:r w:rsidRPr="0022422F">
        <w:rPr>
          <w:lang w:val="en-US"/>
        </w:rPr>
        <w:t xml:space="preserve"> can be discerned from the </w:t>
      </w:r>
      <w:r w:rsidR="00115808">
        <w:rPr>
          <w:lang w:val="en-US"/>
        </w:rPr>
        <w:t>"</w:t>
      </w:r>
      <w:r w:rsidRPr="0022422F">
        <w:rPr>
          <w:i/>
          <w:lang w:val="en-US"/>
        </w:rPr>
        <w:t>gross disability</w:t>
      </w:r>
      <w:r w:rsidR="00115808">
        <w:rPr>
          <w:lang w:val="en-US"/>
        </w:rPr>
        <w:t>"</w:t>
      </w:r>
      <w:r w:rsidRPr="0022422F">
        <w:rPr>
          <w:lang w:val="en-US"/>
        </w:rPr>
        <w:t xml:space="preserve"> and </w:t>
      </w:r>
      <w:r w:rsidR="00115808">
        <w:rPr>
          <w:lang w:val="en-US"/>
        </w:rPr>
        <w:t>"</w:t>
      </w:r>
      <w:r w:rsidRPr="0022422F">
        <w:rPr>
          <w:i/>
          <w:lang w:val="en-US"/>
        </w:rPr>
        <w:t>disaster</w:t>
      </w:r>
      <w:r w:rsidR="00115808">
        <w:rPr>
          <w:lang w:val="en-US"/>
        </w:rPr>
        <w:t>"</w:t>
      </w:r>
      <w:r w:rsidRPr="0022422F">
        <w:rPr>
          <w:lang w:val="en-US"/>
        </w:rPr>
        <w:t xml:space="preserve"> categories of injuries</w:t>
      </w:r>
      <w:r w:rsidR="00E9083E">
        <w:rPr>
          <w:lang w:val="en-US"/>
        </w:rPr>
        <w:t xml:space="preserve"> </w:t>
      </w:r>
      <w:r w:rsidR="00E9083E" w:rsidRPr="0022422F">
        <w:rPr>
          <w:lang w:val="en-US"/>
        </w:rPr>
        <w:t xml:space="preserve">(as a guide to the assessment of damages </w:t>
      </w:r>
      <w:r w:rsidR="00E9083E">
        <w:rPr>
          <w:lang w:val="en-US"/>
        </w:rPr>
        <w:t>for</w:t>
      </w:r>
      <w:r w:rsidR="00E9083E" w:rsidRPr="0022422F">
        <w:rPr>
          <w:lang w:val="en-US"/>
        </w:rPr>
        <w:t xml:space="preserve"> pain, suffering and loss of amenities)</w:t>
      </w:r>
      <w:r w:rsidRPr="0022422F">
        <w:rPr>
          <w:lang w:val="en-US"/>
        </w:rPr>
        <w:t>, which are well recognised by legal practitioners in Hong Kong.</w:t>
      </w:r>
    </w:p>
    <w:p w14:paraId="49C9ADD2" w14:textId="070E0262" w:rsidR="003520F6" w:rsidRDefault="003520F6" w:rsidP="003520F6">
      <w:pPr>
        <w:keepLines/>
        <w:widowControl/>
        <w:tabs>
          <w:tab w:val="clear" w:pos="1418"/>
        </w:tabs>
        <w:adjustRightInd/>
        <w:rPr>
          <w:rFonts w:cs="Arial"/>
          <w:lang w:val="en-US"/>
        </w:rPr>
      </w:pPr>
    </w:p>
    <w:p w14:paraId="3F7E2060" w14:textId="77777777" w:rsidR="004D6126" w:rsidRDefault="004D6126" w:rsidP="003520F6">
      <w:pPr>
        <w:keepLines/>
        <w:widowControl/>
        <w:tabs>
          <w:tab w:val="clear" w:pos="1418"/>
        </w:tabs>
        <w:adjustRightInd/>
        <w:rPr>
          <w:rFonts w:cs="Arial"/>
          <w:lang w:val="en-US"/>
        </w:rPr>
      </w:pPr>
    </w:p>
    <w:p w14:paraId="591E3804" w14:textId="4B0FA505" w:rsidR="003520F6" w:rsidRDefault="00FA5CC6" w:rsidP="003520F6">
      <w:pPr>
        <w:keepLines/>
        <w:widowControl/>
        <w:tabs>
          <w:tab w:val="clear" w:pos="1418"/>
        </w:tabs>
        <w:adjustRightInd/>
        <w:rPr>
          <w:rFonts w:cs="Arial"/>
          <w:b/>
          <w:i/>
          <w:lang w:val="en-US"/>
        </w:rPr>
      </w:pPr>
      <w:r>
        <w:rPr>
          <w:rFonts w:cs="Arial"/>
          <w:b/>
          <w:i/>
          <w:lang w:val="en-US"/>
        </w:rPr>
        <w:t>Question 3(3)</w:t>
      </w:r>
    </w:p>
    <w:p w14:paraId="7757CC6A" w14:textId="77777777" w:rsidR="003520F6" w:rsidRDefault="003520F6" w:rsidP="003520F6">
      <w:pPr>
        <w:keepLines/>
        <w:widowControl/>
        <w:tabs>
          <w:tab w:val="clear" w:pos="1418"/>
        </w:tabs>
        <w:adjustRightInd/>
        <w:rPr>
          <w:rFonts w:cs="Arial"/>
          <w:b/>
          <w:i/>
          <w:lang w:val="en-US"/>
        </w:rPr>
      </w:pPr>
    </w:p>
    <w:p w14:paraId="7E49EBF9" w14:textId="1F3EF88D" w:rsidR="003520F6" w:rsidRPr="00DB6AF5" w:rsidRDefault="003520F6" w:rsidP="003068A2">
      <w:pPr>
        <w:pStyle w:val="ListParagraph"/>
        <w:widowControl/>
        <w:numPr>
          <w:ilvl w:val="0"/>
          <w:numId w:val="5"/>
        </w:numPr>
        <w:tabs>
          <w:tab w:val="clear" w:pos="1418"/>
        </w:tabs>
        <w:adjustRightInd/>
        <w:ind w:left="0" w:firstLine="0"/>
        <w:rPr>
          <w:rFonts w:cs="Arial"/>
          <w:lang w:val="en-US"/>
        </w:rPr>
      </w:pPr>
      <w:r>
        <w:rPr>
          <w:rFonts w:cs="Arial" w:hint="eastAsia"/>
          <w:lang w:val="en-US"/>
        </w:rPr>
        <w:tab/>
      </w:r>
      <w:r w:rsidRPr="001035F3">
        <w:rPr>
          <w:rFonts w:cs="Arial"/>
          <w:lang w:val="en-US"/>
        </w:rPr>
        <w:t>In the C</w:t>
      </w:r>
      <w:r>
        <w:rPr>
          <w:rFonts w:cs="Arial"/>
          <w:lang w:val="en-US"/>
        </w:rPr>
        <w:t>P</w:t>
      </w:r>
      <w:r w:rsidRPr="001035F3">
        <w:rPr>
          <w:rFonts w:cs="Arial"/>
          <w:lang w:val="en-US"/>
        </w:rPr>
        <w:t>, the Sub-committee pointed out that there is an option to have court determined PPOs in respect of only certain heads of claim such as future accommodation and care</w:t>
      </w:r>
      <w:r w:rsidR="001D76F0">
        <w:rPr>
          <w:rFonts w:cs="Arial"/>
          <w:lang w:val="en-US"/>
        </w:rPr>
        <w:t>.</w:t>
      </w:r>
      <w:r w:rsidR="005C639A">
        <w:rPr>
          <w:rFonts w:cs="Arial"/>
          <w:lang w:val="en-US"/>
        </w:rPr>
        <w:t xml:space="preserve"> </w:t>
      </w:r>
      <w:r>
        <w:rPr>
          <w:rFonts w:cs="Arial"/>
          <w:lang w:val="en-US"/>
        </w:rPr>
        <w:t xml:space="preserve"> Distilling </w:t>
      </w:r>
      <w:r w:rsidRPr="00DB6AF5">
        <w:rPr>
          <w:rFonts w:cs="Arial"/>
          <w:lang w:val="en-US"/>
        </w:rPr>
        <w:t>the responses, we have the following observation</w:t>
      </w:r>
      <w:r>
        <w:rPr>
          <w:rFonts w:cs="Arial"/>
          <w:lang w:val="en-US"/>
        </w:rPr>
        <w:t>s</w:t>
      </w:r>
      <w:r w:rsidRPr="00DB6AF5">
        <w:rPr>
          <w:rFonts w:cs="Arial"/>
          <w:lang w:val="en-US"/>
        </w:rPr>
        <w:t xml:space="preserve">: </w:t>
      </w:r>
    </w:p>
    <w:p w14:paraId="74EEBE31" w14:textId="77777777" w:rsidR="003520F6" w:rsidRPr="00DB6AF5" w:rsidRDefault="003520F6" w:rsidP="003520F6">
      <w:pPr>
        <w:rPr>
          <w:rFonts w:cs="Arial"/>
          <w:lang w:val="en-US"/>
        </w:rPr>
      </w:pPr>
    </w:p>
    <w:p w14:paraId="06035F0E" w14:textId="777F6C28" w:rsidR="003520F6" w:rsidRPr="00DB6AF5" w:rsidRDefault="003520F6" w:rsidP="003520F6">
      <w:pPr>
        <w:numPr>
          <w:ilvl w:val="0"/>
          <w:numId w:val="2"/>
        </w:numPr>
        <w:spacing w:after="120"/>
        <w:ind w:left="1440" w:hanging="720"/>
        <w:rPr>
          <w:rFonts w:cs="Arial"/>
          <w:lang w:val="en-US"/>
        </w:rPr>
      </w:pPr>
      <w:r w:rsidRPr="00DB6AF5">
        <w:rPr>
          <w:rFonts w:cs="Arial"/>
          <w:lang w:val="en-US"/>
        </w:rPr>
        <w:t xml:space="preserve">Some </w:t>
      </w:r>
      <w:r>
        <w:rPr>
          <w:rFonts w:cs="Arial"/>
          <w:lang w:val="en-US"/>
        </w:rPr>
        <w:t>R</w:t>
      </w:r>
      <w:r w:rsidRPr="00DB6AF5">
        <w:rPr>
          <w:rFonts w:cs="Arial"/>
          <w:lang w:val="en-US"/>
        </w:rPr>
        <w:t xml:space="preserve">espondents felt </w:t>
      </w:r>
      <w:r>
        <w:rPr>
          <w:rFonts w:cs="Arial"/>
          <w:lang w:val="en-US"/>
        </w:rPr>
        <w:t xml:space="preserve">that </w:t>
      </w:r>
      <w:r w:rsidRPr="00DB6AF5">
        <w:rPr>
          <w:rFonts w:cs="Arial"/>
          <w:lang w:val="en-US"/>
        </w:rPr>
        <w:t>PPOs should only cover future loss claims but at the discretion of the court.</w:t>
      </w:r>
    </w:p>
    <w:p w14:paraId="4A625C4D" w14:textId="5149A686" w:rsidR="003520F6" w:rsidRPr="00DB6AF5" w:rsidRDefault="003520F6" w:rsidP="003520F6">
      <w:pPr>
        <w:widowControl/>
        <w:numPr>
          <w:ilvl w:val="0"/>
          <w:numId w:val="2"/>
        </w:numPr>
        <w:spacing w:after="120"/>
        <w:ind w:left="1440" w:hanging="720"/>
        <w:rPr>
          <w:rFonts w:cs="Arial"/>
          <w:lang w:val="en-US"/>
        </w:rPr>
      </w:pPr>
      <w:r w:rsidRPr="00DB6AF5">
        <w:rPr>
          <w:rFonts w:cs="Arial"/>
          <w:lang w:val="en-US"/>
        </w:rPr>
        <w:t>Some however felt that there should be a limit to certain heads of loss where the court</w:t>
      </w:r>
      <w:r w:rsidR="00115808">
        <w:rPr>
          <w:rFonts w:cs="Arial"/>
          <w:lang w:val="en-US"/>
        </w:rPr>
        <w:t>'</w:t>
      </w:r>
      <w:r>
        <w:rPr>
          <w:rFonts w:cs="Arial"/>
          <w:lang w:val="en-US"/>
        </w:rPr>
        <w:t>s discretion is</w:t>
      </w:r>
      <w:r w:rsidRPr="00DB6AF5">
        <w:rPr>
          <w:rFonts w:cs="Arial"/>
          <w:lang w:val="en-US"/>
        </w:rPr>
        <w:t xml:space="preserve"> exercised and that for heads of damage</w:t>
      </w:r>
      <w:r>
        <w:rPr>
          <w:rFonts w:cs="Arial"/>
          <w:lang w:val="en-US"/>
        </w:rPr>
        <w:t>s</w:t>
      </w:r>
      <w:r w:rsidRPr="00DB6AF5">
        <w:rPr>
          <w:rFonts w:cs="Arial"/>
          <w:lang w:val="en-US"/>
        </w:rPr>
        <w:t xml:space="preserve"> covering non-pecuniary loss, these could only be subject to a PPO if the parties consented. </w:t>
      </w:r>
    </w:p>
    <w:p w14:paraId="3A7BC300" w14:textId="682B13D5" w:rsidR="003520F6" w:rsidRPr="00DB6AF5" w:rsidRDefault="003520F6" w:rsidP="003520F6">
      <w:pPr>
        <w:widowControl/>
        <w:numPr>
          <w:ilvl w:val="0"/>
          <w:numId w:val="2"/>
        </w:numPr>
        <w:ind w:left="1440" w:hanging="720"/>
        <w:rPr>
          <w:rFonts w:cs="Arial"/>
          <w:lang w:val="en-US"/>
        </w:rPr>
      </w:pPr>
      <w:r w:rsidRPr="00DB6AF5">
        <w:rPr>
          <w:rFonts w:cs="Arial"/>
          <w:lang w:val="en-US"/>
        </w:rPr>
        <w:t xml:space="preserve">Some </w:t>
      </w:r>
      <w:r>
        <w:rPr>
          <w:rFonts w:cs="Arial"/>
          <w:lang w:val="en-US"/>
        </w:rPr>
        <w:t>R</w:t>
      </w:r>
      <w:r w:rsidRPr="00DB6AF5">
        <w:rPr>
          <w:rFonts w:cs="Arial"/>
          <w:lang w:val="en-US"/>
        </w:rPr>
        <w:t xml:space="preserve">espondents felt </w:t>
      </w:r>
      <w:r>
        <w:rPr>
          <w:rFonts w:cs="Arial"/>
          <w:lang w:val="en-US"/>
        </w:rPr>
        <w:t xml:space="preserve">that </w:t>
      </w:r>
      <w:r w:rsidRPr="00DB6AF5">
        <w:rPr>
          <w:rFonts w:cs="Arial"/>
          <w:lang w:val="en-US"/>
        </w:rPr>
        <w:t>the court should have a general unlimited discretion to award PPOs for all heads of loss.</w:t>
      </w:r>
      <w:r w:rsidRPr="00DD4437">
        <w:rPr>
          <w:rFonts w:cs="Arial"/>
          <w:lang w:val="en-US"/>
        </w:rPr>
        <w:t xml:space="preserve"> </w:t>
      </w:r>
    </w:p>
    <w:p w14:paraId="38F4A65A" w14:textId="77777777" w:rsidR="003520F6" w:rsidRDefault="003520F6" w:rsidP="003520F6">
      <w:pPr>
        <w:keepLines/>
        <w:widowControl/>
        <w:tabs>
          <w:tab w:val="clear" w:pos="1418"/>
        </w:tabs>
        <w:adjustRightInd/>
        <w:rPr>
          <w:rFonts w:cs="Arial"/>
          <w:highlight w:val="yellow"/>
          <w:lang w:val="en-US"/>
        </w:rPr>
      </w:pPr>
    </w:p>
    <w:p w14:paraId="1C9E8BE3" w14:textId="05FDBED0" w:rsidR="003520F6" w:rsidRPr="00DB6AF5" w:rsidRDefault="003B1330" w:rsidP="003068A2">
      <w:pPr>
        <w:pStyle w:val="ListParagraph"/>
        <w:widowControl/>
        <w:numPr>
          <w:ilvl w:val="0"/>
          <w:numId w:val="5"/>
        </w:numPr>
        <w:tabs>
          <w:tab w:val="clear" w:pos="1418"/>
        </w:tabs>
        <w:adjustRightInd/>
        <w:ind w:left="0" w:firstLine="0"/>
        <w:rPr>
          <w:rFonts w:cs="Arial"/>
        </w:rPr>
      </w:pPr>
      <w:r>
        <w:rPr>
          <w:rFonts w:cs="Arial"/>
        </w:rPr>
        <w:tab/>
      </w:r>
      <w:r w:rsidR="003520F6" w:rsidRPr="00DB6AF5">
        <w:rPr>
          <w:rFonts w:cs="Arial"/>
        </w:rPr>
        <w:t>We recommend that the power of the court to award periodical payment</w:t>
      </w:r>
      <w:r w:rsidR="003520F6">
        <w:rPr>
          <w:rFonts w:cs="Arial"/>
        </w:rPr>
        <w:t>s</w:t>
      </w:r>
      <w:r w:rsidR="003520F6" w:rsidRPr="00DB6AF5">
        <w:rPr>
          <w:rFonts w:cs="Arial"/>
        </w:rPr>
        <w:t xml:space="preserve"> should:</w:t>
      </w:r>
    </w:p>
    <w:p w14:paraId="096937FE" w14:textId="77777777" w:rsidR="003520F6" w:rsidRPr="00DB6AF5" w:rsidRDefault="003520F6" w:rsidP="003520F6">
      <w:pPr>
        <w:rPr>
          <w:rFonts w:cs="Arial"/>
        </w:rPr>
      </w:pPr>
    </w:p>
    <w:p w14:paraId="2495CB6A" w14:textId="6FF81D0D" w:rsidR="003520F6" w:rsidRPr="00DB6AF5" w:rsidRDefault="003520F6" w:rsidP="003520F6">
      <w:pPr>
        <w:numPr>
          <w:ilvl w:val="0"/>
          <w:numId w:val="3"/>
        </w:numPr>
        <w:ind w:hanging="720"/>
        <w:rPr>
          <w:rFonts w:cs="Arial"/>
        </w:rPr>
      </w:pPr>
      <w:r w:rsidRPr="00DB6AF5">
        <w:rPr>
          <w:rFonts w:cs="Arial"/>
        </w:rPr>
        <w:t>irrespective of the consent of the parties to the proceedings</w:t>
      </w:r>
      <w:r>
        <w:rPr>
          <w:rFonts w:cs="Arial"/>
        </w:rPr>
        <w:t xml:space="preserve"> in respect of future pecuniary loss</w:t>
      </w:r>
      <w:r w:rsidR="00C03F2D">
        <w:rPr>
          <w:rFonts w:cs="Arial"/>
        </w:rPr>
        <w:t>, be</w:t>
      </w:r>
      <w:r>
        <w:rPr>
          <w:rFonts w:cs="Arial"/>
        </w:rPr>
        <w:t xml:space="preserve"> referable to costs of care and accommodation</w:t>
      </w:r>
      <w:r w:rsidRPr="00DB6AF5">
        <w:rPr>
          <w:rFonts w:cs="Arial"/>
        </w:rPr>
        <w:t>;</w:t>
      </w:r>
    </w:p>
    <w:p w14:paraId="21A96791" w14:textId="77777777" w:rsidR="003520F6" w:rsidRPr="00DB6AF5" w:rsidRDefault="003520F6" w:rsidP="003520F6">
      <w:pPr>
        <w:ind w:left="1440" w:hanging="720"/>
        <w:rPr>
          <w:rFonts w:cs="Arial"/>
        </w:rPr>
      </w:pPr>
    </w:p>
    <w:p w14:paraId="7AF6F925" w14:textId="1C7F72B6" w:rsidR="003520F6" w:rsidRPr="00DB6AF5" w:rsidRDefault="0021009B" w:rsidP="003520F6">
      <w:pPr>
        <w:numPr>
          <w:ilvl w:val="0"/>
          <w:numId w:val="3"/>
        </w:numPr>
        <w:ind w:hanging="720"/>
        <w:rPr>
          <w:rFonts w:cs="Arial"/>
        </w:rPr>
      </w:pPr>
      <w:r w:rsidRPr="0021009B">
        <w:rPr>
          <w:rFonts w:cs="Arial"/>
        </w:rPr>
        <w:t>be limited to catastrophic cases;</w:t>
      </w:r>
      <w:r w:rsidRPr="0021009B">
        <w:rPr>
          <w:rFonts w:cs="Arial"/>
          <w:vertAlign w:val="superscript"/>
        </w:rPr>
        <w:footnoteReference w:id="10"/>
      </w:r>
      <w:r w:rsidRPr="0021009B">
        <w:rPr>
          <w:rFonts w:cs="Arial"/>
        </w:rPr>
        <w:t xml:space="preserve"> and</w:t>
      </w:r>
    </w:p>
    <w:p w14:paraId="6FC0E79D" w14:textId="77777777" w:rsidR="003520F6" w:rsidRPr="00DB6AF5" w:rsidRDefault="003520F6" w:rsidP="003520F6">
      <w:pPr>
        <w:ind w:left="1440" w:hanging="720"/>
        <w:rPr>
          <w:rFonts w:cs="Arial"/>
        </w:rPr>
      </w:pPr>
    </w:p>
    <w:p w14:paraId="568276E2" w14:textId="77777777" w:rsidR="003520F6" w:rsidRPr="00DB6AF5" w:rsidRDefault="003520F6" w:rsidP="003520F6">
      <w:pPr>
        <w:numPr>
          <w:ilvl w:val="0"/>
          <w:numId w:val="3"/>
        </w:numPr>
        <w:ind w:hanging="720"/>
        <w:rPr>
          <w:rFonts w:cs="Arial"/>
          <w:lang w:val="en-US"/>
        </w:rPr>
      </w:pPr>
      <w:r>
        <w:rPr>
          <w:rFonts w:cs="Arial"/>
        </w:rPr>
        <w:t xml:space="preserve">without prejudice to (a) above, </w:t>
      </w:r>
      <w:r w:rsidRPr="00DB6AF5">
        <w:rPr>
          <w:rFonts w:cs="Arial"/>
        </w:rPr>
        <w:t xml:space="preserve">cover all heads of future pecuniary loss </w:t>
      </w:r>
      <w:r>
        <w:rPr>
          <w:rFonts w:cs="Arial"/>
        </w:rPr>
        <w:t xml:space="preserve">subject to </w:t>
      </w:r>
      <w:r w:rsidRPr="00DB6AF5">
        <w:rPr>
          <w:rFonts w:cs="Arial"/>
        </w:rPr>
        <w:t>the consent of the parties to the proceedings</w:t>
      </w:r>
      <w:r>
        <w:rPr>
          <w:rFonts w:cs="Arial"/>
        </w:rPr>
        <w:t>.</w:t>
      </w:r>
      <w:r>
        <w:rPr>
          <w:rStyle w:val="FootnoteReference"/>
          <w:rFonts w:cs="Arial"/>
        </w:rPr>
        <w:footnoteReference w:id="11"/>
      </w:r>
      <w:r>
        <w:rPr>
          <w:rFonts w:cs="Arial"/>
        </w:rPr>
        <w:t xml:space="preserve"> </w:t>
      </w:r>
    </w:p>
    <w:p w14:paraId="661797E3" w14:textId="77777777" w:rsidR="003520F6" w:rsidRPr="00DB6AF5" w:rsidRDefault="003520F6" w:rsidP="003520F6">
      <w:pPr>
        <w:rPr>
          <w:rFonts w:cs="Arial"/>
          <w:lang w:val="en-US"/>
        </w:rPr>
      </w:pPr>
    </w:p>
    <w:p w14:paraId="322ACCDC" w14:textId="579CACF2" w:rsidR="003520F6" w:rsidRDefault="003520F6" w:rsidP="003068A2">
      <w:pPr>
        <w:pStyle w:val="ListParagraph"/>
        <w:widowControl/>
        <w:numPr>
          <w:ilvl w:val="0"/>
          <w:numId w:val="5"/>
        </w:numPr>
        <w:tabs>
          <w:tab w:val="clear" w:pos="1418"/>
        </w:tabs>
        <w:adjustRightInd/>
        <w:ind w:left="0" w:firstLine="0"/>
        <w:rPr>
          <w:rFonts w:cs="Arial"/>
        </w:rPr>
      </w:pPr>
      <w:r>
        <w:rPr>
          <w:rFonts w:cs="Arial"/>
          <w:lang w:val="en-US"/>
        </w:rPr>
        <w:tab/>
        <w:t>The recommendations herein are reflected in clause 11 of the Draft Bill</w:t>
      </w:r>
      <w:r w:rsidR="001D76F0">
        <w:rPr>
          <w:rFonts w:cs="Arial"/>
          <w:lang w:val="en-US"/>
        </w:rPr>
        <w:t>.</w:t>
      </w:r>
    </w:p>
    <w:p w14:paraId="2F01F541" w14:textId="77777777" w:rsidR="003520F6" w:rsidRDefault="003520F6" w:rsidP="003520F6">
      <w:pPr>
        <w:keepLines/>
        <w:widowControl/>
        <w:tabs>
          <w:tab w:val="clear" w:pos="1418"/>
        </w:tabs>
        <w:adjustRightInd/>
        <w:rPr>
          <w:rFonts w:cs="Arial"/>
          <w:lang w:val="en-US"/>
        </w:rPr>
      </w:pPr>
    </w:p>
    <w:p w14:paraId="792A9693" w14:textId="45CEBE36" w:rsidR="003520F6" w:rsidRPr="00C3671B" w:rsidRDefault="003520F6" w:rsidP="00CA6719">
      <w:pPr>
        <w:pStyle w:val="ListParagraph"/>
        <w:keepNext/>
        <w:keepLines/>
        <w:widowControl/>
        <w:numPr>
          <w:ilvl w:val="0"/>
          <w:numId w:val="5"/>
        </w:numPr>
        <w:tabs>
          <w:tab w:val="clear" w:pos="1418"/>
        </w:tabs>
        <w:adjustRightInd/>
        <w:ind w:left="0" w:firstLine="0"/>
        <w:rPr>
          <w:rFonts w:cs="Arial"/>
        </w:rPr>
      </w:pPr>
      <w:r>
        <w:rPr>
          <w:rFonts w:cs="Arial"/>
        </w:rPr>
        <w:tab/>
        <w:t>O</w:t>
      </w:r>
      <w:r w:rsidRPr="00C3671B">
        <w:rPr>
          <w:rFonts w:cs="Arial"/>
        </w:rPr>
        <w:t xml:space="preserve">ur </w:t>
      </w:r>
      <w:r w:rsidRPr="00C3671B">
        <w:rPr>
          <w:rFonts w:cs="Arial"/>
          <w:b/>
        </w:rPr>
        <w:t>Final Recommendation 3</w:t>
      </w:r>
      <w:r w:rsidRPr="00C3671B">
        <w:rPr>
          <w:rFonts w:cs="Arial"/>
        </w:rPr>
        <w:t xml:space="preserve"> is as follows:</w:t>
      </w:r>
    </w:p>
    <w:p w14:paraId="71DF8F0B" w14:textId="77777777" w:rsidR="003520F6" w:rsidRPr="00C3671B" w:rsidRDefault="003520F6" w:rsidP="003520F6">
      <w:pPr>
        <w:keepNext/>
        <w:keepLines/>
        <w:widowControl/>
        <w:tabs>
          <w:tab w:val="clear" w:pos="1418"/>
        </w:tabs>
        <w:adjustRightInd/>
        <w:rPr>
          <w:rFonts w:cs="Arial"/>
        </w:rPr>
      </w:pPr>
    </w:p>
    <w:p w14:paraId="287F8CC3" w14:textId="1A1C8320" w:rsidR="003520F6" w:rsidRPr="000F3586" w:rsidRDefault="00115808" w:rsidP="003520F6">
      <w:pPr>
        <w:widowControl/>
        <w:tabs>
          <w:tab w:val="clear" w:pos="1418"/>
        </w:tabs>
        <w:adjustRightInd/>
        <w:ind w:left="851" w:right="720" w:hanging="131"/>
        <w:rPr>
          <w:rFonts w:cs="Arial"/>
          <w:i/>
        </w:rPr>
      </w:pPr>
      <w:r>
        <w:rPr>
          <w:rFonts w:cs="Arial"/>
          <w:i/>
        </w:rPr>
        <w:t>"</w:t>
      </w:r>
      <w:r w:rsidR="003520F6" w:rsidRPr="000F3586">
        <w:rPr>
          <w:rFonts w:cs="Arial"/>
          <w:i/>
        </w:rPr>
        <w:t>We recommend that the power of the court to award periodical payments should</w:t>
      </w:r>
      <w:r w:rsidR="00974D0C">
        <w:rPr>
          <w:rFonts w:cs="Arial"/>
          <w:i/>
        </w:rPr>
        <w:t>,</w:t>
      </w:r>
    </w:p>
    <w:p w14:paraId="4047E0BE" w14:textId="77777777" w:rsidR="003520F6" w:rsidRPr="000F3586" w:rsidRDefault="003520F6" w:rsidP="003520F6">
      <w:pPr>
        <w:widowControl/>
        <w:tabs>
          <w:tab w:val="clear" w:pos="1418"/>
        </w:tabs>
        <w:adjustRightInd/>
        <w:ind w:left="1440" w:right="720" w:hanging="720"/>
        <w:rPr>
          <w:rFonts w:cs="Arial"/>
          <w:i/>
        </w:rPr>
      </w:pPr>
    </w:p>
    <w:p w14:paraId="2085B2F1" w14:textId="07BE03A0" w:rsidR="003520F6" w:rsidRPr="000F3586" w:rsidRDefault="003520F6" w:rsidP="003520F6">
      <w:pPr>
        <w:widowControl/>
        <w:tabs>
          <w:tab w:val="clear" w:pos="1418"/>
        </w:tabs>
        <w:adjustRightInd/>
        <w:ind w:left="1440" w:right="720" w:hanging="720"/>
        <w:rPr>
          <w:rFonts w:cs="Arial"/>
          <w:i/>
        </w:rPr>
      </w:pPr>
      <w:r w:rsidRPr="000F3586">
        <w:rPr>
          <w:rFonts w:cs="Arial"/>
          <w:i/>
        </w:rPr>
        <w:t>(a)</w:t>
      </w:r>
      <w:r w:rsidRPr="000F3586">
        <w:rPr>
          <w:rFonts w:cs="Arial"/>
          <w:i/>
        </w:rPr>
        <w:tab/>
        <w:t>irrespective of the consent of the parties to the proceedings in respect of future pecuniary loss</w:t>
      </w:r>
      <w:r w:rsidR="000A4C47">
        <w:rPr>
          <w:rFonts w:cs="Arial"/>
          <w:i/>
        </w:rPr>
        <w:t>, be</w:t>
      </w:r>
      <w:r w:rsidRPr="000F3586">
        <w:rPr>
          <w:rFonts w:cs="Arial"/>
          <w:i/>
        </w:rPr>
        <w:t xml:space="preserve"> referable to costs of care and accommodation;</w:t>
      </w:r>
    </w:p>
    <w:p w14:paraId="442E79D4" w14:textId="77777777" w:rsidR="003520F6" w:rsidRPr="000F3586" w:rsidRDefault="003520F6" w:rsidP="003520F6">
      <w:pPr>
        <w:widowControl/>
        <w:tabs>
          <w:tab w:val="clear" w:pos="1418"/>
        </w:tabs>
        <w:adjustRightInd/>
        <w:ind w:left="1440" w:right="720" w:hanging="720"/>
        <w:rPr>
          <w:rFonts w:cs="Arial"/>
          <w:i/>
        </w:rPr>
      </w:pPr>
    </w:p>
    <w:p w14:paraId="46048F49" w14:textId="775702F3" w:rsidR="003520F6" w:rsidRPr="000F3586" w:rsidRDefault="003520F6" w:rsidP="003520F6">
      <w:pPr>
        <w:widowControl/>
        <w:tabs>
          <w:tab w:val="clear" w:pos="1418"/>
        </w:tabs>
        <w:adjustRightInd/>
        <w:ind w:left="1440" w:right="720" w:hanging="720"/>
        <w:rPr>
          <w:rFonts w:cs="Arial"/>
          <w:i/>
        </w:rPr>
      </w:pPr>
      <w:r w:rsidRPr="000F3586">
        <w:rPr>
          <w:rFonts w:cs="Arial"/>
          <w:i/>
        </w:rPr>
        <w:t>(b)</w:t>
      </w:r>
      <w:r w:rsidRPr="000F3586">
        <w:rPr>
          <w:rFonts w:cs="Arial"/>
          <w:i/>
        </w:rPr>
        <w:tab/>
      </w:r>
      <w:r w:rsidR="0021009B" w:rsidRPr="0021009B">
        <w:rPr>
          <w:rFonts w:cs="Arial"/>
          <w:i/>
          <w:lang w:val="en-US"/>
        </w:rPr>
        <w:t>be limited to catastrophic cases; and</w:t>
      </w:r>
    </w:p>
    <w:p w14:paraId="37F9B21F" w14:textId="77777777" w:rsidR="003520F6" w:rsidRPr="000F3586" w:rsidRDefault="003520F6" w:rsidP="003520F6">
      <w:pPr>
        <w:widowControl/>
        <w:tabs>
          <w:tab w:val="clear" w:pos="1418"/>
        </w:tabs>
        <w:adjustRightInd/>
        <w:ind w:left="1440" w:right="720" w:hanging="720"/>
        <w:rPr>
          <w:rFonts w:cs="Arial"/>
          <w:i/>
        </w:rPr>
      </w:pPr>
    </w:p>
    <w:p w14:paraId="0133177F" w14:textId="55D258EC" w:rsidR="003520F6" w:rsidRPr="00C3671B" w:rsidRDefault="003520F6" w:rsidP="003520F6">
      <w:pPr>
        <w:widowControl/>
        <w:tabs>
          <w:tab w:val="clear" w:pos="1418"/>
        </w:tabs>
        <w:adjustRightInd/>
        <w:ind w:left="1440" w:right="720" w:hanging="720"/>
        <w:rPr>
          <w:rFonts w:cs="Arial"/>
        </w:rPr>
      </w:pPr>
      <w:r w:rsidRPr="000F3586">
        <w:rPr>
          <w:rFonts w:cs="Arial"/>
          <w:i/>
        </w:rPr>
        <w:t>(c)</w:t>
      </w:r>
      <w:r w:rsidRPr="000F3586">
        <w:rPr>
          <w:rFonts w:cs="Arial"/>
          <w:i/>
        </w:rPr>
        <w:tab/>
        <w:t>without prejudice to (a) above, cover all heads of future pecuniary loss subject to the consent of the parties to the proceedings.</w:t>
      </w:r>
      <w:r w:rsidR="00115808">
        <w:rPr>
          <w:rFonts w:cs="Arial"/>
          <w:i/>
        </w:rPr>
        <w:t>"</w:t>
      </w:r>
    </w:p>
    <w:p w14:paraId="20191A83" w14:textId="77777777" w:rsidR="003520F6" w:rsidRPr="00C3671B" w:rsidRDefault="003520F6" w:rsidP="003520F6">
      <w:pPr>
        <w:rPr>
          <w:lang w:val="en-US"/>
        </w:rPr>
      </w:pPr>
    </w:p>
    <w:p w14:paraId="7E1ACFFB" w14:textId="77777777" w:rsidR="003520F6" w:rsidRPr="00C3671B" w:rsidRDefault="003520F6" w:rsidP="003520F6">
      <w:pPr>
        <w:rPr>
          <w:lang w:val="en-US"/>
        </w:rPr>
      </w:pPr>
    </w:p>
    <w:p w14:paraId="65A9C4F5" w14:textId="77777777" w:rsidR="003520F6" w:rsidRPr="00C3671B" w:rsidRDefault="003520F6" w:rsidP="003520F6">
      <w:pPr>
        <w:keepNext/>
        <w:keepLines/>
        <w:widowControl/>
        <w:tabs>
          <w:tab w:val="clear" w:pos="1418"/>
        </w:tabs>
        <w:adjustRightInd/>
        <w:rPr>
          <w:b/>
          <w:sz w:val="28"/>
          <w:szCs w:val="28"/>
          <w:lang w:val="en-US"/>
        </w:rPr>
      </w:pPr>
      <w:r w:rsidRPr="00C3671B">
        <w:rPr>
          <w:b/>
          <w:sz w:val="28"/>
          <w:szCs w:val="28"/>
          <w:lang w:val="en-US"/>
        </w:rPr>
        <w:t xml:space="preserve">Chapter </w:t>
      </w:r>
      <w:r>
        <w:rPr>
          <w:b/>
          <w:sz w:val="28"/>
          <w:szCs w:val="28"/>
          <w:lang w:val="en-US"/>
        </w:rPr>
        <w:t>4</w:t>
      </w:r>
      <w:r w:rsidRPr="00C3671B">
        <w:rPr>
          <w:b/>
          <w:sz w:val="28"/>
          <w:szCs w:val="28"/>
          <w:lang w:val="en-US"/>
        </w:rPr>
        <w:t xml:space="preserve">: </w:t>
      </w:r>
      <w:r w:rsidRPr="00CE464F">
        <w:rPr>
          <w:b/>
          <w:sz w:val="28"/>
          <w:szCs w:val="28"/>
          <w:lang w:val="en-US"/>
        </w:rPr>
        <w:t>Circumstances for review by the court of PPOs and co-existence of a PPO regime with the current regime</w:t>
      </w:r>
    </w:p>
    <w:p w14:paraId="3CF5DB79" w14:textId="77777777" w:rsidR="003520F6" w:rsidRDefault="003520F6" w:rsidP="003520F6">
      <w:pPr>
        <w:keepNext/>
        <w:keepLines/>
        <w:widowControl/>
        <w:tabs>
          <w:tab w:val="clear" w:pos="1418"/>
        </w:tabs>
        <w:adjustRightInd/>
        <w:rPr>
          <w:rFonts w:cs="Arial"/>
          <w:b/>
          <w:lang w:val="en-US"/>
        </w:rPr>
      </w:pPr>
    </w:p>
    <w:p w14:paraId="5AC6439C" w14:textId="5A8D6392" w:rsidR="00BE557E" w:rsidRPr="0086729E" w:rsidRDefault="003B1330" w:rsidP="003068A2">
      <w:pPr>
        <w:pStyle w:val="ListParagraph"/>
        <w:widowControl/>
        <w:numPr>
          <w:ilvl w:val="0"/>
          <w:numId w:val="5"/>
        </w:numPr>
        <w:tabs>
          <w:tab w:val="clear" w:pos="1418"/>
        </w:tabs>
        <w:adjustRightInd/>
        <w:ind w:left="0" w:firstLine="0"/>
        <w:rPr>
          <w:rFonts w:cs="Arial"/>
        </w:rPr>
      </w:pPr>
      <w:r>
        <w:rPr>
          <w:rFonts w:cs="Arial"/>
          <w:lang w:val="en-US"/>
        </w:rPr>
        <w:tab/>
      </w:r>
      <w:r w:rsidR="00BE557E" w:rsidRPr="0086729E">
        <w:rPr>
          <w:rFonts w:cs="Arial"/>
          <w:lang w:val="en-US"/>
        </w:rPr>
        <w:t xml:space="preserve">Question 4 </w:t>
      </w:r>
      <w:r w:rsidR="00BE557E">
        <w:rPr>
          <w:rFonts w:cs="Arial"/>
          <w:lang w:val="en-US"/>
        </w:rPr>
        <w:t xml:space="preserve">of the CP </w:t>
      </w:r>
      <w:r w:rsidR="00BE557E" w:rsidRPr="0086729E">
        <w:rPr>
          <w:rFonts w:cs="Arial"/>
        </w:rPr>
        <w:t>is sub-divided into four constituent</w:t>
      </w:r>
      <w:r w:rsidR="00BE557E" w:rsidRPr="0086729E">
        <w:rPr>
          <w:rFonts w:cs="Arial"/>
          <w:spacing w:val="-22"/>
        </w:rPr>
        <w:t xml:space="preserve"> </w:t>
      </w:r>
      <w:r w:rsidR="00BE557E" w:rsidRPr="0086729E">
        <w:rPr>
          <w:rFonts w:cs="Arial"/>
        </w:rPr>
        <w:t>parts, which are</w:t>
      </w:r>
      <w:r w:rsidR="005A1B18">
        <w:rPr>
          <w:rFonts w:cs="Arial"/>
        </w:rPr>
        <w:t>:</w:t>
      </w:r>
    </w:p>
    <w:p w14:paraId="031C9928" w14:textId="77777777" w:rsidR="00BE557E" w:rsidRPr="0086729E" w:rsidRDefault="00BE557E" w:rsidP="00BE557E">
      <w:pPr>
        <w:rPr>
          <w:rFonts w:cs="Arial"/>
        </w:rPr>
      </w:pPr>
    </w:p>
    <w:p w14:paraId="7B2C5311" w14:textId="7C37464F" w:rsidR="00BE557E" w:rsidRPr="0086729E" w:rsidRDefault="00115808" w:rsidP="00BE557E">
      <w:pPr>
        <w:pStyle w:val="Indent1"/>
        <w:ind w:right="720"/>
        <w:rPr>
          <w:i/>
        </w:rPr>
      </w:pPr>
      <w:r>
        <w:rPr>
          <w:i/>
        </w:rPr>
        <w:t>"</w:t>
      </w:r>
      <w:r w:rsidR="00BE557E" w:rsidRPr="0086729E">
        <w:rPr>
          <w:i/>
        </w:rPr>
        <w:t>(1)</w:t>
      </w:r>
      <w:r w:rsidR="00BE557E" w:rsidRPr="0086729E">
        <w:rPr>
          <w:i/>
        </w:rPr>
        <w:tab/>
        <w:t>Whether the original periodical payment order should be open to</w:t>
      </w:r>
      <w:r w:rsidR="00BE557E" w:rsidRPr="0086729E">
        <w:rPr>
          <w:i/>
          <w:spacing w:val="-28"/>
        </w:rPr>
        <w:t xml:space="preserve"> </w:t>
      </w:r>
      <w:r w:rsidR="00BE557E" w:rsidRPr="0086729E">
        <w:rPr>
          <w:i/>
        </w:rPr>
        <w:t>review by the court upon the application of either party to the</w:t>
      </w:r>
      <w:r w:rsidR="00BE557E" w:rsidRPr="0086729E">
        <w:rPr>
          <w:i/>
          <w:spacing w:val="-27"/>
        </w:rPr>
        <w:t xml:space="preserve"> </w:t>
      </w:r>
      <w:r w:rsidR="00BE557E" w:rsidRPr="0086729E">
        <w:rPr>
          <w:i/>
        </w:rPr>
        <w:t>proceedings.</w:t>
      </w:r>
    </w:p>
    <w:p w14:paraId="6E7BB494" w14:textId="77777777" w:rsidR="00BE557E" w:rsidRPr="0086729E" w:rsidRDefault="00BE557E" w:rsidP="00BE557E">
      <w:pPr>
        <w:pStyle w:val="Indent1"/>
        <w:ind w:right="720"/>
        <w:rPr>
          <w:i/>
        </w:rPr>
      </w:pPr>
    </w:p>
    <w:p w14:paraId="1ACB76D9" w14:textId="77777777" w:rsidR="00BE557E" w:rsidRPr="0086729E" w:rsidRDefault="00BE557E" w:rsidP="00BE557E">
      <w:pPr>
        <w:pStyle w:val="Indent1"/>
        <w:ind w:right="720"/>
        <w:rPr>
          <w:i/>
        </w:rPr>
      </w:pPr>
      <w:r w:rsidRPr="0086729E">
        <w:rPr>
          <w:i/>
        </w:rPr>
        <w:t>(2)</w:t>
      </w:r>
      <w:r w:rsidRPr="0086729E">
        <w:rPr>
          <w:i/>
        </w:rPr>
        <w:tab/>
        <w:t>If yes, what should be the circumstances for reviewing periodical payment orders, including but not limited to the</w:t>
      </w:r>
      <w:r w:rsidRPr="0086729E">
        <w:rPr>
          <w:i/>
          <w:spacing w:val="-18"/>
        </w:rPr>
        <w:t xml:space="preserve"> </w:t>
      </w:r>
      <w:r w:rsidRPr="0086729E">
        <w:rPr>
          <w:i/>
        </w:rPr>
        <w:t>following:</w:t>
      </w:r>
    </w:p>
    <w:p w14:paraId="0A9B17A9" w14:textId="77777777" w:rsidR="00BE557E" w:rsidRPr="0086729E" w:rsidRDefault="00BE557E" w:rsidP="00BE557E">
      <w:pPr>
        <w:spacing w:before="9"/>
        <w:ind w:right="720"/>
        <w:rPr>
          <w:rFonts w:cs="Arial"/>
          <w:i/>
        </w:rPr>
      </w:pPr>
    </w:p>
    <w:p w14:paraId="7AE7640A" w14:textId="77777777" w:rsidR="00BE557E" w:rsidRPr="0086729E" w:rsidRDefault="00BE557E" w:rsidP="00BE557E">
      <w:pPr>
        <w:ind w:left="2138" w:right="720" w:hanging="720"/>
        <w:rPr>
          <w:rFonts w:cs="Arial"/>
          <w:i/>
        </w:rPr>
      </w:pPr>
      <w:r w:rsidRPr="0086729E">
        <w:rPr>
          <w:rFonts w:cs="Arial"/>
          <w:i/>
        </w:rPr>
        <w:t>(a)</w:t>
      </w:r>
      <w:r w:rsidRPr="0086729E">
        <w:rPr>
          <w:rFonts w:cs="Arial"/>
          <w:i/>
        </w:rPr>
        <w:tab/>
        <w:t>changes in the need for and level of future care as a result of significant medical deterioration or improvement, which is foreseen at the time of the original order, with specific criteria pertinent to the nature of deterioration or improvement, as well as the duration during which a review can be applied for, being stipulated in that</w:t>
      </w:r>
      <w:r w:rsidRPr="0086729E">
        <w:rPr>
          <w:rFonts w:cs="Arial"/>
          <w:i/>
          <w:spacing w:val="-9"/>
        </w:rPr>
        <w:t xml:space="preserve"> </w:t>
      </w:r>
      <w:r w:rsidRPr="0086729E">
        <w:rPr>
          <w:rFonts w:cs="Arial"/>
          <w:i/>
        </w:rPr>
        <w:t>order;</w:t>
      </w:r>
    </w:p>
    <w:p w14:paraId="19F5D5F0" w14:textId="77777777" w:rsidR="00BE557E" w:rsidRPr="0086729E" w:rsidRDefault="00BE557E" w:rsidP="00BE557E">
      <w:pPr>
        <w:spacing w:before="240"/>
        <w:ind w:left="2138" w:right="720" w:hanging="720"/>
        <w:rPr>
          <w:rFonts w:cs="Arial"/>
          <w:i/>
        </w:rPr>
      </w:pPr>
      <w:r w:rsidRPr="0086729E">
        <w:rPr>
          <w:rFonts w:cs="Arial"/>
          <w:i/>
        </w:rPr>
        <w:t>(b)</w:t>
      </w:r>
      <w:r w:rsidRPr="0086729E">
        <w:rPr>
          <w:rFonts w:cs="Arial"/>
          <w:i/>
        </w:rPr>
        <w:tab/>
        <w:t>exceptional life-changing circumstances, and if so, what are these circumstances;</w:t>
      </w:r>
      <w:r w:rsidRPr="0086729E">
        <w:rPr>
          <w:rFonts w:cs="Arial"/>
          <w:i/>
          <w:spacing w:val="-8"/>
        </w:rPr>
        <w:t xml:space="preserve"> </w:t>
      </w:r>
      <w:r w:rsidRPr="0086729E">
        <w:rPr>
          <w:rFonts w:cs="Arial"/>
          <w:i/>
        </w:rPr>
        <w:t>and</w:t>
      </w:r>
    </w:p>
    <w:p w14:paraId="071D06DF" w14:textId="77777777" w:rsidR="00BE557E" w:rsidRPr="0086729E" w:rsidRDefault="00BE557E" w:rsidP="00BE557E">
      <w:pPr>
        <w:ind w:left="2138" w:right="720" w:hanging="720"/>
        <w:rPr>
          <w:rFonts w:cs="Arial"/>
          <w:i/>
        </w:rPr>
      </w:pPr>
    </w:p>
    <w:p w14:paraId="7F9D52B4" w14:textId="77777777" w:rsidR="00BE557E" w:rsidRPr="0086729E" w:rsidRDefault="00BE557E" w:rsidP="00BE557E">
      <w:pPr>
        <w:ind w:left="2138" w:right="720" w:hanging="720"/>
        <w:rPr>
          <w:rFonts w:cs="Arial"/>
          <w:i/>
        </w:rPr>
      </w:pPr>
      <w:r w:rsidRPr="0086729E">
        <w:rPr>
          <w:rFonts w:cs="Arial"/>
          <w:i/>
        </w:rPr>
        <w:t>(c)</w:t>
      </w:r>
      <w:r w:rsidRPr="0086729E">
        <w:rPr>
          <w:rFonts w:cs="Arial"/>
          <w:i/>
        </w:rPr>
        <w:tab/>
        <w:t>restriction on the number of applications for review and limit on extension of time for review that may be</w:t>
      </w:r>
      <w:r w:rsidRPr="0086729E">
        <w:rPr>
          <w:rFonts w:cs="Arial"/>
          <w:i/>
          <w:spacing w:val="-12"/>
        </w:rPr>
        <w:t xml:space="preserve"> </w:t>
      </w:r>
      <w:r w:rsidRPr="0086729E">
        <w:rPr>
          <w:rFonts w:cs="Arial"/>
          <w:i/>
        </w:rPr>
        <w:t>allowed.</w:t>
      </w:r>
    </w:p>
    <w:p w14:paraId="517ABE59" w14:textId="77777777" w:rsidR="00BE557E" w:rsidRPr="0086729E" w:rsidRDefault="00BE557E" w:rsidP="00BE557E">
      <w:pPr>
        <w:pStyle w:val="Indent1"/>
        <w:ind w:right="720"/>
        <w:rPr>
          <w:i/>
        </w:rPr>
      </w:pPr>
    </w:p>
    <w:p w14:paraId="6CE53904" w14:textId="77777777" w:rsidR="00BE557E" w:rsidRPr="0086729E" w:rsidRDefault="00BE557E" w:rsidP="00BE557E">
      <w:pPr>
        <w:pStyle w:val="Indent1"/>
        <w:widowControl/>
        <w:ind w:right="720"/>
        <w:rPr>
          <w:i/>
        </w:rPr>
      </w:pPr>
      <w:r w:rsidRPr="0086729E">
        <w:rPr>
          <w:i/>
        </w:rPr>
        <w:t>(3)</w:t>
      </w:r>
      <w:r w:rsidRPr="0086729E">
        <w:rPr>
          <w:i/>
        </w:rPr>
        <w:tab/>
        <w:t>Whether, upon the cessation of periodical payment occasioned by premature</w:t>
      </w:r>
      <w:r w:rsidRPr="0086729E">
        <w:rPr>
          <w:i/>
          <w:spacing w:val="-5"/>
        </w:rPr>
        <w:t xml:space="preserve"> </w:t>
      </w:r>
      <w:r w:rsidRPr="0086729E">
        <w:rPr>
          <w:i/>
        </w:rPr>
        <w:t>death</w:t>
      </w:r>
      <w:r w:rsidRPr="0086729E">
        <w:rPr>
          <w:i/>
          <w:spacing w:val="-4"/>
        </w:rPr>
        <w:t xml:space="preserve"> </w:t>
      </w:r>
      <w:r w:rsidRPr="0086729E">
        <w:rPr>
          <w:i/>
        </w:rPr>
        <w:t>of</w:t>
      </w:r>
      <w:r w:rsidRPr="0086729E">
        <w:rPr>
          <w:i/>
          <w:spacing w:val="-5"/>
        </w:rPr>
        <w:t xml:space="preserve"> </w:t>
      </w:r>
      <w:r w:rsidRPr="0086729E">
        <w:rPr>
          <w:i/>
        </w:rPr>
        <w:t>a</w:t>
      </w:r>
      <w:r w:rsidRPr="0086729E">
        <w:rPr>
          <w:i/>
          <w:spacing w:val="-5"/>
        </w:rPr>
        <w:t xml:space="preserve"> </w:t>
      </w:r>
      <w:r w:rsidRPr="0086729E">
        <w:rPr>
          <w:i/>
        </w:rPr>
        <w:t>recipient</w:t>
      </w:r>
      <w:r w:rsidRPr="0086729E">
        <w:rPr>
          <w:i/>
          <w:spacing w:val="-7"/>
        </w:rPr>
        <w:t xml:space="preserve"> </w:t>
      </w:r>
      <w:r w:rsidRPr="0086729E">
        <w:rPr>
          <w:i/>
        </w:rPr>
        <w:t>of</w:t>
      </w:r>
      <w:r w:rsidRPr="0086729E">
        <w:rPr>
          <w:i/>
          <w:spacing w:val="-5"/>
        </w:rPr>
        <w:t xml:space="preserve"> </w:t>
      </w:r>
      <w:r w:rsidRPr="0086729E">
        <w:rPr>
          <w:i/>
        </w:rPr>
        <w:t>periodical</w:t>
      </w:r>
      <w:r w:rsidRPr="0086729E">
        <w:rPr>
          <w:i/>
          <w:spacing w:val="-5"/>
        </w:rPr>
        <w:t xml:space="preserve"> </w:t>
      </w:r>
      <w:r w:rsidRPr="0086729E">
        <w:rPr>
          <w:i/>
        </w:rPr>
        <w:t>payment,</w:t>
      </w:r>
      <w:r w:rsidRPr="0086729E">
        <w:rPr>
          <w:i/>
          <w:spacing w:val="-5"/>
        </w:rPr>
        <w:t xml:space="preserve"> </w:t>
      </w:r>
      <w:r w:rsidRPr="0086729E">
        <w:rPr>
          <w:i/>
        </w:rPr>
        <w:t>the</w:t>
      </w:r>
      <w:r w:rsidRPr="0086729E">
        <w:rPr>
          <w:i/>
          <w:spacing w:val="-7"/>
        </w:rPr>
        <w:t xml:space="preserve"> </w:t>
      </w:r>
      <w:r w:rsidRPr="0086729E">
        <w:rPr>
          <w:i/>
        </w:rPr>
        <w:t>dependants</w:t>
      </w:r>
      <w:r w:rsidRPr="0086729E">
        <w:rPr>
          <w:i/>
          <w:spacing w:val="-5"/>
        </w:rPr>
        <w:t xml:space="preserve"> </w:t>
      </w:r>
      <w:r w:rsidRPr="0086729E">
        <w:rPr>
          <w:i/>
        </w:rPr>
        <w:t>of such recipient should be afforded one last opportunity to pursue a</w:t>
      </w:r>
      <w:r w:rsidRPr="0086729E">
        <w:rPr>
          <w:i/>
          <w:spacing w:val="-25"/>
        </w:rPr>
        <w:t xml:space="preserve"> </w:t>
      </w:r>
      <w:r w:rsidRPr="0086729E">
        <w:rPr>
          <w:i/>
        </w:rPr>
        <w:t>claim against the paying party for loss of dependency, or being the amount which the deceased recipient would have contributed to his dependant from the periodical payment he received but for his premature death and in respect of which the dependant has not received any compensation or damages from the paying party or any person who was or may be liable to</w:t>
      </w:r>
      <w:r w:rsidRPr="0086729E">
        <w:rPr>
          <w:i/>
          <w:spacing w:val="-11"/>
        </w:rPr>
        <w:t xml:space="preserve"> </w:t>
      </w:r>
      <w:r w:rsidRPr="0086729E">
        <w:rPr>
          <w:i/>
        </w:rPr>
        <w:t>him.</w:t>
      </w:r>
    </w:p>
    <w:p w14:paraId="30C942BE" w14:textId="77777777" w:rsidR="00BE557E" w:rsidRPr="0086729E" w:rsidRDefault="00BE557E" w:rsidP="00BE557E">
      <w:pPr>
        <w:pStyle w:val="Indent1"/>
        <w:widowControl/>
        <w:ind w:left="720" w:right="720"/>
        <w:rPr>
          <w:i/>
        </w:rPr>
      </w:pPr>
    </w:p>
    <w:p w14:paraId="34124944" w14:textId="30DF884B" w:rsidR="00BE557E" w:rsidRDefault="00BE557E" w:rsidP="00BE557E">
      <w:pPr>
        <w:pStyle w:val="Indent1"/>
        <w:widowControl/>
        <w:ind w:right="720"/>
        <w:rPr>
          <w:i/>
        </w:rPr>
      </w:pPr>
      <w:r w:rsidRPr="0086729E">
        <w:rPr>
          <w:i/>
        </w:rPr>
        <w:t>(4)</w:t>
      </w:r>
      <w:r w:rsidRPr="0086729E">
        <w:rPr>
          <w:i/>
        </w:rPr>
        <w:tab/>
        <w:t>Whether the current mechanism for provisional damages should be preserved and whether periodical payment orders should be applicable to cover provisional damages although their co-existence is technically possible.</w:t>
      </w:r>
      <w:r w:rsidR="00115808">
        <w:rPr>
          <w:i/>
        </w:rPr>
        <w:t>"</w:t>
      </w:r>
      <w:r w:rsidRPr="0086729E">
        <w:rPr>
          <w:rStyle w:val="FootnoteReference"/>
        </w:rPr>
        <w:footnoteReference w:id="12"/>
      </w:r>
    </w:p>
    <w:p w14:paraId="4EFE24B0" w14:textId="2C75C97B" w:rsidR="00BE557E" w:rsidRDefault="00BE557E" w:rsidP="00E723A5">
      <w:pPr>
        <w:pStyle w:val="Indent1"/>
        <w:widowControl/>
        <w:ind w:left="720" w:right="720"/>
      </w:pPr>
    </w:p>
    <w:p w14:paraId="3DBF4821" w14:textId="77777777" w:rsidR="00E723A5" w:rsidRPr="0086729E" w:rsidRDefault="00E723A5" w:rsidP="00E723A5">
      <w:pPr>
        <w:pStyle w:val="Indent1"/>
        <w:widowControl/>
        <w:ind w:left="720" w:right="720"/>
      </w:pPr>
    </w:p>
    <w:p w14:paraId="200972FA" w14:textId="7F8C7517" w:rsidR="00A67947" w:rsidRDefault="00A67947" w:rsidP="00A67947">
      <w:pPr>
        <w:widowControl/>
        <w:tabs>
          <w:tab w:val="left" w:pos="720"/>
        </w:tabs>
        <w:adjustRightInd/>
        <w:rPr>
          <w:rFonts w:cs="Arial"/>
          <w:b/>
          <w:i/>
          <w:lang w:val="en-US"/>
        </w:rPr>
      </w:pPr>
      <w:r>
        <w:rPr>
          <w:rFonts w:cs="Arial"/>
          <w:b/>
          <w:i/>
          <w:lang w:val="en-US"/>
        </w:rPr>
        <w:t>Question 4(1)</w:t>
      </w:r>
    </w:p>
    <w:p w14:paraId="51587D72" w14:textId="231D9B43" w:rsidR="003520F6" w:rsidRPr="00C3671B" w:rsidRDefault="003520F6" w:rsidP="003520F6">
      <w:pPr>
        <w:keepNext/>
        <w:keepLines/>
        <w:widowControl/>
        <w:tabs>
          <w:tab w:val="clear" w:pos="1418"/>
        </w:tabs>
        <w:adjustRightInd/>
        <w:rPr>
          <w:rFonts w:cs="Arial"/>
          <w:b/>
          <w:lang w:val="en-US"/>
        </w:rPr>
      </w:pPr>
    </w:p>
    <w:p w14:paraId="37216240" w14:textId="2E6AA926" w:rsidR="00BE557E" w:rsidRDefault="003520F6" w:rsidP="003068A2">
      <w:pPr>
        <w:pStyle w:val="ListParagraph"/>
        <w:widowControl/>
        <w:numPr>
          <w:ilvl w:val="0"/>
          <w:numId w:val="5"/>
        </w:numPr>
        <w:tabs>
          <w:tab w:val="clear" w:pos="1418"/>
        </w:tabs>
        <w:adjustRightInd/>
        <w:ind w:left="0" w:firstLine="0"/>
      </w:pPr>
      <w:r w:rsidRPr="00C3671B">
        <w:rPr>
          <w:rFonts w:cs="Arial"/>
          <w:lang w:val="en-US"/>
        </w:rPr>
        <w:tab/>
      </w:r>
      <w:r w:rsidR="00BE557E" w:rsidRPr="0086729E">
        <w:t>We</w:t>
      </w:r>
      <w:r w:rsidR="00BE557E" w:rsidRPr="0086729E">
        <w:rPr>
          <w:spacing w:val="-5"/>
        </w:rPr>
        <w:t xml:space="preserve"> </w:t>
      </w:r>
      <w:r w:rsidR="00BE557E" w:rsidRPr="0086729E">
        <w:t xml:space="preserve">readily </w:t>
      </w:r>
      <w:r w:rsidR="00BE557E" w:rsidRPr="0086729E">
        <w:rPr>
          <w:spacing w:val="-6"/>
        </w:rPr>
        <w:t>acknowledge</w:t>
      </w:r>
      <w:r w:rsidR="00BE557E" w:rsidRPr="0086729E">
        <w:rPr>
          <w:spacing w:val="-8"/>
        </w:rPr>
        <w:t xml:space="preserve"> the </w:t>
      </w:r>
      <w:r w:rsidR="00BE557E" w:rsidRPr="0086729E">
        <w:t>need</w:t>
      </w:r>
      <w:r w:rsidR="00BE557E" w:rsidRPr="0086729E">
        <w:rPr>
          <w:spacing w:val="-8"/>
        </w:rPr>
        <w:t xml:space="preserve"> </w:t>
      </w:r>
      <w:r w:rsidR="00BE557E" w:rsidRPr="0086729E">
        <w:t>to</w:t>
      </w:r>
      <w:r w:rsidR="00BE557E" w:rsidRPr="0086729E">
        <w:rPr>
          <w:spacing w:val="-6"/>
        </w:rPr>
        <w:t xml:space="preserve"> </w:t>
      </w:r>
      <w:r w:rsidR="00BE557E" w:rsidRPr="0086729E">
        <w:t>limit</w:t>
      </w:r>
      <w:r w:rsidR="00BE557E" w:rsidRPr="0086729E">
        <w:rPr>
          <w:spacing w:val="-9"/>
        </w:rPr>
        <w:t xml:space="preserve"> </w:t>
      </w:r>
      <w:r w:rsidR="00BE557E" w:rsidRPr="0086729E">
        <w:t>the</w:t>
      </w:r>
      <w:r w:rsidR="00BE557E" w:rsidRPr="0086729E">
        <w:rPr>
          <w:spacing w:val="-8"/>
        </w:rPr>
        <w:t xml:space="preserve"> </w:t>
      </w:r>
      <w:r w:rsidR="00BE557E" w:rsidRPr="0086729E">
        <w:t>power to vary</w:t>
      </w:r>
      <w:r w:rsidR="00BE557E" w:rsidRPr="0086729E">
        <w:rPr>
          <w:spacing w:val="-4"/>
        </w:rPr>
        <w:t xml:space="preserve"> </w:t>
      </w:r>
      <w:r w:rsidR="00BE557E" w:rsidRPr="0086729E">
        <w:t>PPOs, even where a PPO is warranted in the first place.</w:t>
      </w:r>
      <w:r w:rsidR="00BE557E" w:rsidRPr="0086729E">
        <w:rPr>
          <w:vertAlign w:val="superscript"/>
        </w:rPr>
        <w:footnoteReference w:id="13"/>
      </w:r>
      <w:r w:rsidR="00BE557E" w:rsidRPr="0086729E">
        <w:t xml:space="preserve">  In this connection, we take the view that the </w:t>
      </w:r>
      <w:r w:rsidR="001E7CE4" w:rsidRPr="0086729E">
        <w:t>Damages (Variation of Periodical Payments) Order 2005 (</w:t>
      </w:r>
      <w:r w:rsidR="00115808">
        <w:t>"</w:t>
      </w:r>
      <w:r w:rsidR="001E7CE4" w:rsidRPr="0086729E">
        <w:rPr>
          <w:b/>
        </w:rPr>
        <w:t>2005 Order</w:t>
      </w:r>
      <w:r w:rsidR="00115808">
        <w:t>"</w:t>
      </w:r>
      <w:r w:rsidR="001E7CE4" w:rsidRPr="0086729E">
        <w:t>)</w:t>
      </w:r>
      <w:r w:rsidR="001E7CE4">
        <w:t xml:space="preserve"> in the UK</w:t>
      </w:r>
      <w:r w:rsidR="00BE557E" w:rsidRPr="0086729E">
        <w:rPr>
          <w:vertAlign w:val="superscript"/>
        </w:rPr>
        <w:footnoteReference w:id="14"/>
      </w:r>
      <w:r w:rsidR="00BE557E" w:rsidRPr="0086729E">
        <w:rPr>
          <w:position w:val="8"/>
        </w:rPr>
        <w:t xml:space="preserve"> </w:t>
      </w:r>
      <w:r w:rsidR="00BE557E" w:rsidRPr="0086729E">
        <w:t xml:space="preserve">would be a good reference point as the basis for any legislation to be enacted in Hong Kong.  The principle of fairness to all parties finds expression in the procedure.  Notably, an application to vary may be made by the plaintiff or the defendant on account of </w:t>
      </w:r>
      <w:r w:rsidR="00115808">
        <w:rPr>
          <w:iCs/>
        </w:rPr>
        <w:t>"</w:t>
      </w:r>
      <w:r w:rsidR="00BE557E" w:rsidRPr="0086729E">
        <w:rPr>
          <w:i/>
          <w:iCs/>
        </w:rPr>
        <w:t>serious deterioration</w:t>
      </w:r>
      <w:r w:rsidR="00115808">
        <w:rPr>
          <w:iCs/>
        </w:rPr>
        <w:t>"</w:t>
      </w:r>
      <w:r w:rsidR="00BE557E" w:rsidRPr="0086729E">
        <w:t xml:space="preserve"> or </w:t>
      </w:r>
      <w:r w:rsidR="00115808">
        <w:rPr>
          <w:iCs/>
        </w:rPr>
        <w:t>"</w:t>
      </w:r>
      <w:r w:rsidR="00BE557E" w:rsidRPr="0086729E">
        <w:rPr>
          <w:i/>
          <w:iCs/>
        </w:rPr>
        <w:t>significant improvement</w:t>
      </w:r>
      <w:r w:rsidR="00115808">
        <w:rPr>
          <w:iCs/>
        </w:rPr>
        <w:t>"</w:t>
      </w:r>
      <w:r w:rsidR="00BE557E" w:rsidRPr="0086729E">
        <w:t>, as the case may be</w:t>
      </w:r>
      <w:r w:rsidR="00402574">
        <w:t>.</w:t>
      </w:r>
    </w:p>
    <w:p w14:paraId="30E43DFD" w14:textId="77777777" w:rsidR="00E723A5" w:rsidRDefault="00E723A5" w:rsidP="00BE557E">
      <w:pPr>
        <w:pStyle w:val="Indent1"/>
        <w:keepLines/>
        <w:tabs>
          <w:tab w:val="clear" w:pos="1418"/>
          <w:tab w:val="left" w:pos="0"/>
        </w:tabs>
        <w:ind w:left="0" w:firstLine="0"/>
      </w:pPr>
    </w:p>
    <w:p w14:paraId="51DE166D" w14:textId="6FB44B89" w:rsidR="00BE557E" w:rsidRPr="0086729E" w:rsidRDefault="003B1330" w:rsidP="003068A2">
      <w:pPr>
        <w:pStyle w:val="ListParagraph"/>
        <w:widowControl/>
        <w:numPr>
          <w:ilvl w:val="0"/>
          <w:numId w:val="5"/>
        </w:numPr>
        <w:tabs>
          <w:tab w:val="clear" w:pos="1418"/>
        </w:tabs>
        <w:adjustRightInd/>
        <w:ind w:left="0" w:firstLine="0"/>
      </w:pPr>
      <w:r>
        <w:tab/>
      </w:r>
      <w:r w:rsidR="00BE557E" w:rsidRPr="0086729E">
        <w:t>To start with, a PPO would set out clearly the terms of payments.  It should also be remembered that in granting a PPO, the court will also have the ancillary power to allow a defendant</w:t>
      </w:r>
      <w:r w:rsidR="00BE557E" w:rsidRPr="0086729E">
        <w:rPr>
          <w:spacing w:val="-6"/>
        </w:rPr>
        <w:t xml:space="preserve"> </w:t>
      </w:r>
      <w:r w:rsidR="00BE557E" w:rsidRPr="0086729E">
        <w:t>to</w:t>
      </w:r>
      <w:r w:rsidR="00BE557E" w:rsidRPr="0086729E">
        <w:rPr>
          <w:spacing w:val="-6"/>
        </w:rPr>
        <w:t xml:space="preserve"> </w:t>
      </w:r>
      <w:r w:rsidR="00BE557E" w:rsidRPr="0086729E">
        <w:t>call</w:t>
      </w:r>
      <w:r w:rsidR="00BE557E" w:rsidRPr="0086729E">
        <w:rPr>
          <w:spacing w:val="-10"/>
        </w:rPr>
        <w:t xml:space="preserve"> </w:t>
      </w:r>
      <w:r w:rsidR="00BE557E" w:rsidRPr="0086729E">
        <w:t>for</w:t>
      </w:r>
      <w:r w:rsidR="00BE557E" w:rsidRPr="0086729E">
        <w:rPr>
          <w:spacing w:val="-7"/>
        </w:rPr>
        <w:t xml:space="preserve"> </w:t>
      </w:r>
      <w:r w:rsidR="00BE557E" w:rsidRPr="0086729E">
        <w:t>regular</w:t>
      </w:r>
      <w:r w:rsidR="00BE557E" w:rsidRPr="0086729E">
        <w:rPr>
          <w:spacing w:val="-7"/>
        </w:rPr>
        <w:t xml:space="preserve"> </w:t>
      </w:r>
      <w:r w:rsidR="00BE557E" w:rsidRPr="0086729E">
        <w:t>medical</w:t>
      </w:r>
      <w:r w:rsidR="00BE557E" w:rsidRPr="0086729E">
        <w:rPr>
          <w:spacing w:val="-7"/>
        </w:rPr>
        <w:t xml:space="preserve"> </w:t>
      </w:r>
      <w:r w:rsidR="00BE557E" w:rsidRPr="0086729E">
        <w:t>examination(s)</w:t>
      </w:r>
      <w:r w:rsidR="00BE557E" w:rsidRPr="0086729E">
        <w:rPr>
          <w:spacing w:val="-8"/>
        </w:rPr>
        <w:t xml:space="preserve"> </w:t>
      </w:r>
      <w:r w:rsidR="00BE557E" w:rsidRPr="0086729E">
        <w:t>of</w:t>
      </w:r>
      <w:r w:rsidR="00BE557E" w:rsidRPr="0086729E">
        <w:rPr>
          <w:spacing w:val="2"/>
        </w:rPr>
        <w:t xml:space="preserve"> </w:t>
      </w:r>
      <w:r w:rsidR="00BE557E" w:rsidRPr="0086729E">
        <w:t>a</w:t>
      </w:r>
      <w:r w:rsidR="00BE557E" w:rsidRPr="0086729E">
        <w:rPr>
          <w:spacing w:val="-6"/>
        </w:rPr>
        <w:t xml:space="preserve"> </w:t>
      </w:r>
      <w:r w:rsidR="00BE557E" w:rsidRPr="0086729E">
        <w:t>plaintiff</w:t>
      </w:r>
      <w:r w:rsidR="00BE557E" w:rsidRPr="0086729E">
        <w:rPr>
          <w:spacing w:val="-8"/>
        </w:rPr>
        <w:t xml:space="preserve"> </w:t>
      </w:r>
      <w:r w:rsidR="00BE557E" w:rsidRPr="0086729E">
        <w:t>and</w:t>
      </w:r>
      <w:r w:rsidR="00BE557E" w:rsidRPr="0086729E">
        <w:rPr>
          <w:spacing w:val="-6"/>
        </w:rPr>
        <w:t xml:space="preserve"> </w:t>
      </w:r>
      <w:r w:rsidR="00BE557E" w:rsidRPr="0086729E">
        <w:t>thus to provide a structured check-up of the</w:t>
      </w:r>
      <w:r w:rsidR="00BE557E" w:rsidRPr="0086729E">
        <w:rPr>
          <w:spacing w:val="-9"/>
        </w:rPr>
        <w:t xml:space="preserve"> </w:t>
      </w:r>
      <w:r w:rsidR="00BE557E" w:rsidRPr="0086729E">
        <w:t>plaintiff.</w:t>
      </w:r>
      <w:r w:rsidR="00BE557E" w:rsidRPr="0086729E">
        <w:rPr>
          <w:vertAlign w:val="superscript"/>
        </w:rPr>
        <w:footnoteReference w:id="15"/>
      </w:r>
      <w:r w:rsidR="00BE557E" w:rsidRPr="0086729E">
        <w:t xml:space="preserve">  Similar provisions have been adopted in clause 11 of the Draft Bill.</w:t>
      </w:r>
    </w:p>
    <w:p w14:paraId="500F3155" w14:textId="77777777" w:rsidR="00BE557E" w:rsidRPr="0086729E" w:rsidRDefault="00BE557E" w:rsidP="00BE557E">
      <w:pPr>
        <w:pStyle w:val="Indent1"/>
        <w:tabs>
          <w:tab w:val="clear" w:pos="1418"/>
          <w:tab w:val="left" w:pos="0"/>
        </w:tabs>
        <w:ind w:left="0" w:firstLine="0"/>
      </w:pPr>
    </w:p>
    <w:p w14:paraId="71E46CA2" w14:textId="24D87823" w:rsidR="00BE557E" w:rsidRDefault="003B1330" w:rsidP="003068A2">
      <w:pPr>
        <w:pStyle w:val="ListParagraph"/>
        <w:widowControl/>
        <w:numPr>
          <w:ilvl w:val="0"/>
          <w:numId w:val="5"/>
        </w:numPr>
        <w:tabs>
          <w:tab w:val="clear" w:pos="1418"/>
        </w:tabs>
        <w:adjustRightInd/>
        <w:ind w:left="0" w:firstLine="0"/>
      </w:pPr>
      <w:r>
        <w:tab/>
      </w:r>
      <w:r w:rsidR="00BE557E" w:rsidRPr="0086729E">
        <w:t xml:space="preserve">Further, where a </w:t>
      </w:r>
      <w:r w:rsidR="00115808">
        <w:rPr>
          <w:iCs/>
        </w:rPr>
        <w:t>"</w:t>
      </w:r>
      <w:r w:rsidR="001E7CE4">
        <w:rPr>
          <w:i/>
          <w:iCs/>
        </w:rPr>
        <w:t>variable o</w:t>
      </w:r>
      <w:r w:rsidR="00BE557E" w:rsidRPr="0086729E">
        <w:rPr>
          <w:i/>
          <w:iCs/>
        </w:rPr>
        <w:t>rder</w:t>
      </w:r>
      <w:r w:rsidR="00115808">
        <w:rPr>
          <w:iCs/>
        </w:rPr>
        <w:t>"</w:t>
      </w:r>
      <w:r w:rsidR="00BE557E" w:rsidRPr="0086729E">
        <w:t xml:space="preserve"> is made under a PPO, the s</w:t>
      </w:r>
      <w:r w:rsidR="001E7CE4">
        <w:t>t</w:t>
      </w:r>
      <w:r w:rsidR="00BE557E" w:rsidRPr="0086729E">
        <w:t>ringent criteria to be fulfilled and the timeframe for an application for leave to vary a PPO will be expressly set out in the original order (see clauses 16 and 19 of the Draft Bill).</w:t>
      </w:r>
    </w:p>
    <w:p w14:paraId="04829810" w14:textId="5B8F7B25" w:rsidR="00BE557E" w:rsidRDefault="00BE557E" w:rsidP="00BE557E">
      <w:pPr>
        <w:pStyle w:val="Indent1"/>
        <w:tabs>
          <w:tab w:val="clear" w:pos="1418"/>
          <w:tab w:val="left" w:pos="0"/>
        </w:tabs>
        <w:ind w:left="0" w:firstLine="0"/>
      </w:pPr>
    </w:p>
    <w:p w14:paraId="61E39C9D" w14:textId="69954067" w:rsidR="00BE557E" w:rsidRPr="0086729E" w:rsidRDefault="003B1330" w:rsidP="003068A2">
      <w:pPr>
        <w:pStyle w:val="ListParagraph"/>
        <w:widowControl/>
        <w:numPr>
          <w:ilvl w:val="0"/>
          <w:numId w:val="5"/>
        </w:numPr>
        <w:tabs>
          <w:tab w:val="clear" w:pos="1418"/>
        </w:tabs>
        <w:adjustRightInd/>
        <w:ind w:left="0" w:firstLine="0"/>
      </w:pPr>
      <w:r>
        <w:tab/>
      </w:r>
      <w:r w:rsidR="00BE557E" w:rsidRPr="0086729E">
        <w:t>It is noteworthy that Article 10 of the 2005 Order</w:t>
      </w:r>
      <w:r w:rsidR="00BE557E" w:rsidRPr="0086729E">
        <w:rPr>
          <w:vertAlign w:val="superscript"/>
        </w:rPr>
        <w:footnoteReference w:id="16"/>
      </w:r>
      <w:r w:rsidR="00BE557E" w:rsidRPr="0086729E">
        <w:t xml:space="preserve"> provides that a person applying for permission to apply to vary an order or agreement bears the burden to show that the specified disease, deterioration or improvement </w:t>
      </w:r>
      <w:r w:rsidR="00BE557E" w:rsidRPr="0086729E">
        <w:rPr>
          <w:u w:val="single"/>
        </w:rPr>
        <w:t>has occurred</w:t>
      </w:r>
      <w:r w:rsidR="00BE557E" w:rsidRPr="0086729E">
        <w:t xml:space="preserve"> and that it has caused or is likely to cause </w:t>
      </w:r>
      <w:r w:rsidR="00BE557E" w:rsidRPr="0086729E">
        <w:rPr>
          <w:u w:val="single"/>
        </w:rPr>
        <w:t>as of a particular date</w:t>
      </w:r>
      <w:r w:rsidR="00BE557E" w:rsidRPr="0086729E">
        <w:t xml:space="preserve"> an increase or decrease in the plaintiff</w:t>
      </w:r>
      <w:r w:rsidR="00115808">
        <w:t>'</w:t>
      </w:r>
      <w:r w:rsidR="00BE557E" w:rsidRPr="0086729E">
        <w:t>s financial loss.  It is envisaged that similar rules of procedure will be made if the recommendations for PPO herein are accepted and implemented</w:t>
      </w:r>
      <w:r w:rsidR="00464C42">
        <w:t>.</w:t>
      </w:r>
    </w:p>
    <w:p w14:paraId="2A741C86" w14:textId="0B98541D" w:rsidR="00BE557E" w:rsidRDefault="00BE557E" w:rsidP="00BE557E">
      <w:pPr>
        <w:pStyle w:val="Indent1"/>
        <w:tabs>
          <w:tab w:val="clear" w:pos="1418"/>
          <w:tab w:val="left" w:pos="0"/>
        </w:tabs>
        <w:ind w:left="0" w:firstLine="0"/>
      </w:pPr>
    </w:p>
    <w:p w14:paraId="0B15E202" w14:textId="30A3AE96" w:rsidR="00F51075" w:rsidRPr="0086729E" w:rsidRDefault="003B1330" w:rsidP="003068A2">
      <w:pPr>
        <w:pStyle w:val="ListParagraph"/>
        <w:widowControl/>
        <w:numPr>
          <w:ilvl w:val="0"/>
          <w:numId w:val="5"/>
        </w:numPr>
        <w:tabs>
          <w:tab w:val="clear" w:pos="1418"/>
        </w:tabs>
        <w:adjustRightInd/>
        <w:ind w:left="0" w:firstLine="0"/>
      </w:pPr>
      <w:r>
        <w:tab/>
      </w:r>
      <w:r w:rsidR="00F51075" w:rsidRPr="0086729E">
        <w:t>Further, we would lay down a marker that legal aid should be made available for such applications (see clause 25 of the Draft Bill).</w:t>
      </w:r>
      <w:r w:rsidR="00F51075" w:rsidRPr="00F51075">
        <w:t xml:space="preserve"> </w:t>
      </w:r>
      <w:r w:rsidR="001D76F0">
        <w:t xml:space="preserve"> </w:t>
      </w:r>
      <w:r w:rsidR="00F51075" w:rsidRPr="0086729E">
        <w:t>Details of the intended mechanism for an application to vary a PPO have been set out in clauses 16 and 19 to 23 of the Draft Bill</w:t>
      </w:r>
      <w:r w:rsidR="00464C42">
        <w:t>.</w:t>
      </w:r>
    </w:p>
    <w:p w14:paraId="2014659C" w14:textId="36B14007" w:rsidR="00F51075" w:rsidRPr="0086729E" w:rsidRDefault="00F51075" w:rsidP="00F51075">
      <w:pPr>
        <w:pStyle w:val="Indent1"/>
        <w:tabs>
          <w:tab w:val="clear" w:pos="1418"/>
          <w:tab w:val="left" w:pos="0"/>
        </w:tabs>
        <w:ind w:left="0" w:firstLine="0"/>
      </w:pPr>
    </w:p>
    <w:p w14:paraId="4AD1710E" w14:textId="10006F58" w:rsidR="003520F6" w:rsidRPr="00B27DA0" w:rsidRDefault="003B1330" w:rsidP="005108F4">
      <w:pPr>
        <w:pStyle w:val="ListParagraph"/>
        <w:widowControl/>
        <w:numPr>
          <w:ilvl w:val="0"/>
          <w:numId w:val="5"/>
        </w:numPr>
        <w:tabs>
          <w:tab w:val="clear" w:pos="1418"/>
        </w:tabs>
        <w:adjustRightInd/>
        <w:ind w:left="0" w:firstLine="0"/>
        <w:rPr>
          <w:rFonts w:cs="Arial"/>
          <w:lang w:val="en-US"/>
        </w:rPr>
      </w:pPr>
      <w:r>
        <w:rPr>
          <w:rFonts w:cs="Arial"/>
          <w:lang w:val="en-US"/>
        </w:rPr>
        <w:tab/>
      </w:r>
      <w:r w:rsidR="003520F6" w:rsidRPr="00B27DA0">
        <w:rPr>
          <w:rFonts w:cs="Arial"/>
          <w:lang w:val="en-US"/>
        </w:rPr>
        <w:t xml:space="preserve">In respect of the concerns </w:t>
      </w:r>
      <w:r w:rsidR="003520F6" w:rsidRPr="005108F4">
        <w:t>regarding</w:t>
      </w:r>
      <w:r w:rsidR="003520F6" w:rsidRPr="00B27DA0">
        <w:rPr>
          <w:rFonts w:cs="Arial"/>
          <w:lang w:val="en-US"/>
        </w:rPr>
        <w:t xml:space="preserve"> the increased complications and burden to the insurers and reinsurers in reserving funds for payments, the principle of </w:t>
      </w:r>
      <w:r w:rsidR="003520F6" w:rsidRPr="00B27DA0">
        <w:rPr>
          <w:rFonts w:cs="Arial"/>
          <w:i/>
          <w:lang w:val="en-US"/>
        </w:rPr>
        <w:t>restitutio in integrum</w:t>
      </w:r>
      <w:r w:rsidR="003520F6" w:rsidRPr="00B27DA0">
        <w:rPr>
          <w:rFonts w:cs="Arial"/>
          <w:lang w:val="en-US"/>
        </w:rPr>
        <w:t xml:space="preserve"> should be at the forefront of the considerations.</w:t>
      </w:r>
      <w:r w:rsidR="00C27EA5">
        <w:rPr>
          <w:rStyle w:val="FootnoteReference"/>
          <w:rFonts w:cs="Arial"/>
          <w:lang w:val="en-US"/>
        </w:rPr>
        <w:footnoteReference w:id="17"/>
      </w:r>
      <w:r w:rsidR="003520F6" w:rsidRPr="00B27DA0">
        <w:rPr>
          <w:rFonts w:cs="Arial"/>
          <w:lang w:val="en-US"/>
        </w:rPr>
        <w:t xml:space="preserve">  Further, the UK experience suggests that the insurers are more than capable of adjusting their strategy in reserving their funds</w:t>
      </w:r>
      <w:r w:rsidR="00A4485B" w:rsidRPr="00B27DA0">
        <w:rPr>
          <w:rFonts w:cs="Arial"/>
          <w:lang w:val="en-US"/>
        </w:rPr>
        <w:t xml:space="preserve">. </w:t>
      </w:r>
      <w:r w:rsidR="003520F6" w:rsidRPr="00B27DA0">
        <w:rPr>
          <w:rFonts w:cs="Arial"/>
          <w:lang w:val="en-US"/>
        </w:rPr>
        <w:t xml:space="preserve"> </w:t>
      </w:r>
      <w:r w:rsidR="00A4485B" w:rsidRPr="00B27DA0">
        <w:rPr>
          <w:rFonts w:cs="Arial"/>
          <w:lang w:val="en-US"/>
        </w:rPr>
        <w:t xml:space="preserve">Although jurisprudence consideration lies at the heart of our consideration, </w:t>
      </w:r>
      <w:r w:rsidR="000138ED" w:rsidRPr="00B27DA0">
        <w:rPr>
          <w:rFonts w:cs="Arial"/>
          <w:lang w:val="en-US"/>
        </w:rPr>
        <w:t xml:space="preserve">we </w:t>
      </w:r>
      <w:r w:rsidR="00A4485B" w:rsidRPr="00B27DA0">
        <w:rPr>
          <w:rFonts w:cs="Arial"/>
          <w:lang w:val="en-US"/>
        </w:rPr>
        <w:t>note that the (re)insurance sector will need to build readiness to address these new challenges with the support of the actuarial community before they will be ready for PPO</w:t>
      </w:r>
      <w:r w:rsidR="00B17AE6" w:rsidRPr="00B27DA0">
        <w:rPr>
          <w:rFonts w:cs="Arial"/>
          <w:lang w:val="en-US"/>
        </w:rPr>
        <w:t>s</w:t>
      </w:r>
      <w:r w:rsidR="00A4485B" w:rsidRPr="00B27DA0">
        <w:rPr>
          <w:rFonts w:cs="Arial"/>
          <w:lang w:val="en-US"/>
        </w:rPr>
        <w:t>.</w:t>
      </w:r>
    </w:p>
    <w:p w14:paraId="70CDB783" w14:textId="124EC386" w:rsidR="001775EF" w:rsidRDefault="003520F6" w:rsidP="003520F6">
      <w:pPr>
        <w:tabs>
          <w:tab w:val="clear" w:pos="1418"/>
        </w:tabs>
        <w:adjustRightInd/>
        <w:rPr>
          <w:rFonts w:cs="Arial"/>
          <w:lang w:val="en-US"/>
        </w:rPr>
      </w:pPr>
      <w:r>
        <w:rPr>
          <w:rFonts w:cs="Arial"/>
          <w:lang w:val="en-US"/>
        </w:rPr>
        <w:tab/>
      </w:r>
    </w:p>
    <w:p w14:paraId="72AFAF56" w14:textId="77777777" w:rsidR="00FA5CC6" w:rsidRDefault="00FA5CC6" w:rsidP="003520F6">
      <w:pPr>
        <w:tabs>
          <w:tab w:val="clear" w:pos="1418"/>
        </w:tabs>
        <w:adjustRightInd/>
        <w:rPr>
          <w:rFonts w:cs="Arial"/>
          <w:i/>
          <w:lang w:val="en-US"/>
        </w:rPr>
      </w:pPr>
    </w:p>
    <w:p w14:paraId="4255F9E7" w14:textId="748015B5" w:rsidR="003520F6" w:rsidRPr="004E4F1C" w:rsidRDefault="00F51075" w:rsidP="001E0EE8">
      <w:pPr>
        <w:keepNext/>
        <w:keepLines/>
        <w:tabs>
          <w:tab w:val="clear" w:pos="1418"/>
        </w:tabs>
        <w:adjustRightInd/>
        <w:rPr>
          <w:rFonts w:cs="Arial"/>
          <w:b/>
          <w:i/>
          <w:lang w:val="en-US"/>
        </w:rPr>
      </w:pPr>
      <w:r w:rsidRPr="004E4F1C">
        <w:rPr>
          <w:rFonts w:cs="Arial"/>
          <w:b/>
          <w:i/>
          <w:lang w:val="en-US"/>
        </w:rPr>
        <w:t>Question 4(2)(a)</w:t>
      </w:r>
    </w:p>
    <w:p w14:paraId="7760E736" w14:textId="77777777" w:rsidR="003520F6" w:rsidRDefault="003520F6" w:rsidP="001E0EE8">
      <w:pPr>
        <w:keepNext/>
        <w:keepLines/>
        <w:tabs>
          <w:tab w:val="clear" w:pos="1418"/>
        </w:tabs>
        <w:adjustRightInd/>
        <w:rPr>
          <w:rFonts w:cs="Arial"/>
          <w:lang w:val="en-US"/>
        </w:rPr>
      </w:pPr>
    </w:p>
    <w:p w14:paraId="3A59911C" w14:textId="179DD71D" w:rsidR="00E42645"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t xml:space="preserve">Having considered the responses, we </w:t>
      </w:r>
      <w:r w:rsidR="00C2372F">
        <w:rPr>
          <w:rFonts w:cs="Arial"/>
          <w:lang w:val="en-US"/>
        </w:rPr>
        <w:t xml:space="preserve">set out in clause 12 of the Draft Bill concerning </w:t>
      </w:r>
      <w:r w:rsidR="00115808">
        <w:rPr>
          <w:rFonts w:cs="Arial"/>
          <w:lang w:val="en-US"/>
        </w:rPr>
        <w:t>"</w:t>
      </w:r>
      <w:r w:rsidR="00C2372F" w:rsidRPr="00E42645">
        <w:rPr>
          <w:rFonts w:cs="Arial"/>
          <w:i/>
          <w:lang w:val="en-US"/>
        </w:rPr>
        <w:t>stepped</w:t>
      </w:r>
      <w:r w:rsidR="00115808">
        <w:rPr>
          <w:rFonts w:cs="Arial"/>
          <w:lang w:val="en-US"/>
        </w:rPr>
        <w:t>"</w:t>
      </w:r>
      <w:r w:rsidR="00C2372F">
        <w:rPr>
          <w:rFonts w:cs="Arial"/>
          <w:lang w:val="en-US"/>
        </w:rPr>
        <w:t xml:space="preserve"> payment, which is to be distinguished from a </w:t>
      </w:r>
      <w:r w:rsidR="00115808">
        <w:rPr>
          <w:rFonts w:cs="Arial"/>
          <w:lang w:val="en-US"/>
        </w:rPr>
        <w:t>"</w:t>
      </w:r>
      <w:r w:rsidR="00C2372F" w:rsidRPr="00E020D0">
        <w:rPr>
          <w:rFonts w:cs="Arial"/>
          <w:i/>
          <w:lang w:val="en-US"/>
        </w:rPr>
        <w:t>variable order</w:t>
      </w:r>
      <w:r w:rsidR="00115808">
        <w:rPr>
          <w:rFonts w:cs="Arial"/>
          <w:lang w:val="en-US"/>
        </w:rPr>
        <w:t>"</w:t>
      </w:r>
      <w:r w:rsidR="00C2372F">
        <w:rPr>
          <w:rFonts w:cs="Arial"/>
          <w:lang w:val="en-US"/>
        </w:rPr>
        <w:t xml:space="preserve"> provided under clause 16 thereof.  In essence, a</w:t>
      </w:r>
      <w:r w:rsidRPr="00111DEC">
        <w:rPr>
          <w:rFonts w:cs="Arial"/>
          <w:lang w:val="en-US"/>
        </w:rPr>
        <w:t xml:space="preserve"> </w:t>
      </w:r>
      <w:r w:rsidR="00115808">
        <w:rPr>
          <w:rFonts w:cs="Arial"/>
          <w:lang w:val="en-US"/>
        </w:rPr>
        <w:t>"</w:t>
      </w:r>
      <w:r w:rsidRPr="00E020D0">
        <w:rPr>
          <w:rFonts w:cs="Arial"/>
          <w:i/>
          <w:lang w:val="en-US"/>
        </w:rPr>
        <w:t>stepped</w:t>
      </w:r>
      <w:r w:rsidR="00115808">
        <w:rPr>
          <w:rFonts w:cs="Arial"/>
          <w:lang w:val="en-US"/>
        </w:rPr>
        <w:t>"</w:t>
      </w:r>
      <w:r w:rsidRPr="00111DEC">
        <w:rPr>
          <w:rFonts w:cs="Arial"/>
          <w:lang w:val="en-US"/>
        </w:rPr>
        <w:t xml:space="preserve"> payment is a definitive term of the PPO directing that the periodical payment is to be adjusted (increase or decrease, as the case may be) at certain point of time as stipulated in the original order on account of the defined change in the </w:t>
      </w:r>
      <w:r w:rsidR="00BA1182">
        <w:rPr>
          <w:rFonts w:cs="Arial"/>
          <w:lang w:val="en-US"/>
        </w:rPr>
        <w:t>stage</w:t>
      </w:r>
      <w:r w:rsidRPr="00111DEC">
        <w:rPr>
          <w:rFonts w:cs="Arial"/>
          <w:lang w:val="en-US"/>
        </w:rPr>
        <w:t>(s) of life or circumstances of the plaintiff.  It will operate by the force of the original order and no further application needs to be made</w:t>
      </w:r>
      <w:r w:rsidR="00817E65">
        <w:rPr>
          <w:rFonts w:cs="Arial"/>
          <w:lang w:val="en-US"/>
        </w:rPr>
        <w:t>.</w:t>
      </w:r>
    </w:p>
    <w:p w14:paraId="4CB6E288" w14:textId="77777777" w:rsidR="00E42645" w:rsidRDefault="00E42645" w:rsidP="003520F6">
      <w:pPr>
        <w:widowControl/>
        <w:tabs>
          <w:tab w:val="clear" w:pos="1418"/>
        </w:tabs>
        <w:adjustRightInd/>
        <w:rPr>
          <w:rFonts w:cs="Arial"/>
          <w:lang w:val="en-US"/>
        </w:rPr>
      </w:pPr>
    </w:p>
    <w:p w14:paraId="5B92E9B8" w14:textId="0916209C" w:rsidR="003520F6" w:rsidRDefault="005C639A"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C2372F">
        <w:rPr>
          <w:rFonts w:cs="Arial"/>
          <w:lang w:val="en-US"/>
        </w:rPr>
        <w:t>A</w:t>
      </w:r>
      <w:r w:rsidR="003520F6">
        <w:rPr>
          <w:rFonts w:cs="Arial"/>
          <w:lang w:val="en-US"/>
        </w:rPr>
        <w:t xml:space="preserve"> </w:t>
      </w:r>
      <w:r w:rsidR="00115808">
        <w:rPr>
          <w:rFonts w:cs="Arial"/>
          <w:lang w:val="en-US"/>
        </w:rPr>
        <w:t>"</w:t>
      </w:r>
      <w:r w:rsidR="003520F6" w:rsidRPr="00E42645">
        <w:rPr>
          <w:rFonts w:cs="Arial"/>
          <w:i/>
          <w:lang w:val="en-US"/>
        </w:rPr>
        <w:t>variation</w:t>
      </w:r>
      <w:r w:rsidR="003520F6">
        <w:rPr>
          <w:rFonts w:cs="Arial"/>
          <w:lang w:val="en-US"/>
        </w:rPr>
        <w:t xml:space="preserve"> </w:t>
      </w:r>
      <w:r w:rsidR="003520F6" w:rsidRPr="00E42645">
        <w:rPr>
          <w:rFonts w:cs="Arial"/>
          <w:i/>
          <w:lang w:val="en-US"/>
        </w:rPr>
        <w:t>order</w:t>
      </w:r>
      <w:r w:rsidR="00115808">
        <w:rPr>
          <w:rFonts w:cs="Arial"/>
          <w:lang w:val="en-US"/>
        </w:rPr>
        <w:t>"</w:t>
      </w:r>
      <w:r w:rsidR="00C2372F">
        <w:rPr>
          <w:rFonts w:cs="Arial"/>
          <w:lang w:val="en-US"/>
        </w:rPr>
        <w:t xml:space="preserve"> in the proper sense is one addressed in Question 4(2)</w:t>
      </w:r>
      <w:r w:rsidR="008E2137">
        <w:rPr>
          <w:rFonts w:cs="Arial"/>
          <w:lang w:val="en-US"/>
        </w:rPr>
        <w:t>(a)</w:t>
      </w:r>
      <w:r w:rsidR="00C2372F">
        <w:rPr>
          <w:rFonts w:cs="Arial"/>
          <w:lang w:val="en-US"/>
        </w:rPr>
        <w:t xml:space="preserve"> which would be governed by the provisions such as those proposed in clauses 16 and 19 to 23 of the Draft Bill</w:t>
      </w:r>
      <w:r w:rsidR="003520F6">
        <w:rPr>
          <w:rFonts w:cs="Arial"/>
          <w:lang w:val="en-US"/>
        </w:rPr>
        <w:t>.</w:t>
      </w:r>
      <w:r w:rsidR="003520F6" w:rsidRPr="00111DEC">
        <w:t xml:space="preserve"> </w:t>
      </w:r>
      <w:r w:rsidR="003520F6">
        <w:t xml:space="preserve"> </w:t>
      </w:r>
      <w:r w:rsidR="003520F6" w:rsidRPr="00111DEC">
        <w:rPr>
          <w:rFonts w:cs="Arial"/>
          <w:lang w:val="en-US"/>
        </w:rPr>
        <w:t xml:space="preserve">Under this regime, the court may make a </w:t>
      </w:r>
      <w:r w:rsidR="00115808">
        <w:rPr>
          <w:rFonts w:cs="Arial"/>
          <w:lang w:val="en-US"/>
        </w:rPr>
        <w:t>"</w:t>
      </w:r>
      <w:r w:rsidR="003520F6" w:rsidRPr="00E42645">
        <w:rPr>
          <w:rFonts w:cs="Arial"/>
          <w:i/>
          <w:lang w:val="en-US"/>
        </w:rPr>
        <w:t>variable</w:t>
      </w:r>
      <w:r w:rsidR="003520F6" w:rsidRPr="00111DEC">
        <w:rPr>
          <w:rFonts w:cs="Arial"/>
          <w:lang w:val="en-US"/>
        </w:rPr>
        <w:t xml:space="preserve"> </w:t>
      </w:r>
      <w:r w:rsidR="003520F6" w:rsidRPr="00E42645">
        <w:rPr>
          <w:rFonts w:cs="Arial"/>
          <w:i/>
          <w:lang w:val="en-US"/>
        </w:rPr>
        <w:t>order</w:t>
      </w:r>
      <w:r w:rsidR="00115808">
        <w:rPr>
          <w:rFonts w:cs="Arial"/>
          <w:lang w:val="en-US"/>
        </w:rPr>
        <w:t>"</w:t>
      </w:r>
      <w:r w:rsidR="003520F6" w:rsidRPr="00111DEC">
        <w:rPr>
          <w:rFonts w:cs="Arial"/>
          <w:lang w:val="en-US"/>
        </w:rPr>
        <w:t xml:space="preserve"> specifying the qualifying event and criteria for an application to vary a PPO, though the same can also be provided for by agreement of the parties</w:t>
      </w:r>
      <w:r w:rsidR="00817E65">
        <w:rPr>
          <w:rFonts w:cs="Arial"/>
          <w:lang w:val="en-US"/>
        </w:rPr>
        <w:t>.</w:t>
      </w:r>
    </w:p>
    <w:p w14:paraId="2E1D0F49" w14:textId="6C10A6B7" w:rsidR="003520F6" w:rsidRDefault="003520F6" w:rsidP="003520F6">
      <w:pPr>
        <w:tabs>
          <w:tab w:val="clear" w:pos="1418"/>
        </w:tabs>
        <w:adjustRightInd/>
        <w:rPr>
          <w:rFonts w:cs="Arial"/>
          <w:lang w:val="en-US"/>
        </w:rPr>
      </w:pPr>
    </w:p>
    <w:p w14:paraId="55D8AADF" w14:textId="77777777" w:rsidR="00FA5CC6" w:rsidRDefault="00FA5CC6" w:rsidP="003520F6">
      <w:pPr>
        <w:tabs>
          <w:tab w:val="clear" w:pos="1418"/>
        </w:tabs>
        <w:adjustRightInd/>
        <w:rPr>
          <w:rFonts w:cs="Arial"/>
          <w:lang w:val="en-US"/>
        </w:rPr>
      </w:pPr>
    </w:p>
    <w:p w14:paraId="4B290D9E" w14:textId="4B32654C" w:rsidR="00C2372F" w:rsidRPr="004E4F1C" w:rsidRDefault="00C2372F" w:rsidP="00E723A5">
      <w:pPr>
        <w:keepNext/>
        <w:keepLines/>
        <w:tabs>
          <w:tab w:val="left" w:pos="720"/>
        </w:tabs>
        <w:adjustRightInd/>
        <w:rPr>
          <w:rFonts w:cs="Arial"/>
          <w:b/>
          <w:i/>
          <w:lang w:val="en-US"/>
        </w:rPr>
      </w:pPr>
      <w:r w:rsidRPr="004E4F1C">
        <w:rPr>
          <w:rFonts w:cs="Arial"/>
          <w:b/>
          <w:i/>
          <w:lang w:val="en-US"/>
        </w:rPr>
        <w:t>Question 4(2)(b)</w:t>
      </w:r>
    </w:p>
    <w:p w14:paraId="2D49E494" w14:textId="77777777" w:rsidR="00C2372F" w:rsidRDefault="00C2372F" w:rsidP="00E723A5">
      <w:pPr>
        <w:keepNext/>
        <w:keepLines/>
        <w:tabs>
          <w:tab w:val="clear" w:pos="1418"/>
        </w:tabs>
        <w:adjustRightInd/>
        <w:rPr>
          <w:rFonts w:cs="Arial"/>
          <w:lang w:val="en-US"/>
        </w:rPr>
      </w:pPr>
    </w:p>
    <w:p w14:paraId="2BE03C63" w14:textId="55C427A5"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C2372F">
        <w:rPr>
          <w:rFonts w:cs="Arial"/>
          <w:lang w:val="en-US"/>
        </w:rPr>
        <w:t>I</w:t>
      </w:r>
      <w:r>
        <w:rPr>
          <w:rFonts w:cs="Arial"/>
          <w:lang w:val="en-US"/>
        </w:rPr>
        <w:t xml:space="preserve">n light of the provision for </w:t>
      </w:r>
      <w:r w:rsidR="00115808">
        <w:rPr>
          <w:rFonts w:cs="Arial"/>
          <w:lang w:val="en-US"/>
        </w:rPr>
        <w:t>"</w:t>
      </w:r>
      <w:r w:rsidRPr="00E42645">
        <w:rPr>
          <w:rFonts w:cs="Arial"/>
          <w:i/>
          <w:lang w:val="en-US"/>
        </w:rPr>
        <w:t>stepped</w:t>
      </w:r>
      <w:r w:rsidR="00115808">
        <w:rPr>
          <w:rFonts w:cs="Arial"/>
          <w:lang w:val="en-US"/>
        </w:rPr>
        <w:t>"</w:t>
      </w:r>
      <w:r>
        <w:rPr>
          <w:rFonts w:cs="Arial"/>
          <w:lang w:val="en-US"/>
        </w:rPr>
        <w:t xml:space="preserve"> payment</w:t>
      </w:r>
      <w:r w:rsidRPr="00111DEC">
        <w:rPr>
          <w:rFonts w:cs="Arial"/>
          <w:lang w:val="en-US"/>
        </w:rPr>
        <w:t xml:space="preserve"> and the availability of a mechanism empowering the court to make a </w:t>
      </w:r>
      <w:r w:rsidR="00115808">
        <w:rPr>
          <w:rFonts w:cs="Arial"/>
          <w:lang w:val="en-US"/>
        </w:rPr>
        <w:t>"</w:t>
      </w:r>
      <w:r w:rsidRPr="00E42645">
        <w:rPr>
          <w:rFonts w:cs="Arial"/>
          <w:i/>
          <w:lang w:val="en-US"/>
        </w:rPr>
        <w:t>variable</w:t>
      </w:r>
      <w:r w:rsidRPr="00111DEC">
        <w:rPr>
          <w:rFonts w:cs="Arial"/>
          <w:lang w:val="en-US"/>
        </w:rPr>
        <w:t xml:space="preserve"> </w:t>
      </w:r>
      <w:r w:rsidRPr="00E42645">
        <w:rPr>
          <w:rFonts w:cs="Arial"/>
          <w:i/>
          <w:lang w:val="en-US"/>
        </w:rPr>
        <w:t>order</w:t>
      </w:r>
      <w:r w:rsidR="00115808">
        <w:rPr>
          <w:rFonts w:cs="Arial"/>
          <w:lang w:val="en-US"/>
        </w:rPr>
        <w:t>"</w:t>
      </w:r>
      <w:r w:rsidRPr="00111DEC">
        <w:rPr>
          <w:rFonts w:cs="Arial"/>
          <w:lang w:val="en-US"/>
        </w:rPr>
        <w:t xml:space="preserve">, we accept that there is probably no need for another procedure to allow for adjustment due to </w:t>
      </w:r>
      <w:r w:rsidR="00115808">
        <w:rPr>
          <w:rFonts w:cs="Arial"/>
          <w:lang w:val="en-US"/>
        </w:rPr>
        <w:t>"</w:t>
      </w:r>
      <w:r w:rsidRPr="00E42645">
        <w:rPr>
          <w:rFonts w:cs="Arial"/>
          <w:i/>
          <w:lang w:val="en-US"/>
        </w:rPr>
        <w:t>life-changing circumstances</w:t>
      </w:r>
      <w:r w:rsidR="00115808">
        <w:rPr>
          <w:rFonts w:cs="Arial"/>
          <w:lang w:val="en-US"/>
        </w:rPr>
        <w:t>"</w:t>
      </w:r>
      <w:r w:rsidRPr="00111DEC">
        <w:rPr>
          <w:rFonts w:cs="Arial"/>
          <w:lang w:val="en-US"/>
        </w:rPr>
        <w:t xml:space="preserve"> which are not amenable to exhaustive definition</w:t>
      </w:r>
      <w:r w:rsidR="00817E65">
        <w:rPr>
          <w:rFonts w:cs="Arial"/>
          <w:lang w:val="en-US"/>
        </w:rPr>
        <w:t>.</w:t>
      </w:r>
    </w:p>
    <w:p w14:paraId="547965C6" w14:textId="21B2EE52" w:rsidR="003520F6" w:rsidRDefault="003520F6" w:rsidP="003520F6">
      <w:pPr>
        <w:tabs>
          <w:tab w:val="clear" w:pos="1418"/>
        </w:tabs>
        <w:adjustRightInd/>
        <w:rPr>
          <w:rFonts w:cs="Arial"/>
          <w:lang w:val="en-US"/>
        </w:rPr>
      </w:pPr>
    </w:p>
    <w:p w14:paraId="686D7330" w14:textId="77777777" w:rsidR="00FA5CC6" w:rsidRDefault="00FA5CC6" w:rsidP="003520F6">
      <w:pPr>
        <w:tabs>
          <w:tab w:val="clear" w:pos="1418"/>
        </w:tabs>
        <w:adjustRightInd/>
        <w:rPr>
          <w:rFonts w:cs="Arial"/>
          <w:lang w:val="en-US"/>
        </w:rPr>
      </w:pPr>
    </w:p>
    <w:p w14:paraId="41BE9031" w14:textId="23355439" w:rsidR="00C2372F" w:rsidRPr="004E4F1C" w:rsidRDefault="00C2372F" w:rsidP="00EA4E66">
      <w:pPr>
        <w:keepNext/>
        <w:keepLines/>
        <w:tabs>
          <w:tab w:val="left" w:pos="720"/>
        </w:tabs>
        <w:adjustRightInd/>
        <w:rPr>
          <w:rFonts w:cs="Arial"/>
          <w:b/>
          <w:i/>
          <w:lang w:val="en-US"/>
        </w:rPr>
      </w:pPr>
      <w:r w:rsidRPr="004E4F1C">
        <w:rPr>
          <w:rFonts w:cs="Arial"/>
          <w:b/>
          <w:i/>
          <w:lang w:val="en-US"/>
        </w:rPr>
        <w:t>Question 4(2)(c)</w:t>
      </w:r>
    </w:p>
    <w:p w14:paraId="27ABDF5A" w14:textId="77777777" w:rsidR="00C2372F" w:rsidRDefault="00C2372F" w:rsidP="00EA4E66">
      <w:pPr>
        <w:keepNext/>
        <w:keepLines/>
        <w:tabs>
          <w:tab w:val="clear" w:pos="1418"/>
        </w:tabs>
        <w:adjustRightInd/>
        <w:rPr>
          <w:rFonts w:cs="Arial"/>
          <w:lang w:val="en-US"/>
        </w:rPr>
      </w:pPr>
    </w:p>
    <w:p w14:paraId="50424587" w14:textId="0528C15C"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t>W</w:t>
      </w:r>
      <w:r w:rsidRPr="00111DEC">
        <w:rPr>
          <w:rFonts w:cs="Arial"/>
          <w:lang w:val="en-US"/>
        </w:rPr>
        <w:t>e take the view, after striking a balance between protection for the recipient under a PPO and needs for finality, that the number of applications to vary a PPO should be limited to one</w:t>
      </w:r>
      <w:r w:rsidR="00817E65">
        <w:rPr>
          <w:rFonts w:cs="Arial"/>
          <w:lang w:val="en-US"/>
        </w:rPr>
        <w:t>.</w:t>
      </w:r>
    </w:p>
    <w:p w14:paraId="19723BC4" w14:textId="5A25D80C" w:rsidR="003520F6" w:rsidRDefault="003520F6" w:rsidP="003520F6">
      <w:pPr>
        <w:tabs>
          <w:tab w:val="clear" w:pos="1418"/>
        </w:tabs>
        <w:adjustRightInd/>
        <w:rPr>
          <w:rFonts w:cs="Arial"/>
          <w:lang w:val="en-US"/>
        </w:rPr>
      </w:pPr>
    </w:p>
    <w:p w14:paraId="78DE2E4E" w14:textId="77777777" w:rsidR="00FA5CC6" w:rsidRDefault="00FA5CC6" w:rsidP="003520F6">
      <w:pPr>
        <w:tabs>
          <w:tab w:val="clear" w:pos="1418"/>
        </w:tabs>
        <w:adjustRightInd/>
        <w:rPr>
          <w:rFonts w:cs="Arial"/>
          <w:lang w:val="en-US"/>
        </w:rPr>
      </w:pPr>
    </w:p>
    <w:p w14:paraId="645E3682" w14:textId="0E2F5DE7" w:rsidR="00C2372F" w:rsidRPr="004E4F1C" w:rsidRDefault="00C2372F" w:rsidP="00C2372F">
      <w:pPr>
        <w:tabs>
          <w:tab w:val="left" w:pos="720"/>
        </w:tabs>
        <w:adjustRightInd/>
        <w:rPr>
          <w:rFonts w:cs="Arial"/>
          <w:b/>
          <w:i/>
          <w:lang w:val="en-US"/>
        </w:rPr>
      </w:pPr>
      <w:r w:rsidRPr="004E4F1C">
        <w:rPr>
          <w:rFonts w:cs="Arial"/>
          <w:b/>
          <w:i/>
          <w:lang w:val="en-US"/>
        </w:rPr>
        <w:t>Question 4(3)</w:t>
      </w:r>
    </w:p>
    <w:p w14:paraId="4A3227F5" w14:textId="75BF1755" w:rsidR="00E33FBA" w:rsidRDefault="00E33FBA" w:rsidP="00C2372F">
      <w:pPr>
        <w:tabs>
          <w:tab w:val="left" w:pos="720"/>
        </w:tabs>
        <w:adjustRightInd/>
        <w:rPr>
          <w:rFonts w:cs="Arial"/>
          <w:i/>
          <w:lang w:val="en-US"/>
        </w:rPr>
      </w:pPr>
    </w:p>
    <w:p w14:paraId="7E390E26" w14:textId="2EF140FD" w:rsidR="00E33FBA" w:rsidRDefault="003B1330" w:rsidP="003068A2">
      <w:pPr>
        <w:pStyle w:val="ListParagraph"/>
        <w:widowControl/>
        <w:numPr>
          <w:ilvl w:val="0"/>
          <w:numId w:val="5"/>
        </w:numPr>
        <w:tabs>
          <w:tab w:val="clear" w:pos="1418"/>
        </w:tabs>
        <w:adjustRightInd/>
        <w:ind w:left="0" w:firstLine="0"/>
      </w:pPr>
      <w:r>
        <w:rPr>
          <w:rFonts w:cs="Arial"/>
        </w:rPr>
        <w:tab/>
      </w:r>
      <w:r w:rsidR="00E33FBA" w:rsidRPr="0086729E">
        <w:rPr>
          <w:rFonts w:cs="Arial"/>
        </w:rPr>
        <w:t xml:space="preserve">We would emphasise that the </w:t>
      </w:r>
      <w:r w:rsidR="00115808">
        <w:rPr>
          <w:rFonts w:cs="Arial"/>
          <w:iCs/>
        </w:rPr>
        <w:t>"</w:t>
      </w:r>
      <w:r w:rsidR="00E33FBA" w:rsidRPr="0086729E">
        <w:rPr>
          <w:rFonts w:cs="Arial"/>
          <w:i/>
          <w:iCs/>
        </w:rPr>
        <w:t>last opportunity</w:t>
      </w:r>
      <w:r w:rsidR="00115808">
        <w:rPr>
          <w:rFonts w:cs="Arial"/>
          <w:iCs/>
        </w:rPr>
        <w:t>"</w:t>
      </w:r>
      <w:r w:rsidR="00E33FBA" w:rsidRPr="0086729E">
        <w:rPr>
          <w:rFonts w:cs="Arial"/>
        </w:rPr>
        <w:t xml:space="preserve"> claim by the dependants of a recipient under a PPO referred to in Question 4(3) would only apply to cases where the PPO includes, by consent of the parties (see Recommenda</w:t>
      </w:r>
      <w:r w:rsidR="00E33FBA">
        <w:rPr>
          <w:rFonts w:cs="Arial"/>
        </w:rPr>
        <w:t>tion 3</w:t>
      </w:r>
      <w:r w:rsidR="00E33FBA" w:rsidRPr="0086729E">
        <w:rPr>
          <w:rFonts w:cs="Arial"/>
        </w:rPr>
        <w:t xml:space="preserve">) an element of </w:t>
      </w:r>
      <w:r w:rsidR="00115808">
        <w:rPr>
          <w:rFonts w:cs="Arial"/>
          <w:iCs/>
        </w:rPr>
        <w:t>"</w:t>
      </w:r>
      <w:r w:rsidR="00E33FBA" w:rsidRPr="0086729E">
        <w:rPr>
          <w:rFonts w:cs="Arial"/>
          <w:i/>
          <w:iCs/>
        </w:rPr>
        <w:t>future loss of earnings</w:t>
      </w:r>
      <w:r w:rsidR="00115808">
        <w:rPr>
          <w:rFonts w:cs="Arial"/>
          <w:iCs/>
        </w:rPr>
        <w:t>"</w:t>
      </w:r>
      <w:r w:rsidR="00E33FBA" w:rsidRPr="0086729E">
        <w:rPr>
          <w:rFonts w:cs="Arial"/>
        </w:rPr>
        <w:t xml:space="preserve"> (as opposed to future costs of care and acc</w:t>
      </w:r>
      <w:r w:rsidR="00E33FBA">
        <w:rPr>
          <w:rFonts w:cs="Arial"/>
        </w:rPr>
        <w:t>ommodation).  In this scenario</w:t>
      </w:r>
      <w:r w:rsidR="00E33FBA" w:rsidRPr="0086729E">
        <w:rPr>
          <w:rFonts w:cs="Arial"/>
        </w:rPr>
        <w:t>, in the event of the premature death of the recipient under a PPO, it does appear that his dependants would suffer a loss by way of the financial benefits to be derived from the portion of payments representing the deceased</w:t>
      </w:r>
      <w:r w:rsidR="00115808">
        <w:rPr>
          <w:rFonts w:cs="Arial"/>
        </w:rPr>
        <w:t>'</w:t>
      </w:r>
      <w:r w:rsidR="00E33FBA" w:rsidRPr="0086729E">
        <w:rPr>
          <w:rFonts w:cs="Arial"/>
        </w:rPr>
        <w:t xml:space="preserve">s </w:t>
      </w:r>
      <w:r w:rsidR="00115808">
        <w:rPr>
          <w:rFonts w:cs="Arial"/>
        </w:rPr>
        <w:t>"</w:t>
      </w:r>
      <w:r w:rsidR="00E33FBA" w:rsidRPr="0086729E">
        <w:rPr>
          <w:rFonts w:cs="Arial"/>
          <w:i/>
        </w:rPr>
        <w:t>future loss of earnings</w:t>
      </w:r>
      <w:r w:rsidR="00115808">
        <w:rPr>
          <w:rFonts w:cs="Arial"/>
        </w:rPr>
        <w:t>"</w:t>
      </w:r>
      <w:r w:rsidR="00817E65">
        <w:rPr>
          <w:rFonts w:cs="Arial"/>
        </w:rPr>
        <w:t>.</w:t>
      </w:r>
    </w:p>
    <w:p w14:paraId="3F17AEE1" w14:textId="07FD04E5" w:rsidR="00E33FBA" w:rsidRDefault="00E33FBA" w:rsidP="00E33FBA">
      <w:pPr>
        <w:pStyle w:val="Indent1"/>
        <w:tabs>
          <w:tab w:val="clear" w:pos="1418"/>
          <w:tab w:val="left" w:pos="0"/>
        </w:tabs>
        <w:ind w:left="0" w:firstLine="0"/>
      </w:pPr>
    </w:p>
    <w:p w14:paraId="2386F8D4" w14:textId="6117BB9B" w:rsidR="00E33FBA" w:rsidRPr="0086729E" w:rsidRDefault="003B1330" w:rsidP="003068A2">
      <w:pPr>
        <w:pStyle w:val="ListParagraph"/>
        <w:widowControl/>
        <w:numPr>
          <w:ilvl w:val="0"/>
          <w:numId w:val="5"/>
        </w:numPr>
        <w:tabs>
          <w:tab w:val="clear" w:pos="1418"/>
        </w:tabs>
        <w:adjustRightInd/>
        <w:ind w:left="0" w:firstLine="0"/>
        <w:rPr>
          <w:rFonts w:cs="Arial"/>
        </w:rPr>
      </w:pPr>
      <w:r>
        <w:rPr>
          <w:rFonts w:cs="Arial"/>
        </w:rPr>
        <w:tab/>
      </w:r>
      <w:r w:rsidR="00E33FBA">
        <w:rPr>
          <w:rFonts w:cs="Arial"/>
        </w:rPr>
        <w:t>I</w:t>
      </w:r>
      <w:r w:rsidR="00E33FBA" w:rsidRPr="0086729E">
        <w:rPr>
          <w:rFonts w:cs="Arial"/>
        </w:rPr>
        <w:t>f Hong Kong is to adopt the UK approach by the court ordering continuation of the award after the plaintiff</w:t>
      </w:r>
      <w:r w:rsidR="00115808">
        <w:rPr>
          <w:rFonts w:cs="Arial"/>
        </w:rPr>
        <w:t>'</w:t>
      </w:r>
      <w:r w:rsidR="00E33FBA" w:rsidRPr="0086729E">
        <w:rPr>
          <w:rFonts w:cs="Arial"/>
        </w:rPr>
        <w:t xml:space="preserve">s premature death, there would be no need for a subsequent claim for loss of dependency.  However, we take the view that it is not entirely satisfactory to deal with this element of the claim or payments under a PPO by way of a rule of court (such as Rule 41.8(2) of the </w:t>
      </w:r>
      <w:r w:rsidR="00E33FBA">
        <w:rPr>
          <w:rFonts w:cs="Arial"/>
        </w:rPr>
        <w:t>Civil Procedure Rules in England and Wales</w:t>
      </w:r>
      <w:r w:rsidR="00E33FBA" w:rsidRPr="0086729E">
        <w:rPr>
          <w:rFonts w:cs="Arial"/>
        </w:rPr>
        <w:t>).  Hence, the claim ought to be preserved by way of an explicit statutory provision such as that proposed in clause 15 of the Draft Bill.  We take the view that there is neither conceptual nor logistical impairment to this approach.</w:t>
      </w:r>
      <w:r w:rsidR="00817E65">
        <w:rPr>
          <w:rFonts w:cs="Arial"/>
        </w:rPr>
        <w:t xml:space="preserve">  </w:t>
      </w:r>
    </w:p>
    <w:p w14:paraId="0C04AFF7" w14:textId="77777777" w:rsidR="00E33FBA" w:rsidRPr="0086729E" w:rsidRDefault="00E33FBA" w:rsidP="00E33FBA">
      <w:pPr>
        <w:pStyle w:val="Indent1"/>
        <w:tabs>
          <w:tab w:val="clear" w:pos="1418"/>
          <w:tab w:val="left" w:pos="0"/>
        </w:tabs>
        <w:ind w:left="0" w:firstLine="0"/>
        <w:rPr>
          <w:rFonts w:cs="Arial"/>
        </w:rPr>
      </w:pPr>
    </w:p>
    <w:p w14:paraId="2ADF4D21" w14:textId="48FD6015" w:rsidR="00E33FBA" w:rsidRPr="0086729E" w:rsidRDefault="003B1330" w:rsidP="003068A2">
      <w:pPr>
        <w:pStyle w:val="ListParagraph"/>
        <w:widowControl/>
        <w:numPr>
          <w:ilvl w:val="0"/>
          <w:numId w:val="5"/>
        </w:numPr>
        <w:tabs>
          <w:tab w:val="clear" w:pos="1418"/>
        </w:tabs>
        <w:adjustRightInd/>
        <w:ind w:left="0" w:firstLine="0"/>
        <w:rPr>
          <w:rFonts w:cs="Arial"/>
        </w:rPr>
      </w:pPr>
      <w:r>
        <w:rPr>
          <w:rFonts w:cs="Arial"/>
        </w:rPr>
        <w:tab/>
      </w:r>
      <w:r w:rsidR="00E33FBA" w:rsidRPr="0086729E">
        <w:rPr>
          <w:rFonts w:cs="Arial"/>
        </w:rPr>
        <w:t>The court is accustomed to determine the eligibility of a person for a loss of dependency claim within the remit of the Fatal Accidents Ordinance</w:t>
      </w:r>
      <w:r w:rsidR="00E05D3C">
        <w:rPr>
          <w:rFonts w:cs="Arial"/>
        </w:rPr>
        <w:t xml:space="preserve"> (Cap</w:t>
      </w:r>
      <w:r w:rsidR="00A45D20">
        <w:rPr>
          <w:rFonts w:cs="Arial"/>
        </w:rPr>
        <w:t xml:space="preserve"> 22)</w:t>
      </w:r>
      <w:r w:rsidR="00E33FBA" w:rsidRPr="0086729E">
        <w:rPr>
          <w:rFonts w:cs="Arial"/>
        </w:rPr>
        <w:t xml:space="preserve">.  If the cause of death is related to the original injury, there is unlikely to be any issue of causation since the computation of the element of PPO on account of </w:t>
      </w:r>
      <w:r w:rsidR="00115808">
        <w:rPr>
          <w:rFonts w:cs="Arial"/>
          <w:iCs/>
        </w:rPr>
        <w:t>"</w:t>
      </w:r>
      <w:r w:rsidR="00E33FBA" w:rsidRPr="0086729E">
        <w:rPr>
          <w:rFonts w:cs="Arial"/>
          <w:i/>
          <w:iCs/>
        </w:rPr>
        <w:t>future loss of earnings</w:t>
      </w:r>
      <w:r w:rsidR="00115808">
        <w:rPr>
          <w:rFonts w:cs="Arial"/>
          <w:iCs/>
        </w:rPr>
        <w:t>"</w:t>
      </w:r>
      <w:r w:rsidR="00E33FBA" w:rsidRPr="0086729E">
        <w:rPr>
          <w:rFonts w:cs="Arial"/>
        </w:rPr>
        <w:t xml:space="preserve"> of the injured person (ie the recipient under </w:t>
      </w:r>
      <w:r w:rsidR="00B17AE6">
        <w:rPr>
          <w:rFonts w:cs="Arial"/>
        </w:rPr>
        <w:t xml:space="preserve">a </w:t>
      </w:r>
      <w:r w:rsidR="00E33FBA" w:rsidRPr="0086729E">
        <w:rPr>
          <w:rFonts w:cs="Arial"/>
        </w:rPr>
        <w:t>PPO who dies prematurely) would have already been assessed by the parties at the inception of the PPO and spelt out in the original order (see clause 11(3)(d) of the Draft Bill).  If the cause of death is unrelated to the original injury, then the dependants have no basis to make any claim against the party ordered to make the PPO, for example, if the claimant died as a result of an accidental fire.</w:t>
      </w:r>
      <w:r w:rsidR="00E723A5">
        <w:rPr>
          <w:rFonts w:cs="Arial"/>
        </w:rPr>
        <w:t xml:space="preserve"> </w:t>
      </w:r>
    </w:p>
    <w:p w14:paraId="539EBFE2" w14:textId="77777777" w:rsidR="00E33FBA" w:rsidRPr="0086729E" w:rsidRDefault="00E33FBA" w:rsidP="00E33FBA">
      <w:pPr>
        <w:pStyle w:val="Indent1"/>
        <w:tabs>
          <w:tab w:val="clear" w:pos="1418"/>
          <w:tab w:val="left" w:pos="0"/>
        </w:tabs>
        <w:ind w:left="0" w:firstLine="0"/>
        <w:rPr>
          <w:rFonts w:cs="Arial"/>
        </w:rPr>
      </w:pPr>
    </w:p>
    <w:p w14:paraId="0C34133A" w14:textId="553084CF" w:rsidR="00E33FBA" w:rsidRPr="0086729E" w:rsidRDefault="003B1330" w:rsidP="003068A2">
      <w:pPr>
        <w:pStyle w:val="ListParagraph"/>
        <w:widowControl/>
        <w:numPr>
          <w:ilvl w:val="0"/>
          <w:numId w:val="5"/>
        </w:numPr>
        <w:tabs>
          <w:tab w:val="clear" w:pos="1418"/>
        </w:tabs>
        <w:adjustRightInd/>
        <w:ind w:left="0" w:firstLine="0"/>
        <w:rPr>
          <w:rFonts w:cs="Arial"/>
        </w:rPr>
      </w:pPr>
      <w:r>
        <w:rPr>
          <w:rFonts w:cs="Arial"/>
        </w:rPr>
        <w:tab/>
      </w:r>
      <w:r w:rsidR="00E33FBA" w:rsidRPr="0086729E">
        <w:rPr>
          <w:rFonts w:cs="Arial"/>
        </w:rPr>
        <w:t xml:space="preserve">By the same token, the fact that a recipient under a PPO could have provided for the risk of premature death by procuring life insurance is not relevant.  As a matter of law, a tortfeasor is required to compensate the injured person for wrongful act on the principle of </w:t>
      </w:r>
      <w:r w:rsidR="00E33FBA" w:rsidRPr="0086729E">
        <w:rPr>
          <w:rFonts w:cs="Arial"/>
          <w:i/>
        </w:rPr>
        <w:t>restitutio in</w:t>
      </w:r>
      <w:r w:rsidR="00E33FBA" w:rsidRPr="0086729E">
        <w:rPr>
          <w:rFonts w:cs="Arial"/>
          <w:i/>
          <w:spacing w:val="-20"/>
        </w:rPr>
        <w:t xml:space="preserve"> </w:t>
      </w:r>
      <w:r w:rsidR="00E33FBA" w:rsidRPr="0086729E">
        <w:rPr>
          <w:rFonts w:cs="Arial"/>
          <w:i/>
        </w:rPr>
        <w:t>integrum</w:t>
      </w:r>
      <w:r w:rsidR="00E33FBA" w:rsidRPr="0086729E">
        <w:rPr>
          <w:rFonts w:cs="Arial"/>
        </w:rPr>
        <w:t>.  It is precisely for this reason that the court will not take into account any compensation received by the injured person from his own insurer to reduce the damages payable by a tortfeasor.</w:t>
      </w:r>
      <w:r w:rsidR="00E33FBA" w:rsidRPr="0086729E">
        <w:rPr>
          <w:rStyle w:val="FootnoteReference"/>
          <w:rFonts w:cs="Arial"/>
        </w:rPr>
        <w:footnoteReference w:id="18"/>
      </w:r>
      <w:r w:rsidR="00E33FBA" w:rsidRPr="00E33FBA">
        <w:t xml:space="preserve"> </w:t>
      </w:r>
    </w:p>
    <w:p w14:paraId="0DF1749E" w14:textId="762A6464" w:rsidR="00FA5CC6" w:rsidRDefault="00FA5CC6" w:rsidP="00E33FBA">
      <w:pPr>
        <w:pStyle w:val="Indent1"/>
        <w:tabs>
          <w:tab w:val="clear" w:pos="1418"/>
          <w:tab w:val="left" w:pos="0"/>
        </w:tabs>
        <w:ind w:left="0" w:firstLine="0"/>
        <w:rPr>
          <w:rFonts w:cs="Arial"/>
        </w:rPr>
      </w:pPr>
    </w:p>
    <w:p w14:paraId="535A4C09" w14:textId="77777777" w:rsidR="00835E02" w:rsidRPr="0086729E" w:rsidRDefault="00835E02" w:rsidP="00E33FBA">
      <w:pPr>
        <w:pStyle w:val="Indent1"/>
        <w:tabs>
          <w:tab w:val="clear" w:pos="1418"/>
          <w:tab w:val="left" w:pos="0"/>
        </w:tabs>
        <w:ind w:left="0" w:firstLine="0"/>
        <w:rPr>
          <w:rFonts w:cs="Arial"/>
        </w:rPr>
      </w:pPr>
    </w:p>
    <w:p w14:paraId="31B6755A" w14:textId="6807B608" w:rsidR="00E33FBA" w:rsidRPr="00655DBF" w:rsidRDefault="00E33FBA" w:rsidP="00E33FBA">
      <w:pPr>
        <w:tabs>
          <w:tab w:val="left" w:pos="720"/>
        </w:tabs>
        <w:adjustRightInd/>
        <w:rPr>
          <w:rFonts w:cs="Arial"/>
          <w:b/>
          <w:i/>
          <w:lang w:val="en-US"/>
        </w:rPr>
      </w:pPr>
      <w:r w:rsidRPr="00655DBF">
        <w:rPr>
          <w:rFonts w:cs="Arial"/>
          <w:b/>
          <w:i/>
          <w:lang w:val="en-US"/>
        </w:rPr>
        <w:t>Question 4(4)</w:t>
      </w:r>
    </w:p>
    <w:p w14:paraId="3EEF1097" w14:textId="77777777" w:rsidR="00E33FBA" w:rsidRPr="00E020D0" w:rsidRDefault="00E33FBA" w:rsidP="00C2372F">
      <w:pPr>
        <w:tabs>
          <w:tab w:val="left" w:pos="720"/>
        </w:tabs>
        <w:adjustRightInd/>
        <w:rPr>
          <w:rFonts w:cs="Arial"/>
          <w:i/>
        </w:rPr>
      </w:pPr>
    </w:p>
    <w:p w14:paraId="1AC24180" w14:textId="5B4A9019" w:rsidR="00E33FBA" w:rsidRPr="0086729E" w:rsidRDefault="003B1330" w:rsidP="003068A2">
      <w:pPr>
        <w:pStyle w:val="ListParagraph"/>
        <w:widowControl/>
        <w:numPr>
          <w:ilvl w:val="0"/>
          <w:numId w:val="5"/>
        </w:numPr>
        <w:tabs>
          <w:tab w:val="clear" w:pos="1418"/>
        </w:tabs>
        <w:adjustRightInd/>
        <w:ind w:left="0" w:firstLine="0"/>
        <w:rPr>
          <w:rFonts w:cs="Arial"/>
        </w:rPr>
      </w:pPr>
      <w:r>
        <w:rPr>
          <w:rFonts w:cs="Arial"/>
        </w:rPr>
        <w:tab/>
      </w:r>
      <w:r w:rsidR="00E33FBA">
        <w:rPr>
          <w:rFonts w:cs="Arial"/>
        </w:rPr>
        <w:t>W</w:t>
      </w:r>
      <w:r w:rsidR="00E33FBA" w:rsidRPr="0086729E">
        <w:rPr>
          <w:rFonts w:cs="Arial"/>
        </w:rPr>
        <w:t>e observe that</w:t>
      </w:r>
      <w:r w:rsidR="00E33FBA" w:rsidRPr="0086729E">
        <w:rPr>
          <w:rFonts w:cs="Arial"/>
          <w:spacing w:val="-10"/>
        </w:rPr>
        <w:t xml:space="preserve"> </w:t>
      </w:r>
      <w:r w:rsidR="00E33FBA" w:rsidRPr="0086729E">
        <w:rPr>
          <w:rFonts w:cs="Arial"/>
        </w:rPr>
        <w:t>Article</w:t>
      </w:r>
      <w:r w:rsidR="00E33FBA" w:rsidRPr="0086729E">
        <w:rPr>
          <w:rFonts w:cs="Arial"/>
          <w:spacing w:val="-16"/>
        </w:rPr>
        <w:t xml:space="preserve"> </w:t>
      </w:r>
      <w:r w:rsidR="00E33FBA" w:rsidRPr="0086729E">
        <w:rPr>
          <w:rFonts w:cs="Arial"/>
        </w:rPr>
        <w:t>4</w:t>
      </w:r>
      <w:r w:rsidR="00E33FBA" w:rsidRPr="0086729E">
        <w:rPr>
          <w:rFonts w:cs="Arial"/>
          <w:spacing w:val="-16"/>
        </w:rPr>
        <w:t xml:space="preserve"> </w:t>
      </w:r>
      <w:r w:rsidR="00E33FBA" w:rsidRPr="0086729E">
        <w:rPr>
          <w:rFonts w:cs="Arial"/>
        </w:rPr>
        <w:t>of</w:t>
      </w:r>
      <w:r w:rsidR="00E33FBA" w:rsidRPr="0086729E">
        <w:rPr>
          <w:rFonts w:cs="Arial"/>
          <w:spacing w:val="-11"/>
        </w:rPr>
        <w:t xml:space="preserve"> </w:t>
      </w:r>
      <w:r w:rsidR="00E33FBA" w:rsidRPr="0086729E">
        <w:rPr>
          <w:rFonts w:cs="Arial"/>
        </w:rPr>
        <w:t>the</w:t>
      </w:r>
      <w:r w:rsidR="00E33FBA" w:rsidRPr="0086729E">
        <w:rPr>
          <w:rFonts w:cs="Arial"/>
          <w:spacing w:val="-13"/>
        </w:rPr>
        <w:t xml:space="preserve"> </w:t>
      </w:r>
      <w:r w:rsidR="00E33FBA" w:rsidRPr="0086729E">
        <w:rPr>
          <w:rFonts w:cs="Arial"/>
        </w:rPr>
        <w:t>2005</w:t>
      </w:r>
      <w:r w:rsidR="00E33FBA" w:rsidRPr="0086729E">
        <w:rPr>
          <w:rFonts w:cs="Arial"/>
          <w:spacing w:val="-16"/>
        </w:rPr>
        <w:t xml:space="preserve"> </w:t>
      </w:r>
      <w:r w:rsidR="00E33FBA" w:rsidRPr="0086729E">
        <w:rPr>
          <w:rFonts w:cs="Arial"/>
        </w:rPr>
        <w:t>Order</w:t>
      </w:r>
      <w:r w:rsidR="00E33FBA" w:rsidRPr="0086729E">
        <w:rPr>
          <w:rFonts w:cs="Arial"/>
          <w:vertAlign w:val="superscript"/>
        </w:rPr>
        <w:footnoteReference w:id="19"/>
      </w:r>
      <w:r w:rsidR="00E33FBA" w:rsidRPr="0086729E">
        <w:rPr>
          <w:rFonts w:cs="Arial"/>
          <w:spacing w:val="13"/>
          <w:position w:val="8"/>
        </w:rPr>
        <w:t xml:space="preserve"> </w:t>
      </w:r>
      <w:r w:rsidR="00E33FBA" w:rsidRPr="0086729E">
        <w:rPr>
          <w:rFonts w:cs="Arial"/>
        </w:rPr>
        <w:t>allows</w:t>
      </w:r>
      <w:r w:rsidR="00E33FBA" w:rsidRPr="0086729E">
        <w:rPr>
          <w:rFonts w:cs="Arial"/>
          <w:spacing w:val="-14"/>
        </w:rPr>
        <w:t xml:space="preserve"> </w:t>
      </w:r>
      <w:r w:rsidR="00E33FBA" w:rsidRPr="0086729E">
        <w:rPr>
          <w:rFonts w:cs="Arial"/>
        </w:rPr>
        <w:t xml:space="preserve">for the court to make a </w:t>
      </w:r>
      <w:r w:rsidR="00115808">
        <w:rPr>
          <w:rFonts w:cs="Arial"/>
        </w:rPr>
        <w:t>"</w:t>
      </w:r>
      <w:r w:rsidR="005823DB">
        <w:rPr>
          <w:rFonts w:cs="Arial"/>
          <w:i/>
        </w:rPr>
        <w:t>variable o</w:t>
      </w:r>
      <w:r w:rsidR="00E33FBA" w:rsidRPr="0086729E">
        <w:rPr>
          <w:rFonts w:cs="Arial"/>
          <w:i/>
        </w:rPr>
        <w:t>rder</w:t>
      </w:r>
      <w:r w:rsidR="00115808">
        <w:rPr>
          <w:rFonts w:cs="Arial"/>
        </w:rPr>
        <w:t>"</w:t>
      </w:r>
      <w:r w:rsidR="00E33FBA" w:rsidRPr="0086729E">
        <w:rPr>
          <w:rFonts w:cs="Arial"/>
        </w:rPr>
        <w:t xml:space="preserve"> in addition to existing provisional damages</w:t>
      </w:r>
      <w:r w:rsidR="00E33FBA" w:rsidRPr="0086729E">
        <w:rPr>
          <w:rFonts w:cs="Arial"/>
          <w:vertAlign w:val="superscript"/>
        </w:rPr>
        <w:footnoteReference w:id="20"/>
      </w:r>
      <w:r w:rsidR="00E33FBA" w:rsidRPr="0086729E">
        <w:rPr>
          <w:rFonts w:cs="Arial"/>
          <w:spacing w:val="-8"/>
          <w:position w:val="8"/>
        </w:rPr>
        <w:t xml:space="preserve"> </w:t>
      </w:r>
      <w:r w:rsidR="00E33FBA" w:rsidRPr="0086729E">
        <w:rPr>
          <w:rFonts w:cs="Arial"/>
        </w:rPr>
        <w:t xml:space="preserve">(thus allowing co-existence of the two regimes as the basis for the two regimes are different).  Importantly, a major difference between a </w:t>
      </w:r>
      <w:r w:rsidR="00115808">
        <w:rPr>
          <w:rFonts w:cs="Arial"/>
        </w:rPr>
        <w:t>"</w:t>
      </w:r>
      <w:r w:rsidR="005823DB">
        <w:rPr>
          <w:rFonts w:cs="Arial"/>
          <w:i/>
        </w:rPr>
        <w:t>v</w:t>
      </w:r>
      <w:r w:rsidR="00E33FBA" w:rsidRPr="0086729E">
        <w:rPr>
          <w:rFonts w:cs="Arial"/>
          <w:i/>
        </w:rPr>
        <w:t>ariati</w:t>
      </w:r>
      <w:r w:rsidR="005823DB">
        <w:rPr>
          <w:rFonts w:cs="Arial"/>
          <w:i/>
        </w:rPr>
        <w:t>on o</w:t>
      </w:r>
      <w:r w:rsidR="00E33FBA" w:rsidRPr="0086729E">
        <w:rPr>
          <w:rFonts w:cs="Arial"/>
          <w:i/>
        </w:rPr>
        <w:t>rder</w:t>
      </w:r>
      <w:r w:rsidR="00115808">
        <w:rPr>
          <w:rFonts w:cs="Arial"/>
        </w:rPr>
        <w:t>"</w:t>
      </w:r>
      <w:r w:rsidR="00E33FBA" w:rsidRPr="0086729E">
        <w:rPr>
          <w:rFonts w:cs="Arial"/>
        </w:rPr>
        <w:t xml:space="preserve"> under the PPO regime and an order for provisional damages is that the former is applicable to both </w:t>
      </w:r>
      <w:r w:rsidR="00115808">
        <w:rPr>
          <w:rFonts w:cs="Arial"/>
        </w:rPr>
        <w:t>"</w:t>
      </w:r>
      <w:r w:rsidR="00E33FBA" w:rsidRPr="0086729E">
        <w:rPr>
          <w:rFonts w:cs="Arial"/>
          <w:i/>
        </w:rPr>
        <w:t>serious</w:t>
      </w:r>
      <w:r w:rsidR="00E33FBA" w:rsidRPr="0086729E">
        <w:rPr>
          <w:rFonts w:cs="Arial"/>
        </w:rPr>
        <w:t xml:space="preserve"> </w:t>
      </w:r>
      <w:r w:rsidR="00E33FBA" w:rsidRPr="0086729E">
        <w:rPr>
          <w:rFonts w:cs="Arial"/>
          <w:i/>
        </w:rPr>
        <w:t>deterioration</w:t>
      </w:r>
      <w:r w:rsidR="00115808">
        <w:rPr>
          <w:rFonts w:cs="Arial"/>
        </w:rPr>
        <w:t>"</w:t>
      </w:r>
      <w:r w:rsidR="00E33FBA" w:rsidRPr="0086729E">
        <w:rPr>
          <w:rFonts w:cs="Arial"/>
        </w:rPr>
        <w:t xml:space="preserve"> and </w:t>
      </w:r>
      <w:r w:rsidR="00115808">
        <w:rPr>
          <w:rFonts w:cs="Arial"/>
        </w:rPr>
        <w:t>"</w:t>
      </w:r>
      <w:r w:rsidR="00E33FBA" w:rsidRPr="0086729E">
        <w:rPr>
          <w:rFonts w:cs="Arial"/>
          <w:i/>
        </w:rPr>
        <w:t>significant improvement</w:t>
      </w:r>
      <w:r w:rsidR="00115808">
        <w:rPr>
          <w:rFonts w:cs="Arial"/>
        </w:rPr>
        <w:t>"</w:t>
      </w:r>
      <w:r w:rsidR="00E33FBA" w:rsidRPr="0086729E">
        <w:rPr>
          <w:rFonts w:cs="Arial"/>
        </w:rPr>
        <w:t xml:space="preserve"> whereas the latter is only applicable to </w:t>
      </w:r>
      <w:r w:rsidR="00115808">
        <w:rPr>
          <w:rFonts w:cs="Arial"/>
        </w:rPr>
        <w:t>"</w:t>
      </w:r>
      <w:r w:rsidR="00E33FBA" w:rsidRPr="0086729E">
        <w:rPr>
          <w:rFonts w:cs="Arial"/>
          <w:i/>
        </w:rPr>
        <w:t>serious deterioration</w:t>
      </w:r>
      <w:r w:rsidR="00115808">
        <w:rPr>
          <w:rFonts w:cs="Arial"/>
        </w:rPr>
        <w:t>"</w:t>
      </w:r>
      <w:r w:rsidR="00E33FBA" w:rsidRPr="0086729E">
        <w:rPr>
          <w:rFonts w:cs="Arial"/>
        </w:rPr>
        <w:t>.</w:t>
      </w:r>
      <w:r w:rsidR="00E33FBA" w:rsidRPr="0086729E">
        <w:rPr>
          <w:rFonts w:cs="Arial"/>
          <w:vertAlign w:val="superscript"/>
        </w:rPr>
        <w:footnoteReference w:id="21"/>
      </w:r>
      <w:r w:rsidR="00E33FBA" w:rsidRPr="0086729E">
        <w:rPr>
          <w:rFonts w:cs="Arial"/>
        </w:rPr>
        <w:t xml:space="preserve"> </w:t>
      </w:r>
    </w:p>
    <w:p w14:paraId="295782A6" w14:textId="77777777" w:rsidR="00E33FBA" w:rsidRPr="0086729E" w:rsidRDefault="00E33FBA" w:rsidP="00E33FBA">
      <w:pPr>
        <w:pStyle w:val="Indent1"/>
        <w:tabs>
          <w:tab w:val="clear" w:pos="1418"/>
          <w:tab w:val="left" w:pos="0"/>
        </w:tabs>
        <w:ind w:left="0" w:firstLine="0"/>
        <w:rPr>
          <w:rFonts w:cs="Arial"/>
        </w:rPr>
      </w:pPr>
    </w:p>
    <w:p w14:paraId="1D3BE828" w14:textId="7EFA6EF6" w:rsidR="00E33FBA" w:rsidRPr="0086729E" w:rsidRDefault="003B1330" w:rsidP="003068A2">
      <w:pPr>
        <w:pStyle w:val="ListParagraph"/>
        <w:widowControl/>
        <w:numPr>
          <w:ilvl w:val="0"/>
          <w:numId w:val="5"/>
        </w:numPr>
        <w:tabs>
          <w:tab w:val="clear" w:pos="1418"/>
        </w:tabs>
        <w:adjustRightInd/>
        <w:ind w:left="0" w:firstLine="0"/>
        <w:rPr>
          <w:rFonts w:cs="Arial"/>
        </w:rPr>
      </w:pPr>
      <w:r>
        <w:rPr>
          <w:rFonts w:cs="Arial"/>
        </w:rPr>
        <w:tab/>
      </w:r>
      <w:r w:rsidR="00E33FBA" w:rsidRPr="0086729E">
        <w:rPr>
          <w:rFonts w:cs="Arial"/>
        </w:rPr>
        <w:t>Furthermore, we agree that the present regime for provisional damages serves a different purpose and it would not be in conflict with a PPO, even in the scenario of a premature death.</w:t>
      </w:r>
      <w:r w:rsidR="00E33FBA" w:rsidRPr="0086729E">
        <w:rPr>
          <w:rFonts w:cs="Arial"/>
          <w:vertAlign w:val="superscript"/>
        </w:rPr>
        <w:footnoteReference w:id="22"/>
      </w:r>
      <w:r w:rsidR="00E33FBA" w:rsidRPr="0086729E">
        <w:rPr>
          <w:rFonts w:cs="Arial"/>
        </w:rPr>
        <w:t xml:space="preserve">  It</w:t>
      </w:r>
      <w:r w:rsidR="00E33FBA" w:rsidRPr="0086729E">
        <w:rPr>
          <w:rFonts w:cs="Arial"/>
          <w:position w:val="8"/>
        </w:rPr>
        <w:t xml:space="preserve"> </w:t>
      </w:r>
      <w:r w:rsidR="00E33FBA" w:rsidRPr="0086729E">
        <w:rPr>
          <w:rFonts w:cs="Arial"/>
        </w:rPr>
        <w:t xml:space="preserve">would not result in any duplication of damages. </w:t>
      </w:r>
    </w:p>
    <w:p w14:paraId="1E4615CF" w14:textId="77777777" w:rsidR="00E33FBA" w:rsidRPr="0086729E" w:rsidRDefault="00E33FBA" w:rsidP="00E33FBA">
      <w:pPr>
        <w:pStyle w:val="Indent1"/>
        <w:tabs>
          <w:tab w:val="clear" w:pos="1418"/>
          <w:tab w:val="left" w:pos="0"/>
        </w:tabs>
        <w:ind w:left="0" w:firstLine="0"/>
        <w:rPr>
          <w:rFonts w:cs="Arial"/>
        </w:rPr>
      </w:pPr>
    </w:p>
    <w:p w14:paraId="01BF606C" w14:textId="12966F86" w:rsidR="00E33FBA" w:rsidRDefault="003B1330" w:rsidP="003068A2">
      <w:pPr>
        <w:pStyle w:val="ListParagraph"/>
        <w:widowControl/>
        <w:numPr>
          <w:ilvl w:val="0"/>
          <w:numId w:val="5"/>
        </w:numPr>
        <w:tabs>
          <w:tab w:val="clear" w:pos="1418"/>
        </w:tabs>
        <w:adjustRightInd/>
        <w:ind w:left="0" w:firstLine="0"/>
      </w:pPr>
      <w:r>
        <w:rPr>
          <w:rFonts w:cs="Arial"/>
        </w:rPr>
        <w:tab/>
      </w:r>
      <w:r w:rsidR="00E33FBA" w:rsidRPr="0086729E">
        <w:rPr>
          <w:rFonts w:cs="Arial"/>
        </w:rPr>
        <w:t>Theoretically, there is no reason why the court cannot order a scheme of payment of provisional damages, akin to a PPO.  However, it is advisable to separate the two for the sake of conceptual discipline.</w:t>
      </w:r>
      <w:r w:rsidR="00817E65">
        <w:rPr>
          <w:rFonts w:cs="Arial"/>
        </w:rPr>
        <w:t xml:space="preserve">  </w:t>
      </w:r>
    </w:p>
    <w:p w14:paraId="2F36B6D2" w14:textId="2B09D36A" w:rsidR="00035B92" w:rsidRDefault="00035B92" w:rsidP="00E33FBA">
      <w:pPr>
        <w:pStyle w:val="Indent1"/>
        <w:tabs>
          <w:tab w:val="clear" w:pos="1418"/>
          <w:tab w:val="left" w:pos="0"/>
        </w:tabs>
        <w:ind w:left="0" w:firstLine="0"/>
      </w:pPr>
    </w:p>
    <w:p w14:paraId="1F90498B" w14:textId="5C962950" w:rsidR="00035B92" w:rsidRPr="0086729E" w:rsidRDefault="003B1330" w:rsidP="003068A2">
      <w:pPr>
        <w:pStyle w:val="ListParagraph"/>
        <w:widowControl/>
        <w:numPr>
          <w:ilvl w:val="0"/>
          <w:numId w:val="5"/>
        </w:numPr>
        <w:tabs>
          <w:tab w:val="clear" w:pos="1418"/>
        </w:tabs>
        <w:adjustRightInd/>
        <w:ind w:left="0" w:firstLine="0"/>
      </w:pPr>
      <w:r>
        <w:tab/>
      </w:r>
      <w:r w:rsidR="00035B92">
        <w:t>U</w:t>
      </w:r>
      <w:r w:rsidR="00035B92" w:rsidRPr="0086729E">
        <w:t>pon careful consideration of the responses and taking into account the development and experience from the UK since the implementation of PPOs as discussed in the</w:t>
      </w:r>
      <w:r w:rsidR="00B751C6">
        <w:t xml:space="preserve"> CP</w:t>
      </w:r>
      <w:r w:rsidR="00035B92" w:rsidRPr="0086729E">
        <w:t>,</w:t>
      </w:r>
      <w:r w:rsidR="00035B92" w:rsidRPr="0086729E">
        <w:rPr>
          <w:vertAlign w:val="superscript"/>
        </w:rPr>
        <w:footnoteReference w:id="23"/>
      </w:r>
      <w:r w:rsidR="00035B92" w:rsidRPr="0086729E">
        <w:t xml:space="preserve"> we have sought to crystallise our recommendations in respect of this question by way of Part 3 of the Draft Bill.</w:t>
      </w:r>
      <w:r w:rsidR="00817E65">
        <w:t xml:space="preserve"> </w:t>
      </w:r>
    </w:p>
    <w:p w14:paraId="7DFE45E3" w14:textId="77777777" w:rsidR="00C2372F" w:rsidRPr="00E020D0" w:rsidRDefault="00C2372F" w:rsidP="00E723A5">
      <w:pPr>
        <w:keepNext/>
        <w:keepLines/>
        <w:tabs>
          <w:tab w:val="clear" w:pos="1418"/>
        </w:tabs>
        <w:adjustRightInd/>
        <w:rPr>
          <w:rFonts w:cs="Arial"/>
        </w:rPr>
      </w:pPr>
    </w:p>
    <w:p w14:paraId="4E6B7B02" w14:textId="57BDD003" w:rsidR="003520F6" w:rsidRPr="00523784"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035B92" w:rsidRPr="00523784">
        <w:rPr>
          <w:rFonts w:cs="Arial"/>
          <w:lang w:val="en-US"/>
        </w:rPr>
        <w:t>O</w:t>
      </w:r>
      <w:r w:rsidRPr="00523784">
        <w:rPr>
          <w:rFonts w:cs="Arial"/>
          <w:lang w:val="en-US"/>
        </w:rPr>
        <w:t xml:space="preserve">ur </w:t>
      </w:r>
      <w:r w:rsidRPr="00D43C40">
        <w:rPr>
          <w:rFonts w:cs="Arial"/>
          <w:b/>
          <w:lang w:val="en-US"/>
        </w:rPr>
        <w:t>Final Recommendation</w:t>
      </w:r>
      <w:r w:rsidR="00035B92" w:rsidRPr="00D43C40">
        <w:rPr>
          <w:rFonts w:cs="Arial"/>
          <w:b/>
          <w:lang w:val="en-US"/>
        </w:rPr>
        <w:t>s</w:t>
      </w:r>
      <w:r w:rsidRPr="00D43C40">
        <w:rPr>
          <w:rFonts w:cs="Arial"/>
          <w:b/>
          <w:lang w:val="en-US"/>
        </w:rPr>
        <w:t xml:space="preserve"> 4 </w:t>
      </w:r>
      <w:r w:rsidR="00035B92" w:rsidRPr="00D43C40">
        <w:rPr>
          <w:rFonts w:cs="Arial"/>
          <w:b/>
          <w:lang w:val="en-US"/>
        </w:rPr>
        <w:t>to 6</w:t>
      </w:r>
      <w:r w:rsidR="00035B92" w:rsidRPr="00523784">
        <w:rPr>
          <w:rFonts w:cs="Arial"/>
          <w:lang w:val="en-US"/>
        </w:rPr>
        <w:t xml:space="preserve"> are </w:t>
      </w:r>
      <w:r w:rsidRPr="00523784">
        <w:rPr>
          <w:rFonts w:cs="Arial"/>
          <w:lang w:val="en-US"/>
        </w:rPr>
        <w:t>as follows:</w:t>
      </w:r>
    </w:p>
    <w:p w14:paraId="30E766F2" w14:textId="1B4DE220" w:rsidR="00035B92" w:rsidRDefault="00035B92" w:rsidP="00E723A5">
      <w:pPr>
        <w:keepNext/>
        <w:keepLines/>
        <w:tabs>
          <w:tab w:val="clear" w:pos="1418"/>
        </w:tabs>
        <w:adjustRightInd/>
        <w:rPr>
          <w:rFonts w:cs="Arial"/>
          <w:lang w:val="en-US"/>
        </w:rPr>
      </w:pPr>
    </w:p>
    <w:p w14:paraId="0C5AED65" w14:textId="4B732034" w:rsidR="003520F6" w:rsidRPr="00C3671B" w:rsidRDefault="00035B92" w:rsidP="00E723A5">
      <w:pPr>
        <w:keepNext/>
        <w:keepLines/>
        <w:tabs>
          <w:tab w:val="clear" w:pos="1418"/>
        </w:tabs>
        <w:adjustRightInd/>
        <w:rPr>
          <w:rFonts w:cs="Arial"/>
          <w:lang w:val="en-US"/>
        </w:rPr>
      </w:pPr>
      <w:r>
        <w:rPr>
          <w:rFonts w:cs="Arial"/>
          <w:lang w:val="en-US"/>
        </w:rPr>
        <w:tab/>
      </w:r>
      <w:r w:rsidRPr="00C3671B">
        <w:rPr>
          <w:rFonts w:cs="Arial"/>
          <w:b/>
          <w:lang w:val="en-US"/>
        </w:rPr>
        <w:t xml:space="preserve">Final Recommendation </w:t>
      </w:r>
      <w:r>
        <w:rPr>
          <w:rFonts w:cs="Arial"/>
          <w:b/>
          <w:lang w:val="en-US"/>
        </w:rPr>
        <w:t>4</w:t>
      </w:r>
    </w:p>
    <w:p w14:paraId="3A6F5AA4" w14:textId="77777777" w:rsidR="00E723A5" w:rsidRDefault="00E723A5" w:rsidP="00E723A5">
      <w:pPr>
        <w:keepNext/>
        <w:keepLines/>
        <w:widowControl/>
        <w:tabs>
          <w:tab w:val="clear" w:pos="1418"/>
        </w:tabs>
        <w:adjustRightInd/>
        <w:ind w:left="720" w:right="720"/>
        <w:rPr>
          <w:rFonts w:cs="Arial"/>
          <w:lang w:val="en-US"/>
        </w:rPr>
      </w:pPr>
    </w:p>
    <w:p w14:paraId="1752043A" w14:textId="1074797B" w:rsidR="003520F6" w:rsidRPr="001035F3" w:rsidRDefault="00115808" w:rsidP="003520F6">
      <w:pPr>
        <w:widowControl/>
        <w:tabs>
          <w:tab w:val="clear" w:pos="1418"/>
        </w:tabs>
        <w:adjustRightInd/>
        <w:ind w:left="720" w:right="720"/>
        <w:rPr>
          <w:rFonts w:cs="Arial"/>
          <w:i/>
          <w:lang w:val="en-US"/>
        </w:rPr>
      </w:pPr>
      <w:r>
        <w:rPr>
          <w:rFonts w:cs="Arial"/>
          <w:i/>
          <w:lang w:val="en-US"/>
        </w:rPr>
        <w:t>"</w:t>
      </w:r>
      <w:r w:rsidR="003520F6" w:rsidRPr="001035F3">
        <w:rPr>
          <w:rFonts w:cs="Arial"/>
          <w:i/>
          <w:lang w:val="en-US"/>
        </w:rPr>
        <w:t>We recommend that the original PPOs should be open to review by the court under the following limited circumstances:</w:t>
      </w:r>
    </w:p>
    <w:p w14:paraId="4078D1F4" w14:textId="77777777" w:rsidR="003520F6" w:rsidRPr="001035F3" w:rsidRDefault="003520F6" w:rsidP="003520F6">
      <w:pPr>
        <w:widowControl/>
        <w:tabs>
          <w:tab w:val="clear" w:pos="1418"/>
        </w:tabs>
        <w:adjustRightInd/>
        <w:ind w:left="720" w:right="720"/>
        <w:rPr>
          <w:rFonts w:cs="Arial"/>
          <w:i/>
          <w:lang w:val="en-US"/>
        </w:rPr>
      </w:pPr>
    </w:p>
    <w:p w14:paraId="761B4FE9" w14:textId="77777777" w:rsidR="003520F6" w:rsidRPr="001035F3" w:rsidRDefault="003520F6" w:rsidP="00D70832">
      <w:pPr>
        <w:widowControl/>
        <w:tabs>
          <w:tab w:val="clear" w:pos="1418"/>
        </w:tabs>
        <w:adjustRightInd/>
        <w:ind w:left="1440" w:right="720" w:hanging="720"/>
        <w:rPr>
          <w:rFonts w:cs="Arial"/>
          <w:i/>
          <w:lang w:val="en-US"/>
        </w:rPr>
      </w:pPr>
      <w:r w:rsidRPr="001035F3">
        <w:rPr>
          <w:rFonts w:cs="Arial"/>
          <w:i/>
          <w:lang w:val="en-US"/>
        </w:rPr>
        <w:t>(a)</w:t>
      </w:r>
      <w:r w:rsidRPr="001035F3">
        <w:rPr>
          <w:rFonts w:cs="Arial"/>
          <w:i/>
          <w:lang w:val="en-US"/>
        </w:rPr>
        <w:tab/>
        <w:t>changes in the need for and level of future care as a result of significant medical deterioration or improvement, which is foreseen at the time of the original order, with specific criteria pertinent to the nature of deterioration or improvement, as well as the duration during which a review can be applied for, being stipulated in that order; and</w:t>
      </w:r>
    </w:p>
    <w:p w14:paraId="10D5886C" w14:textId="77777777" w:rsidR="003520F6" w:rsidRPr="001035F3" w:rsidRDefault="003520F6" w:rsidP="00D70832">
      <w:pPr>
        <w:widowControl/>
        <w:tabs>
          <w:tab w:val="clear" w:pos="1418"/>
        </w:tabs>
        <w:adjustRightInd/>
        <w:ind w:left="1440" w:right="720" w:hanging="720"/>
        <w:rPr>
          <w:rFonts w:cs="Arial"/>
          <w:i/>
          <w:lang w:val="en-US"/>
        </w:rPr>
      </w:pPr>
    </w:p>
    <w:p w14:paraId="6ADF4490" w14:textId="428724F7" w:rsidR="003520F6" w:rsidRPr="00C3671B" w:rsidRDefault="003520F6" w:rsidP="00D70832">
      <w:pPr>
        <w:widowControl/>
        <w:tabs>
          <w:tab w:val="clear" w:pos="1418"/>
        </w:tabs>
        <w:adjustRightInd/>
        <w:ind w:left="1440" w:right="720" w:hanging="720"/>
        <w:rPr>
          <w:rFonts w:cs="Arial"/>
          <w:lang w:val="en-US"/>
        </w:rPr>
      </w:pPr>
      <w:r w:rsidRPr="001035F3">
        <w:rPr>
          <w:rFonts w:cs="Arial"/>
          <w:i/>
          <w:lang w:val="en-US"/>
        </w:rPr>
        <w:t>(b)</w:t>
      </w:r>
      <w:r w:rsidRPr="001035F3">
        <w:rPr>
          <w:rFonts w:cs="Arial"/>
          <w:i/>
          <w:lang w:val="en-US"/>
        </w:rPr>
        <w:tab/>
        <w:t>the review should be restricted to only one application subject to extension of time for the application as the court may allow in appropriate circumstances.</w:t>
      </w:r>
      <w:r w:rsidR="00115808">
        <w:rPr>
          <w:rFonts w:cs="Arial"/>
          <w:i/>
          <w:lang w:val="en-US"/>
        </w:rPr>
        <w:t>"</w:t>
      </w:r>
    </w:p>
    <w:p w14:paraId="12564466" w14:textId="77777777" w:rsidR="003520F6" w:rsidRDefault="003520F6" w:rsidP="003520F6">
      <w:pPr>
        <w:tabs>
          <w:tab w:val="clear" w:pos="1418"/>
        </w:tabs>
        <w:adjustRightInd/>
        <w:rPr>
          <w:rFonts w:cs="Arial"/>
          <w:lang w:val="en-US"/>
        </w:rPr>
      </w:pPr>
    </w:p>
    <w:p w14:paraId="445305BE" w14:textId="521BF217" w:rsidR="003520F6" w:rsidRPr="00C3671B" w:rsidRDefault="00035B92" w:rsidP="003520F6">
      <w:pPr>
        <w:tabs>
          <w:tab w:val="clear" w:pos="1418"/>
        </w:tabs>
        <w:adjustRightInd/>
        <w:rPr>
          <w:rFonts w:cs="Arial"/>
          <w:lang w:val="en-US"/>
        </w:rPr>
      </w:pPr>
      <w:r>
        <w:rPr>
          <w:rFonts w:cs="Arial"/>
          <w:b/>
          <w:i/>
          <w:lang w:val="en-US"/>
        </w:rPr>
        <w:tab/>
      </w:r>
      <w:r w:rsidR="003520F6" w:rsidRPr="00C3671B">
        <w:rPr>
          <w:rFonts w:cs="Arial"/>
          <w:b/>
          <w:lang w:val="en-US"/>
        </w:rPr>
        <w:t xml:space="preserve">Final Recommendation </w:t>
      </w:r>
      <w:r w:rsidR="003520F6">
        <w:rPr>
          <w:rFonts w:cs="Arial"/>
          <w:b/>
          <w:lang w:val="en-US"/>
        </w:rPr>
        <w:t>5</w:t>
      </w:r>
    </w:p>
    <w:p w14:paraId="401017CD" w14:textId="77777777" w:rsidR="003520F6" w:rsidRPr="00C3671B" w:rsidRDefault="003520F6" w:rsidP="003520F6">
      <w:pPr>
        <w:widowControl/>
        <w:tabs>
          <w:tab w:val="clear" w:pos="1418"/>
        </w:tabs>
        <w:adjustRightInd/>
        <w:ind w:left="1418" w:hanging="709"/>
        <w:rPr>
          <w:rFonts w:cs="Arial"/>
          <w:lang w:val="en-US"/>
        </w:rPr>
      </w:pPr>
    </w:p>
    <w:p w14:paraId="446DDBC7" w14:textId="25E74DFF" w:rsidR="003520F6" w:rsidRPr="00C3671B" w:rsidRDefault="00115808" w:rsidP="003520F6">
      <w:pPr>
        <w:widowControl/>
        <w:tabs>
          <w:tab w:val="clear" w:pos="1418"/>
        </w:tabs>
        <w:adjustRightInd/>
        <w:ind w:left="720" w:right="720"/>
        <w:rPr>
          <w:rFonts w:cs="Arial"/>
          <w:lang w:val="en-US"/>
        </w:rPr>
      </w:pPr>
      <w:r>
        <w:rPr>
          <w:rFonts w:cs="Arial"/>
          <w:i/>
          <w:lang w:val="en-US"/>
        </w:rPr>
        <w:t>"</w:t>
      </w:r>
      <w:r w:rsidR="003520F6" w:rsidRPr="001035F3">
        <w:rPr>
          <w:rFonts w:cs="Arial"/>
          <w:i/>
          <w:lang w:val="en-US"/>
        </w:rPr>
        <w:t>We recommend that upon the cessation of periodical payment occasioned by premature death of a recipient of periodical payments, the dependants of such recipient should be afforded one last opportunity to pursue a claim against the paying party for loss of dependency, or being the amount which the deceased recipient would have contributed to his dependants from the periodical payments he received but for his premature death and in respect of which the dependants have not received any compensation or damages from the paying party or any person who was or may be liable to him.</w:t>
      </w:r>
      <w:r>
        <w:rPr>
          <w:rFonts w:cs="Arial"/>
          <w:i/>
          <w:lang w:val="en-US"/>
        </w:rPr>
        <w:t>"</w:t>
      </w:r>
    </w:p>
    <w:p w14:paraId="459545FF" w14:textId="77777777" w:rsidR="003520F6" w:rsidRDefault="003520F6" w:rsidP="003520F6">
      <w:pPr>
        <w:tabs>
          <w:tab w:val="clear" w:pos="1418"/>
        </w:tabs>
        <w:adjustRightInd/>
        <w:rPr>
          <w:rFonts w:cs="Arial"/>
          <w:lang w:val="en-US"/>
        </w:rPr>
      </w:pPr>
    </w:p>
    <w:p w14:paraId="34F890EB" w14:textId="661D40A6" w:rsidR="003520F6" w:rsidRPr="00C3671B" w:rsidRDefault="00035B92" w:rsidP="00194FC6">
      <w:pPr>
        <w:keepNext/>
        <w:keepLines/>
        <w:tabs>
          <w:tab w:val="clear" w:pos="1418"/>
        </w:tabs>
        <w:adjustRightInd/>
        <w:rPr>
          <w:rFonts w:cs="Arial"/>
          <w:lang w:val="en-US"/>
        </w:rPr>
      </w:pPr>
      <w:r>
        <w:rPr>
          <w:rFonts w:cs="Arial"/>
          <w:b/>
          <w:i/>
          <w:lang w:val="en-US"/>
        </w:rPr>
        <w:tab/>
      </w:r>
      <w:r w:rsidR="003520F6" w:rsidRPr="00C3671B">
        <w:rPr>
          <w:rFonts w:cs="Arial"/>
          <w:b/>
          <w:lang w:val="en-US"/>
        </w:rPr>
        <w:t xml:space="preserve">Final Recommendation </w:t>
      </w:r>
      <w:r w:rsidR="003520F6">
        <w:rPr>
          <w:rFonts w:cs="Arial"/>
          <w:b/>
          <w:lang w:val="en-US"/>
        </w:rPr>
        <w:t>6</w:t>
      </w:r>
    </w:p>
    <w:p w14:paraId="3EDC44F6" w14:textId="77777777" w:rsidR="003520F6" w:rsidRPr="00C3671B" w:rsidRDefault="003520F6" w:rsidP="00194FC6">
      <w:pPr>
        <w:keepNext/>
        <w:keepLines/>
        <w:widowControl/>
        <w:tabs>
          <w:tab w:val="clear" w:pos="1418"/>
        </w:tabs>
        <w:adjustRightInd/>
        <w:ind w:left="1418" w:hanging="709"/>
        <w:rPr>
          <w:rFonts w:cs="Arial"/>
          <w:lang w:val="en-US"/>
        </w:rPr>
      </w:pPr>
    </w:p>
    <w:p w14:paraId="234E770C" w14:textId="43F42C62" w:rsidR="003520F6" w:rsidRPr="00C3671B" w:rsidRDefault="00115808" w:rsidP="003520F6">
      <w:pPr>
        <w:widowControl/>
        <w:tabs>
          <w:tab w:val="clear" w:pos="1418"/>
        </w:tabs>
        <w:adjustRightInd/>
        <w:ind w:left="720" w:right="720"/>
        <w:rPr>
          <w:rFonts w:cs="Arial"/>
          <w:lang w:val="en-US"/>
        </w:rPr>
      </w:pPr>
      <w:r>
        <w:rPr>
          <w:rFonts w:cs="Arial"/>
          <w:i/>
          <w:lang w:val="en-US"/>
        </w:rPr>
        <w:t>"</w:t>
      </w:r>
      <w:r w:rsidR="003520F6" w:rsidRPr="001035F3">
        <w:rPr>
          <w:rFonts w:cs="Arial"/>
          <w:i/>
          <w:lang w:val="en-US"/>
        </w:rPr>
        <w:t>We recommend that the current mechanism for provisional damages should be preserved.</w:t>
      </w:r>
      <w:r>
        <w:rPr>
          <w:rFonts w:cs="Arial"/>
          <w:i/>
          <w:lang w:val="en-US"/>
        </w:rPr>
        <w:t>"</w:t>
      </w:r>
    </w:p>
    <w:p w14:paraId="1439CD7F" w14:textId="77777777" w:rsidR="003520F6" w:rsidRPr="001035F3" w:rsidRDefault="003520F6" w:rsidP="003520F6">
      <w:pPr>
        <w:rPr>
          <w:lang w:val="en-US"/>
        </w:rPr>
      </w:pPr>
    </w:p>
    <w:p w14:paraId="088D3537" w14:textId="77777777" w:rsidR="003520F6" w:rsidRPr="00C3671B" w:rsidRDefault="003520F6" w:rsidP="003520F6">
      <w:pPr>
        <w:rPr>
          <w:lang w:val="en-US"/>
        </w:rPr>
      </w:pPr>
    </w:p>
    <w:p w14:paraId="2C3F3BAD" w14:textId="63FCAB33" w:rsidR="003520F6" w:rsidRPr="00C3671B" w:rsidRDefault="003520F6" w:rsidP="006C4098">
      <w:pPr>
        <w:keepNext/>
        <w:keepLines/>
        <w:tabs>
          <w:tab w:val="clear" w:pos="1418"/>
        </w:tabs>
        <w:adjustRightInd/>
        <w:rPr>
          <w:rFonts w:eastAsia="SimSun" w:cs="Arial"/>
          <w:b/>
          <w:sz w:val="28"/>
          <w:szCs w:val="28"/>
          <w:lang w:val="en-US" w:eastAsia="zh-CN"/>
        </w:rPr>
      </w:pPr>
      <w:r w:rsidRPr="00C3671B">
        <w:rPr>
          <w:rFonts w:eastAsia="SimSun" w:cs="Arial"/>
          <w:b/>
          <w:sz w:val="28"/>
          <w:szCs w:val="28"/>
          <w:lang w:val="en-US" w:eastAsia="zh-CN"/>
        </w:rPr>
        <w:t xml:space="preserve">Chapter </w:t>
      </w:r>
      <w:r>
        <w:rPr>
          <w:rFonts w:eastAsia="SimSun" w:cs="Arial"/>
          <w:b/>
          <w:sz w:val="28"/>
          <w:szCs w:val="28"/>
          <w:lang w:val="en-US" w:eastAsia="zh-CN"/>
        </w:rPr>
        <w:t>5</w:t>
      </w:r>
      <w:r w:rsidRPr="00C3671B">
        <w:rPr>
          <w:rFonts w:eastAsia="SimSun" w:cs="Arial"/>
          <w:b/>
          <w:sz w:val="28"/>
          <w:szCs w:val="28"/>
          <w:lang w:val="en-US" w:eastAsia="zh-CN"/>
        </w:rPr>
        <w:t xml:space="preserve">: </w:t>
      </w:r>
      <w:r w:rsidRPr="00CE464F">
        <w:rPr>
          <w:rFonts w:eastAsia="SimSun" w:cs="Arial"/>
          <w:b/>
          <w:sz w:val="28"/>
          <w:szCs w:val="28"/>
          <w:lang w:val="en-US" w:eastAsia="zh-CN"/>
        </w:rPr>
        <w:t>Security of the periodical payments</w:t>
      </w:r>
    </w:p>
    <w:p w14:paraId="10E11446" w14:textId="7FA4FD98" w:rsidR="003520F6" w:rsidRDefault="003520F6" w:rsidP="006C4098">
      <w:pPr>
        <w:keepNext/>
        <w:keepLines/>
        <w:widowControl/>
        <w:tabs>
          <w:tab w:val="clear" w:pos="1418"/>
        </w:tabs>
        <w:adjustRightInd/>
        <w:rPr>
          <w:rFonts w:cs="Arial"/>
          <w:b/>
          <w:lang w:val="en-US"/>
        </w:rPr>
      </w:pPr>
    </w:p>
    <w:p w14:paraId="1504B941" w14:textId="36AB0A6F" w:rsidR="00035B92" w:rsidRPr="0086729E" w:rsidRDefault="003B1330"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035B92">
        <w:rPr>
          <w:rFonts w:cs="Arial"/>
          <w:lang w:val="en-US"/>
        </w:rPr>
        <w:t xml:space="preserve">This Chapter </w:t>
      </w:r>
      <w:r w:rsidR="00035B92" w:rsidRPr="0086729E">
        <w:rPr>
          <w:rFonts w:cs="Arial"/>
          <w:lang w:val="en-US"/>
        </w:rPr>
        <w:t>deal</w:t>
      </w:r>
      <w:r w:rsidR="00035B92">
        <w:rPr>
          <w:rFonts w:cs="Arial"/>
          <w:lang w:val="en-US"/>
        </w:rPr>
        <w:t>s</w:t>
      </w:r>
      <w:r w:rsidR="00035B92" w:rsidRPr="0086729E">
        <w:rPr>
          <w:rFonts w:cs="Arial"/>
          <w:lang w:val="en-US"/>
        </w:rPr>
        <w:t xml:space="preserve"> with Question 5 </w:t>
      </w:r>
      <w:r w:rsidR="00035B92">
        <w:rPr>
          <w:rFonts w:cs="Arial"/>
          <w:lang w:val="en-US"/>
        </w:rPr>
        <w:t xml:space="preserve">of the CP </w:t>
      </w:r>
      <w:r w:rsidR="00035B92" w:rsidRPr="0086729E">
        <w:rPr>
          <w:rFonts w:cs="Arial"/>
          <w:lang w:val="en-US"/>
        </w:rPr>
        <w:t>which has three parts, namely:</w:t>
      </w:r>
    </w:p>
    <w:p w14:paraId="7143B85E" w14:textId="77777777" w:rsidR="00035B92" w:rsidRPr="0086729E" w:rsidRDefault="00035B92" w:rsidP="00035B92">
      <w:pPr>
        <w:rPr>
          <w:rFonts w:cs="Arial"/>
          <w:lang w:val="en-US"/>
        </w:rPr>
      </w:pPr>
    </w:p>
    <w:p w14:paraId="4E04F279" w14:textId="7F0B81AF" w:rsidR="00035B92" w:rsidRPr="0086729E" w:rsidRDefault="00115808" w:rsidP="00035B92">
      <w:pPr>
        <w:pStyle w:val="Indent1"/>
        <w:ind w:right="720"/>
        <w:rPr>
          <w:i/>
          <w:lang w:val="en-US"/>
        </w:rPr>
      </w:pPr>
      <w:r>
        <w:rPr>
          <w:i/>
          <w:lang w:val="en-US"/>
        </w:rPr>
        <w:t>"</w:t>
      </w:r>
      <w:r w:rsidR="00035B92" w:rsidRPr="0086729E">
        <w:rPr>
          <w:i/>
          <w:lang w:val="en-US"/>
        </w:rPr>
        <w:t>(1)</w:t>
      </w:r>
      <w:r w:rsidR="00035B92" w:rsidRPr="0086729E">
        <w:rPr>
          <w:i/>
          <w:lang w:val="en-US"/>
        </w:rPr>
        <w:tab/>
        <w:t>Whether the court should take into account the security of the periodical payments before making the order.</w:t>
      </w:r>
    </w:p>
    <w:p w14:paraId="2ED6DD68" w14:textId="77777777" w:rsidR="00035B92" w:rsidRPr="0086729E" w:rsidRDefault="00035B92" w:rsidP="00035B92">
      <w:pPr>
        <w:pStyle w:val="Indent1"/>
        <w:ind w:right="720"/>
        <w:rPr>
          <w:i/>
          <w:lang w:val="en-US"/>
        </w:rPr>
      </w:pPr>
    </w:p>
    <w:p w14:paraId="03F8A345" w14:textId="77777777" w:rsidR="00035B92" w:rsidRPr="0086729E" w:rsidRDefault="00035B92" w:rsidP="00035B92">
      <w:pPr>
        <w:pStyle w:val="Indent1"/>
        <w:ind w:right="720"/>
        <w:rPr>
          <w:i/>
          <w:lang w:val="en-US"/>
        </w:rPr>
      </w:pPr>
      <w:r w:rsidRPr="0086729E">
        <w:rPr>
          <w:i/>
          <w:lang w:val="en-US"/>
        </w:rPr>
        <w:t>(2)</w:t>
      </w:r>
      <w:r w:rsidRPr="0086729E">
        <w:rPr>
          <w:i/>
          <w:lang w:val="en-US"/>
        </w:rPr>
        <w:tab/>
        <w:t>The funding options that should be available to ensure adequate security for periodical payments.  These options may include, but are not limited to:</w:t>
      </w:r>
    </w:p>
    <w:p w14:paraId="749C424A" w14:textId="77777777" w:rsidR="00035B92" w:rsidRPr="0086729E" w:rsidRDefault="00035B92" w:rsidP="00035B92">
      <w:pPr>
        <w:ind w:right="720"/>
        <w:rPr>
          <w:rFonts w:cs="Arial"/>
          <w:i/>
          <w:lang w:val="en-US"/>
        </w:rPr>
      </w:pPr>
    </w:p>
    <w:p w14:paraId="29A801E0" w14:textId="77777777" w:rsidR="00035B92" w:rsidRPr="0086729E" w:rsidRDefault="00035B92" w:rsidP="00035B92">
      <w:pPr>
        <w:pStyle w:val="Indent2"/>
        <w:ind w:right="720"/>
        <w:rPr>
          <w:i/>
          <w:lang w:val="en-US"/>
        </w:rPr>
      </w:pPr>
      <w:r w:rsidRPr="0086729E">
        <w:rPr>
          <w:i/>
          <w:lang w:val="en-US"/>
        </w:rPr>
        <w:t>(a)</w:t>
      </w:r>
      <w:r w:rsidRPr="0086729E">
        <w:rPr>
          <w:i/>
          <w:lang w:val="en-US"/>
        </w:rPr>
        <w:tab/>
        <w:t>self-funding provided by, as the case may be, insurers, the government, or statutory bodies of substantial means;</w:t>
      </w:r>
    </w:p>
    <w:p w14:paraId="2D5CC4EB" w14:textId="77777777" w:rsidR="00035B92" w:rsidRPr="0086729E" w:rsidRDefault="00035B92" w:rsidP="00035B92">
      <w:pPr>
        <w:pStyle w:val="Indent2"/>
        <w:ind w:right="720"/>
        <w:rPr>
          <w:i/>
          <w:lang w:val="en-US"/>
        </w:rPr>
      </w:pPr>
    </w:p>
    <w:p w14:paraId="5AFB3D57" w14:textId="77777777" w:rsidR="00035B92" w:rsidRPr="0086729E" w:rsidRDefault="00035B92" w:rsidP="00035B92">
      <w:pPr>
        <w:pStyle w:val="Indent2"/>
        <w:ind w:right="720"/>
        <w:rPr>
          <w:i/>
          <w:lang w:val="en-US"/>
        </w:rPr>
      </w:pPr>
      <w:r w:rsidRPr="0086729E">
        <w:rPr>
          <w:i/>
          <w:lang w:val="en-US"/>
        </w:rPr>
        <w:t>(b)</w:t>
      </w:r>
      <w:r w:rsidRPr="0086729E">
        <w:rPr>
          <w:i/>
          <w:lang w:val="en-US"/>
        </w:rPr>
        <w:tab/>
        <w:t>self-funding backed by guarantees from government or a statutory scheme of protection; and</w:t>
      </w:r>
    </w:p>
    <w:p w14:paraId="736D27DE" w14:textId="77777777" w:rsidR="00035B92" w:rsidRPr="0086729E" w:rsidRDefault="00035B92" w:rsidP="00035B92">
      <w:pPr>
        <w:pStyle w:val="Indent2"/>
        <w:ind w:right="720"/>
        <w:rPr>
          <w:i/>
          <w:lang w:val="en-US"/>
        </w:rPr>
      </w:pPr>
    </w:p>
    <w:p w14:paraId="3D9F53C1" w14:textId="77777777" w:rsidR="00035B92" w:rsidRPr="0086729E" w:rsidRDefault="00035B92" w:rsidP="00035B92">
      <w:pPr>
        <w:pStyle w:val="Indent2"/>
        <w:ind w:right="720"/>
        <w:rPr>
          <w:i/>
          <w:lang w:val="en-US"/>
        </w:rPr>
      </w:pPr>
      <w:r w:rsidRPr="0086729E">
        <w:rPr>
          <w:i/>
          <w:lang w:val="en-US"/>
        </w:rPr>
        <w:t>(c)</w:t>
      </w:r>
      <w:r w:rsidRPr="0086729E">
        <w:rPr>
          <w:i/>
          <w:lang w:val="en-US"/>
        </w:rPr>
        <w:tab/>
        <w:t>procurement of annuities or similar investment products to provide a secured stream of income.</w:t>
      </w:r>
    </w:p>
    <w:p w14:paraId="245CE05E" w14:textId="77777777" w:rsidR="00035B92" w:rsidRPr="0086729E" w:rsidRDefault="00035B92" w:rsidP="00035B92">
      <w:pPr>
        <w:ind w:right="720"/>
        <w:rPr>
          <w:rFonts w:cs="Arial"/>
          <w:i/>
          <w:lang w:val="en-US"/>
        </w:rPr>
      </w:pPr>
    </w:p>
    <w:p w14:paraId="77A1B12B" w14:textId="463CF806" w:rsidR="00035B92" w:rsidRPr="00E020D0" w:rsidRDefault="00035B92" w:rsidP="00EA4E66">
      <w:pPr>
        <w:pStyle w:val="Indent1"/>
        <w:widowControl/>
        <w:ind w:right="720"/>
        <w:rPr>
          <w:lang w:val="en-US"/>
        </w:rPr>
      </w:pPr>
      <w:r w:rsidRPr="0086729E">
        <w:rPr>
          <w:i/>
          <w:lang w:val="en-US"/>
        </w:rPr>
        <w:t>(3)</w:t>
      </w:r>
      <w:r w:rsidRPr="0086729E">
        <w:rPr>
          <w:i/>
          <w:lang w:val="en-US"/>
        </w:rPr>
        <w:tab/>
        <w:t>Whether, apart from government departments, there are other organisation and institutions, whether created by statute or otherwise, which are considered to be financially secure as paying parties for court ordered periodical payments.</w:t>
      </w:r>
      <w:r w:rsidR="00115808">
        <w:rPr>
          <w:i/>
          <w:lang w:val="en-US"/>
        </w:rPr>
        <w:t>"</w:t>
      </w:r>
      <w:r w:rsidRPr="0086729E">
        <w:rPr>
          <w:rStyle w:val="FootnoteReference"/>
          <w:lang w:val="en-US"/>
        </w:rPr>
        <w:footnoteReference w:id="24"/>
      </w:r>
      <w:r>
        <w:rPr>
          <w:i/>
          <w:lang w:val="en-US"/>
        </w:rPr>
        <w:tab/>
      </w:r>
    </w:p>
    <w:p w14:paraId="5D88B370" w14:textId="77777777" w:rsidR="00035B92" w:rsidRPr="00C3671B" w:rsidRDefault="00035B92" w:rsidP="00E020D0">
      <w:pPr>
        <w:widowControl/>
        <w:tabs>
          <w:tab w:val="clear" w:pos="1418"/>
        </w:tabs>
        <w:adjustRightInd/>
        <w:ind w:left="720" w:firstLine="720"/>
        <w:rPr>
          <w:rFonts w:cs="Arial"/>
          <w:b/>
          <w:lang w:val="en-US"/>
        </w:rPr>
      </w:pPr>
    </w:p>
    <w:p w14:paraId="25D36C4A" w14:textId="475F1996" w:rsidR="003520F6" w:rsidRDefault="003520F6" w:rsidP="003068A2">
      <w:pPr>
        <w:pStyle w:val="ListParagraph"/>
        <w:widowControl/>
        <w:numPr>
          <w:ilvl w:val="0"/>
          <w:numId w:val="5"/>
        </w:numPr>
        <w:tabs>
          <w:tab w:val="clear" w:pos="1418"/>
        </w:tabs>
        <w:adjustRightInd/>
        <w:ind w:left="0" w:firstLine="0"/>
        <w:rPr>
          <w:rFonts w:cs="Arial"/>
          <w:lang w:val="en-US"/>
        </w:rPr>
      </w:pPr>
      <w:r w:rsidRPr="00C3671B">
        <w:rPr>
          <w:rFonts w:cs="Arial"/>
          <w:lang w:val="en-US"/>
        </w:rPr>
        <w:tab/>
      </w:r>
      <w:r w:rsidR="00FA5CC6">
        <w:rPr>
          <w:lang w:val="en-US"/>
        </w:rPr>
        <w:t>The</w:t>
      </w:r>
      <w:r w:rsidR="00AE56E8" w:rsidRPr="0086729E">
        <w:rPr>
          <w:lang w:val="en-US"/>
        </w:rPr>
        <w:t xml:space="preserve"> responses for Question 5(1) were unanimously in favour of the need for the court to take into account the security of the periodical payments before making the order to ensure continuity of the payments. </w:t>
      </w:r>
      <w:r w:rsidR="00AE56E8">
        <w:rPr>
          <w:lang w:val="en-US"/>
        </w:rPr>
        <w:t xml:space="preserve"> </w:t>
      </w:r>
      <w:r w:rsidR="00AE56E8" w:rsidRPr="0086729E">
        <w:rPr>
          <w:lang w:val="en-US"/>
        </w:rPr>
        <w:t>For Questions 5(2) and 5(3), an overriding majority of the responses were also in favour</w:t>
      </w:r>
      <w:r w:rsidR="00D10A4E">
        <w:rPr>
          <w:lang w:val="en-US"/>
        </w:rPr>
        <w:t>.</w:t>
      </w:r>
      <w:r>
        <w:rPr>
          <w:rFonts w:cs="Arial"/>
          <w:lang w:val="en-US"/>
        </w:rPr>
        <w:t xml:space="preserve"> </w:t>
      </w:r>
    </w:p>
    <w:p w14:paraId="3AEE28D4" w14:textId="47BC4B2B" w:rsidR="003520F6" w:rsidRDefault="003520F6" w:rsidP="003520F6">
      <w:pPr>
        <w:widowControl/>
        <w:tabs>
          <w:tab w:val="clear" w:pos="1418"/>
        </w:tabs>
        <w:adjustRightInd/>
        <w:rPr>
          <w:rFonts w:cs="Arial"/>
          <w:lang w:val="en-US"/>
        </w:rPr>
      </w:pPr>
    </w:p>
    <w:p w14:paraId="7C3FD5CC" w14:textId="3B6D13EC" w:rsidR="005C1CA9" w:rsidRPr="0086729E" w:rsidRDefault="00194FC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5F6268">
        <w:rPr>
          <w:rFonts w:cs="Arial"/>
          <w:lang w:val="en-US"/>
        </w:rPr>
        <w:t>In order for PPO</w:t>
      </w:r>
      <w:r w:rsidR="00B17AE6">
        <w:rPr>
          <w:rFonts w:cs="Arial"/>
          <w:lang w:val="en-US"/>
        </w:rPr>
        <w:t>s</w:t>
      </w:r>
      <w:r w:rsidR="005F6268">
        <w:rPr>
          <w:rFonts w:cs="Arial"/>
          <w:lang w:val="en-US"/>
        </w:rPr>
        <w:t xml:space="preserve"> to work, payments have to be secured against all potential adverse consequences so that the recipients will not be affected.  The details of such protective mechanism will have to be mapped out for the implementation of a PPO regime.  </w:t>
      </w:r>
      <w:r w:rsidR="005C1CA9" w:rsidRPr="0086729E">
        <w:rPr>
          <w:rFonts w:cs="Arial"/>
          <w:lang w:val="en-US"/>
        </w:rPr>
        <w:t xml:space="preserve">The responses received </w:t>
      </w:r>
      <w:r w:rsidR="005F6268">
        <w:rPr>
          <w:rFonts w:cs="Arial"/>
          <w:lang w:val="en-US"/>
        </w:rPr>
        <w:t xml:space="preserve">in relation to the proposed protective mechanism or </w:t>
      </w:r>
      <w:r w:rsidR="005C1CA9" w:rsidRPr="0086729E">
        <w:rPr>
          <w:rFonts w:cs="Arial"/>
          <w:lang w:val="en-US"/>
        </w:rPr>
        <w:t>funding options</w:t>
      </w:r>
      <w:r w:rsidR="005F6268">
        <w:rPr>
          <w:rFonts w:cs="Arial"/>
          <w:lang w:val="en-US"/>
        </w:rPr>
        <w:t xml:space="preserve"> that should be in place include the following</w:t>
      </w:r>
      <w:r w:rsidR="005C1CA9" w:rsidRPr="0086729E">
        <w:rPr>
          <w:rFonts w:cs="Arial"/>
          <w:lang w:val="en-US"/>
        </w:rPr>
        <w:t>:</w:t>
      </w:r>
    </w:p>
    <w:p w14:paraId="37F9DD22" w14:textId="77777777" w:rsidR="005C1CA9" w:rsidRPr="0086729E" w:rsidRDefault="005C1CA9" w:rsidP="005C1CA9">
      <w:pPr>
        <w:rPr>
          <w:rFonts w:cs="Arial"/>
          <w:lang w:val="en-US"/>
        </w:rPr>
      </w:pPr>
    </w:p>
    <w:p w14:paraId="07A53C18" w14:textId="77777777" w:rsidR="005C1CA9" w:rsidRPr="0086729E" w:rsidRDefault="005C1CA9" w:rsidP="005C1CA9">
      <w:pPr>
        <w:pStyle w:val="Indent1"/>
        <w:rPr>
          <w:lang w:val="en-US"/>
        </w:rPr>
      </w:pPr>
      <w:r w:rsidRPr="0086729E">
        <w:rPr>
          <w:lang w:val="en-US"/>
        </w:rPr>
        <w:t>(a)</w:t>
      </w:r>
      <w:r w:rsidRPr="0086729E">
        <w:rPr>
          <w:lang w:val="en-US"/>
        </w:rPr>
        <w:tab/>
        <w:t>self-funding by insurers (ie insurance, including annuity);</w:t>
      </w:r>
    </w:p>
    <w:p w14:paraId="68FF16EB" w14:textId="77777777" w:rsidR="005C1CA9" w:rsidRPr="0086729E" w:rsidRDefault="005C1CA9" w:rsidP="005C1CA9">
      <w:pPr>
        <w:pStyle w:val="Indent1"/>
        <w:rPr>
          <w:lang w:val="en-US"/>
        </w:rPr>
      </w:pPr>
    </w:p>
    <w:p w14:paraId="1D1F2A09" w14:textId="540226B5" w:rsidR="005C1CA9" w:rsidRPr="0086729E" w:rsidRDefault="005C1CA9" w:rsidP="005C1CA9">
      <w:pPr>
        <w:pStyle w:val="Indent1"/>
        <w:rPr>
          <w:lang w:val="en-US"/>
        </w:rPr>
      </w:pPr>
      <w:r w:rsidRPr="0086729E">
        <w:rPr>
          <w:lang w:val="en-US"/>
        </w:rPr>
        <w:t>(b)</w:t>
      </w:r>
      <w:r w:rsidRPr="0086729E">
        <w:rPr>
          <w:lang w:val="en-US"/>
        </w:rPr>
        <w:tab/>
        <w:t>self-funding by Government or statutory bodies of substantial means such as the Hospital Authority, Employees Compensation Assistance Fund Board (</w:t>
      </w:r>
      <w:r w:rsidR="00115808">
        <w:rPr>
          <w:lang w:val="en-US"/>
        </w:rPr>
        <w:t>"</w:t>
      </w:r>
      <w:r w:rsidRPr="0086729E">
        <w:rPr>
          <w:b/>
          <w:lang w:val="en-US"/>
        </w:rPr>
        <w:t>ECAFB</w:t>
      </w:r>
      <w:r w:rsidR="00115808">
        <w:rPr>
          <w:lang w:val="en-US"/>
        </w:rPr>
        <w:t>"</w:t>
      </w:r>
      <w:r w:rsidRPr="0086729E">
        <w:rPr>
          <w:lang w:val="en-US"/>
        </w:rPr>
        <w:t xml:space="preserve">), </w:t>
      </w:r>
      <w:r w:rsidR="00EF5482">
        <w:rPr>
          <w:rFonts w:cs="Arial"/>
          <w:lang w:val="en-US"/>
        </w:rPr>
        <w:t>Motor Insurers</w:t>
      </w:r>
      <w:r w:rsidR="00115808">
        <w:rPr>
          <w:rFonts w:cs="Arial"/>
          <w:lang w:val="en-US"/>
        </w:rPr>
        <w:t>'</w:t>
      </w:r>
      <w:r w:rsidR="00EF5482">
        <w:rPr>
          <w:rFonts w:cs="Arial"/>
          <w:lang w:val="en-US"/>
        </w:rPr>
        <w:t xml:space="preserve"> Bureau of Hong Kong (</w:t>
      </w:r>
      <w:r w:rsidR="00115808">
        <w:rPr>
          <w:rFonts w:cs="Arial"/>
          <w:lang w:val="en-US"/>
        </w:rPr>
        <w:t>"</w:t>
      </w:r>
      <w:r w:rsidR="00EF5482">
        <w:rPr>
          <w:rFonts w:cs="Arial"/>
          <w:b/>
          <w:lang w:val="en-US"/>
        </w:rPr>
        <w:t>MIB</w:t>
      </w:r>
      <w:r w:rsidR="00115808">
        <w:rPr>
          <w:rFonts w:cs="Arial"/>
          <w:lang w:val="en-US"/>
        </w:rPr>
        <w:t>"</w:t>
      </w:r>
      <w:r w:rsidR="00EF5482">
        <w:rPr>
          <w:rFonts w:cs="Arial"/>
          <w:lang w:val="en-US"/>
        </w:rPr>
        <w:t>)</w:t>
      </w:r>
      <w:r w:rsidRPr="0086729E">
        <w:rPr>
          <w:rStyle w:val="FootnoteReference"/>
          <w:rFonts w:cs="Arial"/>
          <w:lang w:val="en-US"/>
        </w:rPr>
        <w:footnoteReference w:id="25"/>
      </w:r>
      <w:r w:rsidRPr="0086729E">
        <w:rPr>
          <w:lang w:val="en-US"/>
        </w:rPr>
        <w:t xml:space="preserve"> and </w:t>
      </w:r>
      <w:r w:rsidR="00EF5482">
        <w:rPr>
          <w:rFonts w:cs="Arial"/>
          <w:lang w:val="en-US"/>
        </w:rPr>
        <w:t>the Employees Compensation Insurer Insolvency Bureau (</w:t>
      </w:r>
      <w:r w:rsidR="00115808">
        <w:rPr>
          <w:rFonts w:cs="Arial"/>
          <w:lang w:val="en-US"/>
        </w:rPr>
        <w:t>"</w:t>
      </w:r>
      <w:r w:rsidR="00EF5482">
        <w:rPr>
          <w:rFonts w:cs="Arial"/>
          <w:b/>
          <w:lang w:val="en-US"/>
        </w:rPr>
        <w:t>ECIIB</w:t>
      </w:r>
      <w:r w:rsidR="00115808">
        <w:rPr>
          <w:rFonts w:cs="Arial"/>
          <w:lang w:val="en-US"/>
        </w:rPr>
        <w:t>"</w:t>
      </w:r>
      <w:r w:rsidR="00EF5482">
        <w:rPr>
          <w:rFonts w:cs="Arial"/>
          <w:lang w:val="en-US"/>
        </w:rPr>
        <w:t>)</w:t>
      </w:r>
      <w:r w:rsidRPr="0086729E">
        <w:rPr>
          <w:lang w:val="en-US"/>
        </w:rPr>
        <w:t>;</w:t>
      </w:r>
      <w:r w:rsidRPr="0086729E">
        <w:rPr>
          <w:rStyle w:val="FootnoteReference"/>
          <w:rFonts w:cs="Arial"/>
          <w:lang w:val="en-US"/>
        </w:rPr>
        <w:footnoteReference w:id="26"/>
      </w:r>
    </w:p>
    <w:p w14:paraId="4F9C6DFD" w14:textId="77777777" w:rsidR="005C1CA9" w:rsidRPr="0086729E" w:rsidRDefault="005C1CA9" w:rsidP="005C1CA9">
      <w:pPr>
        <w:pStyle w:val="Indent1"/>
        <w:keepNext/>
        <w:keepLines/>
        <w:widowControl/>
        <w:rPr>
          <w:lang w:val="en-US"/>
        </w:rPr>
      </w:pPr>
    </w:p>
    <w:p w14:paraId="3F347121" w14:textId="77777777" w:rsidR="005C1CA9" w:rsidRPr="0086729E" w:rsidRDefault="005C1CA9" w:rsidP="005C1CA9">
      <w:pPr>
        <w:pStyle w:val="Indent1"/>
        <w:keepNext/>
        <w:keepLines/>
        <w:widowControl/>
        <w:rPr>
          <w:lang w:val="en-US"/>
        </w:rPr>
      </w:pPr>
      <w:r w:rsidRPr="0086729E">
        <w:rPr>
          <w:lang w:val="en-US"/>
        </w:rPr>
        <w:t>(c)</w:t>
      </w:r>
      <w:r w:rsidRPr="0086729E">
        <w:rPr>
          <w:lang w:val="en-US"/>
        </w:rPr>
        <w:tab/>
        <w:t xml:space="preserve">statutory scheme of protection/legislation, such as: </w:t>
      </w:r>
    </w:p>
    <w:p w14:paraId="59E4E03E" w14:textId="77777777" w:rsidR="005C1CA9" w:rsidRPr="0086729E" w:rsidRDefault="005C1CA9" w:rsidP="005C1CA9">
      <w:pPr>
        <w:pStyle w:val="Indent2"/>
        <w:rPr>
          <w:lang w:val="en-US"/>
        </w:rPr>
      </w:pPr>
    </w:p>
    <w:p w14:paraId="3C7BA1E2" w14:textId="41F83457" w:rsidR="005C1CA9" w:rsidRPr="0086729E" w:rsidRDefault="005C1CA9" w:rsidP="005C1CA9">
      <w:pPr>
        <w:pStyle w:val="Indent2"/>
        <w:rPr>
          <w:lang w:val="en-US"/>
        </w:rPr>
      </w:pPr>
      <w:r w:rsidRPr="0086729E">
        <w:rPr>
          <w:lang w:val="en-US"/>
        </w:rPr>
        <w:t>(i)</w:t>
      </w:r>
      <w:r w:rsidRPr="0086729E">
        <w:rPr>
          <w:lang w:val="en-US"/>
        </w:rPr>
        <w:tab/>
        <w:t>to follow the appro</w:t>
      </w:r>
      <w:r w:rsidR="00D10A4E">
        <w:rPr>
          <w:lang w:val="en-US"/>
        </w:rPr>
        <w:t>ach of the UK by establishing a Financial Services Compensation Scheme</w:t>
      </w:r>
      <w:r w:rsidRPr="0086729E">
        <w:rPr>
          <w:lang w:val="en-US"/>
        </w:rPr>
        <w:t xml:space="preserve"> that provides enhanced protection to fully secure the continuity of periodical payments; and </w:t>
      </w:r>
    </w:p>
    <w:p w14:paraId="6DFE4280" w14:textId="77777777" w:rsidR="005C1CA9" w:rsidRPr="0086729E" w:rsidRDefault="005C1CA9" w:rsidP="005C1CA9">
      <w:pPr>
        <w:pStyle w:val="Indent2"/>
        <w:rPr>
          <w:lang w:val="en-US"/>
        </w:rPr>
      </w:pPr>
    </w:p>
    <w:p w14:paraId="4E4A1BD0" w14:textId="33CDC959" w:rsidR="005C1CA9" w:rsidRPr="0086729E" w:rsidRDefault="005C1CA9" w:rsidP="005C1CA9">
      <w:pPr>
        <w:pStyle w:val="Indent2"/>
        <w:rPr>
          <w:lang w:val="en-US"/>
        </w:rPr>
      </w:pPr>
      <w:r w:rsidRPr="0086729E">
        <w:rPr>
          <w:lang w:val="en-US"/>
        </w:rPr>
        <w:t>(ii)</w:t>
      </w:r>
      <w:r w:rsidRPr="0086729E">
        <w:rPr>
          <w:lang w:val="en-US"/>
        </w:rPr>
        <w:tab/>
        <w:t>to set up a policy holders</w:t>
      </w:r>
      <w:r w:rsidR="00115808">
        <w:rPr>
          <w:lang w:val="en-US"/>
        </w:rPr>
        <w:t>'</w:t>
      </w:r>
      <w:r w:rsidRPr="0086729E">
        <w:rPr>
          <w:lang w:val="en-US"/>
        </w:rPr>
        <w:t xml:space="preserve"> protection scheme (</w:t>
      </w:r>
      <w:r w:rsidR="00115808">
        <w:rPr>
          <w:lang w:val="en-US"/>
        </w:rPr>
        <w:t>"</w:t>
      </w:r>
      <w:r w:rsidRPr="0086729E">
        <w:rPr>
          <w:b/>
          <w:lang w:val="en-US"/>
        </w:rPr>
        <w:t>PPS</w:t>
      </w:r>
      <w:r w:rsidR="00115808">
        <w:rPr>
          <w:lang w:val="en-US"/>
        </w:rPr>
        <w:t>"</w:t>
      </w:r>
      <w:r w:rsidRPr="0086729E">
        <w:rPr>
          <w:lang w:val="en-US"/>
        </w:rPr>
        <w:t>) in Hong Kong as a source of security in case of insurance company insolvency; and</w:t>
      </w:r>
    </w:p>
    <w:p w14:paraId="0C19E963" w14:textId="77777777" w:rsidR="005C1CA9" w:rsidRPr="0086729E" w:rsidRDefault="005C1CA9" w:rsidP="005C1CA9">
      <w:pPr>
        <w:rPr>
          <w:rFonts w:cs="Arial"/>
          <w:lang w:val="en-US"/>
        </w:rPr>
      </w:pPr>
    </w:p>
    <w:p w14:paraId="24EEA736" w14:textId="5100E217" w:rsidR="005C1CA9" w:rsidRDefault="005C1CA9" w:rsidP="00194FC6">
      <w:pPr>
        <w:pStyle w:val="Indent1"/>
        <w:keepNext/>
        <w:keepLines/>
        <w:widowControl/>
        <w:rPr>
          <w:rFonts w:cs="Arial"/>
          <w:lang w:val="en-US"/>
        </w:rPr>
      </w:pPr>
      <w:r w:rsidRPr="0086729E">
        <w:rPr>
          <w:lang w:val="en-US"/>
        </w:rPr>
        <w:t>(d)</w:t>
      </w:r>
      <w:r w:rsidRPr="0086729E">
        <w:rPr>
          <w:lang w:val="en-US"/>
        </w:rPr>
        <w:tab/>
        <w:t>centralised fund proposed by the Law Society</w:t>
      </w:r>
      <w:r w:rsidR="00F4134E">
        <w:rPr>
          <w:lang w:val="en-US"/>
        </w:rPr>
        <w:t>.</w:t>
      </w:r>
    </w:p>
    <w:p w14:paraId="591B20E1" w14:textId="77777777" w:rsidR="005C1CA9" w:rsidRPr="0086729E" w:rsidRDefault="005C1CA9" w:rsidP="005C1CA9">
      <w:pPr>
        <w:pStyle w:val="Indent1"/>
        <w:keepNext/>
        <w:keepLines/>
        <w:widowControl/>
        <w:rPr>
          <w:lang w:val="en-US"/>
        </w:rPr>
      </w:pPr>
    </w:p>
    <w:p w14:paraId="3C17C6C1" w14:textId="59B09186" w:rsidR="00AE56E8" w:rsidRPr="0086729E" w:rsidRDefault="00AE56E8" w:rsidP="003068A2">
      <w:pPr>
        <w:pStyle w:val="ListParagraph"/>
        <w:widowControl/>
        <w:numPr>
          <w:ilvl w:val="0"/>
          <w:numId w:val="5"/>
        </w:numPr>
        <w:tabs>
          <w:tab w:val="clear" w:pos="1418"/>
        </w:tabs>
        <w:adjustRightInd/>
        <w:ind w:left="0" w:firstLine="0"/>
        <w:rPr>
          <w:rFonts w:cs="Arial"/>
          <w:lang w:val="en-US"/>
        </w:rPr>
      </w:pPr>
      <w:r w:rsidRPr="0086729E">
        <w:rPr>
          <w:rFonts w:cs="Arial"/>
          <w:lang w:val="en-US"/>
        </w:rPr>
        <w:tab/>
        <w:t>The Respondents considered that financial security can be provided by:</w:t>
      </w:r>
    </w:p>
    <w:p w14:paraId="7730B7C5" w14:textId="77777777" w:rsidR="00AE56E8" w:rsidRPr="0086729E" w:rsidRDefault="00AE56E8" w:rsidP="00AE56E8">
      <w:pPr>
        <w:rPr>
          <w:rFonts w:cs="Arial"/>
          <w:lang w:val="en-US"/>
        </w:rPr>
      </w:pPr>
    </w:p>
    <w:p w14:paraId="230702B8" w14:textId="77777777" w:rsidR="00AE56E8" w:rsidRPr="0086729E" w:rsidRDefault="00AE56E8" w:rsidP="00EA4E66">
      <w:pPr>
        <w:pStyle w:val="Indent1"/>
        <w:rPr>
          <w:lang w:val="en-US"/>
        </w:rPr>
      </w:pPr>
      <w:r w:rsidRPr="0086729E">
        <w:rPr>
          <w:lang w:val="en-US"/>
        </w:rPr>
        <w:t>(a)</w:t>
      </w:r>
      <w:r w:rsidRPr="0086729E">
        <w:rPr>
          <w:lang w:val="en-US"/>
        </w:rPr>
        <w:tab/>
        <w:t xml:space="preserve">bodies that are considered secure which include: </w:t>
      </w:r>
    </w:p>
    <w:p w14:paraId="5F0013F3" w14:textId="77777777" w:rsidR="00AE56E8" w:rsidRPr="0086729E" w:rsidRDefault="00AE56E8" w:rsidP="00AE56E8">
      <w:pPr>
        <w:rPr>
          <w:rFonts w:cs="Arial"/>
          <w:lang w:val="en-US"/>
        </w:rPr>
      </w:pPr>
    </w:p>
    <w:p w14:paraId="210A3994" w14:textId="77777777" w:rsidR="00AE56E8" w:rsidRPr="0086729E" w:rsidRDefault="00AE56E8" w:rsidP="00AE56E8">
      <w:pPr>
        <w:pStyle w:val="Indent2"/>
        <w:rPr>
          <w:lang w:val="en-US"/>
        </w:rPr>
      </w:pPr>
      <w:r w:rsidRPr="0086729E">
        <w:rPr>
          <w:lang w:val="en-US"/>
        </w:rPr>
        <w:t>(i)</w:t>
      </w:r>
      <w:r w:rsidRPr="0086729E">
        <w:rPr>
          <w:lang w:val="en-US"/>
        </w:rPr>
        <w:tab/>
        <w:t xml:space="preserve">the Government; </w:t>
      </w:r>
    </w:p>
    <w:p w14:paraId="204FB69D" w14:textId="77777777" w:rsidR="00AE56E8" w:rsidRPr="0086729E" w:rsidRDefault="00AE56E8" w:rsidP="00AE56E8">
      <w:pPr>
        <w:pStyle w:val="Indent2"/>
        <w:rPr>
          <w:lang w:val="en-US"/>
        </w:rPr>
      </w:pPr>
    </w:p>
    <w:p w14:paraId="2D1D6254" w14:textId="31622067" w:rsidR="00AE56E8" w:rsidRPr="0086729E" w:rsidRDefault="00AE56E8" w:rsidP="00AE56E8">
      <w:pPr>
        <w:pStyle w:val="Indent2"/>
        <w:rPr>
          <w:lang w:val="en-US"/>
        </w:rPr>
      </w:pPr>
      <w:r w:rsidRPr="0086729E">
        <w:rPr>
          <w:lang w:val="en-US"/>
        </w:rPr>
        <w:t>(ii)</w:t>
      </w:r>
      <w:r w:rsidRPr="0086729E">
        <w:rPr>
          <w:lang w:val="en-US"/>
        </w:rPr>
        <w:tab/>
        <w:t xml:space="preserve">companies fully owned by the Government, eg the HKMC Annuity Limited (wholly owned by the Hong Kong Mortgage Corporation Limited which in turn is wholly owned by the Government through the Exchange Fund); </w:t>
      </w:r>
    </w:p>
    <w:p w14:paraId="5B51FA52" w14:textId="77777777" w:rsidR="00AE56E8" w:rsidRPr="0086729E" w:rsidRDefault="00AE56E8" w:rsidP="00AE56E8">
      <w:pPr>
        <w:pStyle w:val="Indent2"/>
        <w:rPr>
          <w:lang w:val="en-US"/>
        </w:rPr>
      </w:pPr>
    </w:p>
    <w:p w14:paraId="72FCF267" w14:textId="77777777" w:rsidR="00AE56E8" w:rsidRPr="0086729E" w:rsidRDefault="00AE56E8" w:rsidP="00AE56E8">
      <w:pPr>
        <w:pStyle w:val="Indent2"/>
        <w:rPr>
          <w:lang w:val="en-US"/>
        </w:rPr>
      </w:pPr>
      <w:r w:rsidRPr="0086729E">
        <w:rPr>
          <w:lang w:val="en-US"/>
        </w:rPr>
        <w:t>(iii)</w:t>
      </w:r>
      <w:r w:rsidRPr="0086729E">
        <w:rPr>
          <w:lang w:val="en-US"/>
        </w:rPr>
        <w:tab/>
        <w:t>statutory bodies;</w:t>
      </w:r>
    </w:p>
    <w:p w14:paraId="6CEC58B8" w14:textId="77777777" w:rsidR="00AE56E8" w:rsidRPr="0086729E" w:rsidRDefault="00AE56E8" w:rsidP="00AE56E8">
      <w:pPr>
        <w:pStyle w:val="Indent2"/>
        <w:rPr>
          <w:lang w:val="en-US"/>
        </w:rPr>
      </w:pPr>
    </w:p>
    <w:p w14:paraId="42147C10" w14:textId="77777777" w:rsidR="00AE56E8" w:rsidRPr="0086729E" w:rsidRDefault="00AE56E8" w:rsidP="00AE56E8">
      <w:pPr>
        <w:pStyle w:val="Indent2"/>
        <w:rPr>
          <w:lang w:val="en-US"/>
        </w:rPr>
      </w:pPr>
      <w:r w:rsidRPr="0086729E">
        <w:rPr>
          <w:lang w:val="en-US"/>
        </w:rPr>
        <w:t>(iv)</w:t>
      </w:r>
      <w:r w:rsidRPr="0086729E">
        <w:rPr>
          <w:lang w:val="en-US"/>
        </w:rPr>
        <w:tab/>
        <w:t xml:space="preserve">the Hospital Authority; </w:t>
      </w:r>
    </w:p>
    <w:p w14:paraId="26E836F9" w14:textId="77777777" w:rsidR="00AE56E8" w:rsidRPr="0086729E" w:rsidRDefault="00AE56E8" w:rsidP="00AE56E8">
      <w:pPr>
        <w:pStyle w:val="Indent2"/>
        <w:rPr>
          <w:lang w:val="en-US"/>
        </w:rPr>
      </w:pPr>
    </w:p>
    <w:p w14:paraId="3591BB09" w14:textId="77777777" w:rsidR="00AE56E8" w:rsidRPr="0086729E" w:rsidRDefault="00AE56E8" w:rsidP="00AE56E8">
      <w:pPr>
        <w:pStyle w:val="Indent2"/>
        <w:rPr>
          <w:lang w:val="en-US"/>
        </w:rPr>
      </w:pPr>
      <w:r w:rsidRPr="0086729E">
        <w:rPr>
          <w:lang w:val="en-US"/>
        </w:rPr>
        <w:t>(v)</w:t>
      </w:r>
      <w:r w:rsidRPr="0086729E">
        <w:rPr>
          <w:lang w:val="en-US"/>
        </w:rPr>
        <w:tab/>
        <w:t>MIB;</w:t>
      </w:r>
    </w:p>
    <w:p w14:paraId="32C1142C" w14:textId="77777777" w:rsidR="00AE56E8" w:rsidRPr="0086729E" w:rsidRDefault="00AE56E8" w:rsidP="00AE56E8">
      <w:pPr>
        <w:pStyle w:val="Indent2"/>
        <w:rPr>
          <w:lang w:val="en-US"/>
        </w:rPr>
      </w:pPr>
    </w:p>
    <w:p w14:paraId="25621132" w14:textId="77777777" w:rsidR="00AE56E8" w:rsidRPr="0086729E" w:rsidRDefault="00AE56E8" w:rsidP="00AE56E8">
      <w:pPr>
        <w:pStyle w:val="Indent1"/>
        <w:rPr>
          <w:lang w:val="en-US"/>
        </w:rPr>
      </w:pPr>
      <w:r w:rsidRPr="0086729E">
        <w:rPr>
          <w:lang w:val="en-US"/>
        </w:rPr>
        <w:t>(b)</w:t>
      </w:r>
      <w:r w:rsidRPr="0086729E">
        <w:rPr>
          <w:lang w:val="en-US"/>
        </w:rPr>
        <w:tab/>
        <w:t xml:space="preserve">guarantees from the Government; and </w:t>
      </w:r>
    </w:p>
    <w:p w14:paraId="3E3A806F" w14:textId="77777777" w:rsidR="00AE56E8" w:rsidRPr="0086729E" w:rsidRDefault="00AE56E8" w:rsidP="00AE56E8">
      <w:pPr>
        <w:pStyle w:val="Indent1"/>
        <w:rPr>
          <w:lang w:val="en-US"/>
        </w:rPr>
      </w:pPr>
    </w:p>
    <w:p w14:paraId="655DF0EC" w14:textId="3BF2F3CD" w:rsidR="00AE56E8" w:rsidRPr="0086729E" w:rsidRDefault="00AE56E8" w:rsidP="00194FC6">
      <w:pPr>
        <w:pStyle w:val="Indent1"/>
        <w:spacing w:after="120"/>
        <w:rPr>
          <w:lang w:val="en-US"/>
        </w:rPr>
      </w:pPr>
      <w:r w:rsidRPr="0086729E">
        <w:rPr>
          <w:lang w:val="en-US"/>
        </w:rPr>
        <w:t>(c)</w:t>
      </w:r>
      <w:r w:rsidRPr="0086729E">
        <w:rPr>
          <w:lang w:val="en-US"/>
        </w:rPr>
        <w:tab/>
        <w:t>funding of PPO</w:t>
      </w:r>
      <w:r w:rsidR="00B17AE6">
        <w:rPr>
          <w:lang w:val="en-US"/>
        </w:rPr>
        <w:t>s</w:t>
      </w:r>
      <w:r w:rsidRPr="0086729E">
        <w:rPr>
          <w:lang w:val="en-US"/>
        </w:rPr>
        <w:t xml:space="preserve"> through the use of </w:t>
      </w:r>
      <w:r w:rsidR="00115808">
        <w:rPr>
          <w:lang w:val="en-US"/>
        </w:rPr>
        <w:t>"</w:t>
      </w:r>
      <w:r w:rsidRPr="0086729E">
        <w:rPr>
          <w:i/>
          <w:lang w:val="en-US"/>
        </w:rPr>
        <w:t>trust</w:t>
      </w:r>
      <w:r w:rsidR="00115808">
        <w:rPr>
          <w:lang w:val="en-US"/>
        </w:rPr>
        <w:t>"</w:t>
      </w:r>
      <w:r w:rsidRPr="0086729E">
        <w:rPr>
          <w:lang w:val="en-US"/>
        </w:rPr>
        <w:t xml:space="preserve">. </w:t>
      </w:r>
    </w:p>
    <w:p w14:paraId="64DB2654" w14:textId="77777777" w:rsidR="00194FC6" w:rsidRDefault="00194FC6" w:rsidP="00194FC6">
      <w:pPr>
        <w:rPr>
          <w:rFonts w:cs="Arial"/>
          <w:lang w:val="en-US"/>
        </w:rPr>
      </w:pPr>
    </w:p>
    <w:p w14:paraId="3DC292A4" w14:textId="4787E18A" w:rsidR="00AE56E8" w:rsidRPr="009D05F4" w:rsidRDefault="00AE56E8" w:rsidP="00913C13">
      <w:pPr>
        <w:pStyle w:val="ListParagraph"/>
        <w:widowControl/>
        <w:numPr>
          <w:ilvl w:val="0"/>
          <w:numId w:val="5"/>
        </w:numPr>
        <w:tabs>
          <w:tab w:val="clear" w:pos="1418"/>
        </w:tabs>
        <w:adjustRightInd/>
        <w:ind w:left="0" w:firstLine="0"/>
        <w:rPr>
          <w:rFonts w:cs="Arial"/>
          <w:lang w:val="en-US"/>
        </w:rPr>
      </w:pPr>
      <w:r w:rsidRPr="009D05F4">
        <w:rPr>
          <w:rFonts w:cs="Arial"/>
          <w:lang w:val="en-US"/>
        </w:rPr>
        <w:tab/>
        <w:t xml:space="preserve">It is safe to conclude that the Government, </w:t>
      </w:r>
      <w:r w:rsidR="005F6268" w:rsidRPr="009D05F4">
        <w:rPr>
          <w:rFonts w:cs="Arial"/>
          <w:lang w:val="en-US"/>
        </w:rPr>
        <w:t xml:space="preserve">a </w:t>
      </w:r>
      <w:r w:rsidRPr="009D05F4">
        <w:rPr>
          <w:rFonts w:cs="Arial"/>
          <w:lang w:val="en-US"/>
        </w:rPr>
        <w:t>Government guarantee, statutory bod</w:t>
      </w:r>
      <w:r w:rsidR="009D05F4" w:rsidRPr="009D05F4">
        <w:rPr>
          <w:rFonts w:cs="Arial"/>
          <w:lang w:val="en-US"/>
        </w:rPr>
        <w:t>ies</w:t>
      </w:r>
      <w:r w:rsidRPr="009D05F4">
        <w:rPr>
          <w:rFonts w:cs="Arial"/>
          <w:lang w:val="en-US"/>
        </w:rPr>
        <w:t xml:space="preserve"> and </w:t>
      </w:r>
      <w:r w:rsidR="009D05F4" w:rsidRPr="009D05F4">
        <w:rPr>
          <w:rFonts w:cs="Arial"/>
          <w:lang w:val="en-US"/>
        </w:rPr>
        <w:t xml:space="preserve">a </w:t>
      </w:r>
      <w:r w:rsidRPr="009D05F4">
        <w:rPr>
          <w:rFonts w:cs="Arial"/>
          <w:lang w:val="en-US"/>
        </w:rPr>
        <w:t>statutory scheme of protection were considered by the majority of Respondents to be the best security for t</w:t>
      </w:r>
      <w:r w:rsidR="00223D9B">
        <w:rPr>
          <w:rFonts w:cs="Arial"/>
          <w:lang w:val="en-US"/>
        </w:rPr>
        <w:t>he continuity of PPO payments.</w:t>
      </w:r>
    </w:p>
    <w:p w14:paraId="0693BCD1" w14:textId="15BBD7A5" w:rsidR="003520F6" w:rsidRPr="005F6268" w:rsidRDefault="003520F6" w:rsidP="001F0D32">
      <w:pPr>
        <w:pStyle w:val="ListParagraph"/>
        <w:widowControl/>
        <w:tabs>
          <w:tab w:val="clear" w:pos="1418"/>
        </w:tabs>
        <w:adjustRightInd/>
        <w:ind w:left="0"/>
        <w:rPr>
          <w:rFonts w:cs="Arial"/>
          <w:lang w:val="en-US"/>
        </w:rPr>
      </w:pPr>
      <w:r w:rsidRPr="005F6268">
        <w:rPr>
          <w:rFonts w:cs="Arial"/>
          <w:lang w:val="en-US"/>
        </w:rPr>
        <w:tab/>
      </w:r>
    </w:p>
    <w:p w14:paraId="6CBF58AB" w14:textId="63F9B7E6" w:rsidR="003520F6" w:rsidRPr="00C72ED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00363617" w:rsidRPr="00C72ED6">
        <w:rPr>
          <w:rFonts w:cs="Arial"/>
          <w:lang w:val="en-US"/>
        </w:rPr>
        <w:t xml:space="preserve">Under the current bodily injury landscape and compensation schemes in Hong Kong and with the </w:t>
      </w:r>
      <w:r w:rsidR="00CC636B">
        <w:rPr>
          <w:rFonts w:cs="Arial"/>
          <w:lang w:val="en-US"/>
        </w:rPr>
        <w:t>absence</w:t>
      </w:r>
      <w:r w:rsidR="00363617" w:rsidRPr="00C72ED6">
        <w:rPr>
          <w:rFonts w:cs="Arial"/>
          <w:lang w:val="en-US"/>
        </w:rPr>
        <w:t xml:space="preserve"> of a suitable annuity market</w:t>
      </w:r>
      <w:r w:rsidR="00363617">
        <w:rPr>
          <w:rFonts w:cs="Arial"/>
          <w:lang w:val="en-US"/>
        </w:rPr>
        <w:t xml:space="preserve"> as well as </w:t>
      </w:r>
      <w:r w:rsidR="000138ED">
        <w:rPr>
          <w:rFonts w:cs="Arial"/>
          <w:lang w:val="en-US"/>
        </w:rPr>
        <w:t xml:space="preserve">the </w:t>
      </w:r>
      <w:r w:rsidR="00363617">
        <w:rPr>
          <w:rFonts w:cs="Arial"/>
          <w:lang w:val="en-US"/>
        </w:rPr>
        <w:t xml:space="preserve">lack of </w:t>
      </w:r>
      <w:r w:rsidR="005F6268">
        <w:rPr>
          <w:rFonts w:cs="Arial"/>
          <w:lang w:val="en-US"/>
        </w:rPr>
        <w:t xml:space="preserve">readiness expressed by </w:t>
      </w:r>
      <w:r w:rsidR="00363617">
        <w:rPr>
          <w:rFonts w:cs="Arial"/>
          <w:lang w:val="en-US"/>
        </w:rPr>
        <w:t xml:space="preserve">the insurance sector, </w:t>
      </w:r>
      <w:r w:rsidR="00363617" w:rsidRPr="00C72ED6">
        <w:rPr>
          <w:rFonts w:cs="Arial"/>
          <w:lang w:val="en-US"/>
        </w:rPr>
        <w:t>the award of a PPO would likely be restricted to certain classes of defendants (</w:t>
      </w:r>
      <w:r w:rsidR="005F6268">
        <w:rPr>
          <w:rFonts w:cs="Arial"/>
          <w:lang w:val="en-US"/>
        </w:rPr>
        <w:t xml:space="preserve">such as those funded by </w:t>
      </w:r>
      <w:r w:rsidR="00363617" w:rsidRPr="00C72ED6">
        <w:rPr>
          <w:rFonts w:cs="Arial"/>
          <w:lang w:val="en-US"/>
        </w:rPr>
        <w:t>the Government</w:t>
      </w:r>
      <w:r w:rsidR="005F6268">
        <w:rPr>
          <w:rFonts w:cs="Arial"/>
          <w:lang w:val="en-US"/>
        </w:rPr>
        <w:t xml:space="preserve"> or quasi-Government institutions or statutory bodies</w:t>
      </w:r>
      <w:r w:rsidR="00363617" w:rsidRPr="00C72ED6">
        <w:rPr>
          <w:rFonts w:cs="Arial"/>
          <w:lang w:val="en-US"/>
        </w:rPr>
        <w:t xml:space="preserve">) </w:t>
      </w:r>
      <w:r w:rsidR="00223D9B">
        <w:rPr>
          <w:rFonts w:cs="Arial"/>
          <w:lang w:val="en-US"/>
        </w:rPr>
        <w:t xml:space="preserve">which </w:t>
      </w:r>
      <w:r w:rsidR="00363617" w:rsidRPr="00C72ED6">
        <w:rPr>
          <w:rFonts w:cs="Arial"/>
          <w:lang w:val="en-US"/>
        </w:rPr>
        <w:t>are able to provide security or guarantee of the long-term periodical payments.</w:t>
      </w:r>
    </w:p>
    <w:p w14:paraId="03B9818D" w14:textId="77777777" w:rsidR="003520F6" w:rsidRPr="00C72ED6" w:rsidRDefault="003520F6" w:rsidP="003520F6">
      <w:pPr>
        <w:widowControl/>
        <w:tabs>
          <w:tab w:val="clear" w:pos="1418"/>
        </w:tabs>
        <w:adjustRightInd/>
        <w:rPr>
          <w:rFonts w:cs="Arial"/>
          <w:lang w:val="en-US"/>
        </w:rPr>
      </w:pPr>
    </w:p>
    <w:p w14:paraId="17D9C85A" w14:textId="0E2C464B" w:rsidR="001E0EE8" w:rsidRPr="00C72ED6" w:rsidRDefault="001E0EE8" w:rsidP="001E0EE8">
      <w:pPr>
        <w:pStyle w:val="ListParagraph"/>
        <w:widowControl/>
        <w:numPr>
          <w:ilvl w:val="0"/>
          <w:numId w:val="5"/>
        </w:numPr>
        <w:tabs>
          <w:tab w:val="clear" w:pos="1418"/>
        </w:tabs>
        <w:adjustRightInd/>
        <w:ind w:left="0" w:firstLine="0"/>
        <w:rPr>
          <w:rFonts w:cs="Arial"/>
          <w:lang w:val="en-US"/>
        </w:rPr>
      </w:pPr>
      <w:r>
        <w:rPr>
          <w:rFonts w:cs="Arial"/>
          <w:lang w:val="en-US"/>
        </w:rPr>
        <w:tab/>
      </w:r>
      <w:r w:rsidRPr="00C72ED6">
        <w:rPr>
          <w:rFonts w:cs="Arial"/>
          <w:lang w:val="en-US"/>
        </w:rPr>
        <w:t>PPOs can potentially leverage the existing compensation schemes of</w:t>
      </w:r>
      <w:r w:rsidRPr="00C72ED6">
        <w:t xml:space="preserve"> </w:t>
      </w:r>
      <w:r>
        <w:rPr>
          <w:rFonts w:cs="Arial"/>
          <w:lang w:val="en-US"/>
        </w:rPr>
        <w:t>MIB</w:t>
      </w:r>
      <w:r w:rsidRPr="00C72ED6">
        <w:rPr>
          <w:rFonts w:cs="Arial"/>
          <w:lang w:val="en-US"/>
        </w:rPr>
        <w:t xml:space="preserve">, </w:t>
      </w:r>
      <w:r>
        <w:rPr>
          <w:rFonts w:cs="Arial"/>
          <w:lang w:val="en-US"/>
        </w:rPr>
        <w:t xml:space="preserve">the </w:t>
      </w:r>
      <w:r w:rsidRPr="00C72ED6">
        <w:rPr>
          <w:rFonts w:cs="Arial"/>
          <w:lang w:val="en-US"/>
        </w:rPr>
        <w:t>Employees</w:t>
      </w:r>
      <w:r w:rsidR="00115808">
        <w:rPr>
          <w:rFonts w:cs="Arial"/>
          <w:lang w:val="en-US"/>
        </w:rPr>
        <w:t>'</w:t>
      </w:r>
      <w:r w:rsidRPr="00C72ED6">
        <w:rPr>
          <w:rFonts w:cs="Arial"/>
          <w:lang w:val="en-US"/>
        </w:rPr>
        <w:t xml:space="preserve"> Compensation Assistance Scheme </w:t>
      </w:r>
      <w:r>
        <w:rPr>
          <w:rFonts w:cs="Arial"/>
          <w:lang w:val="en-US"/>
        </w:rPr>
        <w:t>(</w:t>
      </w:r>
      <w:r w:rsidR="00115808">
        <w:rPr>
          <w:rFonts w:cs="Arial"/>
          <w:lang w:val="en-US"/>
        </w:rPr>
        <w:t>"</w:t>
      </w:r>
      <w:r w:rsidRPr="00C72ED6">
        <w:rPr>
          <w:rFonts w:cs="Arial"/>
          <w:b/>
          <w:lang w:val="en-US"/>
        </w:rPr>
        <w:t>ECAS</w:t>
      </w:r>
      <w:r w:rsidR="00115808">
        <w:rPr>
          <w:rFonts w:cs="Arial"/>
          <w:lang w:val="en-US"/>
        </w:rPr>
        <w:t>"</w:t>
      </w:r>
      <w:r>
        <w:rPr>
          <w:rFonts w:cs="Arial"/>
          <w:lang w:val="en-US"/>
        </w:rPr>
        <w:t>)</w:t>
      </w:r>
      <w:r w:rsidRPr="00C72ED6">
        <w:rPr>
          <w:rFonts w:cs="Arial"/>
          <w:lang w:val="en-US"/>
        </w:rPr>
        <w:t xml:space="preserve"> and </w:t>
      </w:r>
      <w:r w:rsidRPr="007C7C13">
        <w:rPr>
          <w:rFonts w:cs="Arial"/>
          <w:lang w:val="en-US"/>
        </w:rPr>
        <w:t>ECIIB</w:t>
      </w:r>
      <w:r w:rsidRPr="00C72ED6">
        <w:rPr>
          <w:rFonts w:cs="Arial"/>
          <w:lang w:val="en-US"/>
        </w:rPr>
        <w:t xml:space="preserve">.  However, this is not what these schemes were set out to achieve, and consequential amendments would be required to the relevant legislation and agreements among the Government, MIB or ECIIB and insurers, as well as the mandates and </w:t>
      </w:r>
      <w:r w:rsidRPr="002F79E5">
        <w:rPr>
          <w:rFonts w:cs="Arial"/>
          <w:i/>
          <w:lang w:val="en-US"/>
        </w:rPr>
        <w:t>modus operandi</w:t>
      </w:r>
      <w:r w:rsidRPr="00C72ED6">
        <w:rPr>
          <w:rFonts w:cs="Arial"/>
          <w:lang w:val="en-US"/>
        </w:rPr>
        <w:t xml:space="preserve"> of these bodies</w:t>
      </w:r>
      <w:r>
        <w:rPr>
          <w:rFonts w:cs="Arial"/>
          <w:lang w:val="en-US"/>
        </w:rPr>
        <w:t xml:space="preserve"> before they are ready for PPO</w:t>
      </w:r>
      <w:r w:rsidRPr="00C72ED6">
        <w:rPr>
          <w:rFonts w:cs="Arial"/>
          <w:lang w:val="en-US"/>
        </w:rPr>
        <w:t>.  It is also important to ascertain how fund size, funding mechanism and levies to be paid by the policy holders will be affected.</w:t>
      </w:r>
      <w:r w:rsidR="009D1280">
        <w:rPr>
          <w:rFonts w:cs="Arial"/>
          <w:lang w:val="en-US"/>
        </w:rPr>
        <w:t xml:space="preserve"> </w:t>
      </w:r>
      <w:r>
        <w:rPr>
          <w:rFonts w:cs="Arial"/>
          <w:lang w:val="en-US"/>
        </w:rPr>
        <w:t xml:space="preserve"> The foregoing needs to be satisfactorily addressed to prepare for the readiness for PPO.</w:t>
      </w:r>
    </w:p>
    <w:p w14:paraId="19548E27" w14:textId="77777777" w:rsidR="003520F6" w:rsidRPr="00C72ED6" w:rsidRDefault="003520F6" w:rsidP="003520F6">
      <w:pPr>
        <w:widowControl/>
        <w:tabs>
          <w:tab w:val="clear" w:pos="1418"/>
        </w:tabs>
        <w:adjustRightInd/>
        <w:rPr>
          <w:rFonts w:cs="Arial"/>
          <w:lang w:val="en-US"/>
        </w:rPr>
      </w:pPr>
    </w:p>
    <w:p w14:paraId="5BDE399F" w14:textId="79F24414" w:rsidR="003520F6"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r>
      <w:r w:rsidRPr="007C7C13">
        <w:rPr>
          <w:rFonts w:cs="Arial"/>
          <w:lang w:val="en-US"/>
        </w:rPr>
        <w:t>PPS</w:t>
      </w:r>
      <w:r w:rsidRPr="00C72ED6">
        <w:rPr>
          <w:rFonts w:cs="Arial"/>
          <w:lang w:val="en-US"/>
        </w:rPr>
        <w:t xml:space="preserve"> theoretically can be used as a platform to secure PPO payments for non-motor and non-employees</w:t>
      </w:r>
      <w:r w:rsidR="00115808">
        <w:rPr>
          <w:rFonts w:cs="Arial"/>
          <w:lang w:val="en-US"/>
        </w:rPr>
        <w:t>'</w:t>
      </w:r>
      <w:r w:rsidRPr="00C72ED6">
        <w:rPr>
          <w:rFonts w:cs="Arial"/>
          <w:lang w:val="en-US"/>
        </w:rPr>
        <w:t xml:space="preserve"> compensation claims.  However, this is not what the PPS is set out to achieve.</w:t>
      </w:r>
      <w:r w:rsidR="00817E65">
        <w:rPr>
          <w:rFonts w:cs="Arial"/>
          <w:lang w:val="en-US"/>
        </w:rPr>
        <w:t xml:space="preserve"> </w:t>
      </w:r>
    </w:p>
    <w:p w14:paraId="77555F3A" w14:textId="77777777" w:rsidR="003520F6" w:rsidRPr="00C72ED6" w:rsidRDefault="003520F6" w:rsidP="003520F6">
      <w:pPr>
        <w:widowControl/>
        <w:tabs>
          <w:tab w:val="clear" w:pos="1418"/>
        </w:tabs>
        <w:adjustRightInd/>
        <w:rPr>
          <w:rFonts w:cs="Arial"/>
          <w:lang w:val="en-US"/>
        </w:rPr>
      </w:pPr>
    </w:p>
    <w:p w14:paraId="21332570" w14:textId="6695F4B6" w:rsidR="003520F6" w:rsidRPr="00C72ED6" w:rsidRDefault="003520F6" w:rsidP="003068A2">
      <w:pPr>
        <w:pStyle w:val="ListParagraph"/>
        <w:widowControl/>
        <w:numPr>
          <w:ilvl w:val="0"/>
          <w:numId w:val="5"/>
        </w:numPr>
        <w:tabs>
          <w:tab w:val="clear" w:pos="1418"/>
        </w:tabs>
        <w:adjustRightInd/>
        <w:ind w:left="0" w:firstLine="0"/>
        <w:rPr>
          <w:rFonts w:cs="Arial"/>
          <w:lang w:val="en-US"/>
        </w:rPr>
      </w:pPr>
      <w:r w:rsidRPr="00C72ED6">
        <w:rPr>
          <w:rFonts w:cs="Arial"/>
          <w:lang w:val="en-US"/>
        </w:rPr>
        <w:tab/>
        <w:t xml:space="preserve">In relation to PPOs for medical malpractice claims, it is important to address the </w:t>
      </w:r>
      <w:r w:rsidR="00115808">
        <w:rPr>
          <w:rFonts w:cs="Arial"/>
          <w:lang w:val="en-US"/>
        </w:rPr>
        <w:t>"</w:t>
      </w:r>
      <w:r w:rsidRPr="00B72617">
        <w:rPr>
          <w:rFonts w:cs="Arial"/>
          <w:i/>
          <w:lang w:val="en-US"/>
        </w:rPr>
        <w:t>un-insured</w:t>
      </w:r>
      <w:r w:rsidR="00115808">
        <w:rPr>
          <w:rFonts w:cs="Arial"/>
          <w:lang w:val="en-US"/>
        </w:rPr>
        <w:t>"</w:t>
      </w:r>
      <w:r w:rsidRPr="00C72ED6">
        <w:rPr>
          <w:rFonts w:cs="Arial"/>
          <w:lang w:val="en-US"/>
        </w:rPr>
        <w:t xml:space="preserve"> or </w:t>
      </w:r>
      <w:r w:rsidR="00115808">
        <w:rPr>
          <w:rFonts w:cs="Arial"/>
          <w:lang w:val="en-US"/>
        </w:rPr>
        <w:t>"</w:t>
      </w:r>
      <w:r w:rsidRPr="00B72617">
        <w:rPr>
          <w:rFonts w:cs="Arial"/>
          <w:i/>
          <w:lang w:val="en-US"/>
        </w:rPr>
        <w:t>un-indemnified</w:t>
      </w:r>
      <w:r w:rsidR="00115808">
        <w:rPr>
          <w:rFonts w:cs="Arial"/>
          <w:lang w:val="en-US"/>
        </w:rPr>
        <w:t>"</w:t>
      </w:r>
      <w:r w:rsidRPr="00C72ED6">
        <w:rPr>
          <w:rFonts w:cs="Arial"/>
          <w:lang w:val="en-US"/>
        </w:rPr>
        <w:t xml:space="preserve"> doctors in clinical negligence awards as in the case of MIB, ECAS and ECIIB for motor and employees</w:t>
      </w:r>
      <w:r w:rsidR="00115808">
        <w:rPr>
          <w:rFonts w:cs="Arial"/>
          <w:lang w:val="en-US"/>
        </w:rPr>
        <w:t>'</w:t>
      </w:r>
      <w:r w:rsidRPr="00C72ED6">
        <w:rPr>
          <w:rFonts w:cs="Arial"/>
          <w:lang w:val="en-US"/>
        </w:rPr>
        <w:t xml:space="preserve"> compensation claimants. </w:t>
      </w:r>
    </w:p>
    <w:p w14:paraId="42300CC8" w14:textId="77777777" w:rsidR="003520F6" w:rsidRPr="00C72ED6" w:rsidRDefault="003520F6" w:rsidP="003520F6">
      <w:pPr>
        <w:widowControl/>
        <w:tabs>
          <w:tab w:val="clear" w:pos="1418"/>
        </w:tabs>
        <w:adjustRightInd/>
        <w:rPr>
          <w:rFonts w:cs="Arial"/>
          <w:lang w:val="en-US"/>
        </w:rPr>
      </w:pPr>
    </w:p>
    <w:p w14:paraId="3BF652B6" w14:textId="01802E50" w:rsidR="003520F6" w:rsidRDefault="003520F6" w:rsidP="00100D1E">
      <w:pPr>
        <w:pStyle w:val="ListParagraph"/>
        <w:widowControl/>
        <w:numPr>
          <w:ilvl w:val="0"/>
          <w:numId w:val="5"/>
        </w:numPr>
        <w:tabs>
          <w:tab w:val="clear" w:pos="1418"/>
        </w:tabs>
        <w:adjustRightInd/>
        <w:ind w:left="0" w:firstLine="0"/>
        <w:rPr>
          <w:rFonts w:cs="Arial"/>
          <w:lang w:val="en-US"/>
        </w:rPr>
      </w:pPr>
      <w:r w:rsidRPr="00817E65">
        <w:rPr>
          <w:rFonts w:cs="Arial"/>
          <w:lang w:val="en-US"/>
        </w:rPr>
        <w:tab/>
      </w:r>
      <w:r w:rsidR="006D634D" w:rsidRPr="00A55B8B">
        <w:rPr>
          <w:rFonts w:cs="Arial"/>
          <w:lang w:val="en-US"/>
        </w:rPr>
        <w:t>The operational feasibility and sustainability of any scheme for PPO</w:t>
      </w:r>
      <w:r w:rsidR="00B536C8">
        <w:rPr>
          <w:rFonts w:cs="Arial"/>
          <w:lang w:val="en-US"/>
        </w:rPr>
        <w:t>s</w:t>
      </w:r>
      <w:r w:rsidR="006D634D" w:rsidRPr="00A55B8B">
        <w:rPr>
          <w:rFonts w:cs="Arial"/>
          <w:lang w:val="en-US"/>
        </w:rPr>
        <w:t xml:space="preserve"> is of the utmost importance if it is to be successfully implemented. Sustainability is predicated on security in funding and the other side of the coin of funding is cost.  The cost of PPO</w:t>
      </w:r>
      <w:r w:rsidR="00B536C8">
        <w:rPr>
          <w:rFonts w:cs="Arial"/>
          <w:lang w:val="en-US"/>
        </w:rPr>
        <w:t>s</w:t>
      </w:r>
      <w:r w:rsidR="006D634D" w:rsidRPr="00A55B8B">
        <w:rPr>
          <w:rFonts w:cs="Arial"/>
          <w:lang w:val="en-US"/>
        </w:rPr>
        <w:t xml:space="preserve"> is driven by the new uncertainties arising from the nature of PPOs versus lump sum awards.  A PPO payer needs to be able to address these uncertainties in estimating the fund size and devising a robust funding mechanism with the support of the relevant stakeholders</w:t>
      </w:r>
      <w:r w:rsidR="006D634D">
        <w:rPr>
          <w:rFonts w:cs="Arial"/>
          <w:lang w:val="en-US"/>
        </w:rPr>
        <w:t xml:space="preserve">. </w:t>
      </w:r>
      <w:r w:rsidR="006D634D" w:rsidRPr="00A55B8B">
        <w:rPr>
          <w:rFonts w:cs="Arial"/>
          <w:lang w:val="en-US"/>
        </w:rPr>
        <w:t xml:space="preserve"> </w:t>
      </w:r>
      <w:r w:rsidR="00363617" w:rsidRPr="00A55B8B">
        <w:rPr>
          <w:rFonts w:cs="Arial"/>
          <w:lang w:val="en-US"/>
        </w:rPr>
        <w:t xml:space="preserve">This underscores the direction </w:t>
      </w:r>
      <w:r w:rsidR="002F79E5">
        <w:rPr>
          <w:rFonts w:cs="Arial"/>
          <w:lang w:val="en-US"/>
        </w:rPr>
        <w:t xml:space="preserve">in which </w:t>
      </w:r>
      <w:r w:rsidR="00363617" w:rsidRPr="00A55B8B">
        <w:rPr>
          <w:rFonts w:cs="Arial"/>
          <w:lang w:val="en-US"/>
        </w:rPr>
        <w:t xml:space="preserve">a PPO payer </w:t>
      </w:r>
      <w:r w:rsidR="002F79E5">
        <w:rPr>
          <w:rFonts w:cs="Arial"/>
          <w:lang w:val="en-US"/>
        </w:rPr>
        <w:t xml:space="preserve">would need to take </w:t>
      </w:r>
      <w:r w:rsidR="00363617" w:rsidRPr="00A55B8B">
        <w:rPr>
          <w:rFonts w:cs="Arial"/>
          <w:lang w:val="en-US"/>
        </w:rPr>
        <w:t xml:space="preserve">to </w:t>
      </w:r>
      <w:r w:rsidR="002F79E5">
        <w:rPr>
          <w:rFonts w:cs="Arial"/>
          <w:lang w:val="en-US"/>
        </w:rPr>
        <w:t>attain the required level of readiness for PPO</w:t>
      </w:r>
      <w:r w:rsidR="00B536C8">
        <w:rPr>
          <w:rFonts w:cs="Arial"/>
          <w:lang w:val="en-US"/>
        </w:rPr>
        <w:t>s</w:t>
      </w:r>
      <w:r w:rsidR="002F79E5">
        <w:rPr>
          <w:rFonts w:cs="Arial"/>
          <w:lang w:val="en-US"/>
        </w:rPr>
        <w:t xml:space="preserve">.  Although jurisprudence consideration lies at the heart of our </w:t>
      </w:r>
      <w:r w:rsidR="009D05F4">
        <w:rPr>
          <w:rFonts w:cs="Arial"/>
          <w:lang w:val="en-US"/>
        </w:rPr>
        <w:t>deliberation</w:t>
      </w:r>
      <w:r w:rsidR="002F79E5">
        <w:rPr>
          <w:rFonts w:cs="Arial"/>
          <w:lang w:val="en-US"/>
        </w:rPr>
        <w:t xml:space="preserve">, we note that the </w:t>
      </w:r>
      <w:r w:rsidR="00363617" w:rsidRPr="00A55B8B">
        <w:rPr>
          <w:rFonts w:cs="Arial"/>
          <w:lang w:val="en-US"/>
        </w:rPr>
        <w:t>stakeholders</w:t>
      </w:r>
      <w:r w:rsidR="002F79E5">
        <w:rPr>
          <w:rFonts w:cs="Arial"/>
          <w:lang w:val="en-US"/>
        </w:rPr>
        <w:t xml:space="preserve"> will need to build readiness to address these new challenges before they will be ready for PPO</w:t>
      </w:r>
      <w:r w:rsidR="00B536C8">
        <w:rPr>
          <w:rFonts w:cs="Arial"/>
          <w:lang w:val="en-US"/>
        </w:rPr>
        <w:t>s.</w:t>
      </w:r>
    </w:p>
    <w:p w14:paraId="7F8D2444" w14:textId="77777777" w:rsidR="00817E65" w:rsidRPr="00817E65" w:rsidRDefault="00817E65" w:rsidP="00817E65">
      <w:pPr>
        <w:widowControl/>
        <w:tabs>
          <w:tab w:val="clear" w:pos="1418"/>
        </w:tabs>
        <w:adjustRightInd/>
        <w:rPr>
          <w:rFonts w:cs="Arial"/>
          <w:lang w:val="en-US"/>
        </w:rPr>
      </w:pPr>
    </w:p>
    <w:p w14:paraId="73CFE2FC" w14:textId="6D6F0FC9" w:rsidR="003520F6" w:rsidRPr="00DB6AF5" w:rsidRDefault="003520F6" w:rsidP="005108F4">
      <w:pPr>
        <w:pStyle w:val="ListParagraph"/>
        <w:keepNext/>
        <w:keepLines/>
        <w:widowControl/>
        <w:numPr>
          <w:ilvl w:val="0"/>
          <w:numId w:val="5"/>
        </w:numPr>
        <w:tabs>
          <w:tab w:val="clear" w:pos="1418"/>
        </w:tabs>
        <w:adjustRightInd/>
        <w:ind w:left="0" w:firstLine="0"/>
        <w:rPr>
          <w:rFonts w:cs="Arial"/>
          <w:lang w:val="en-US"/>
        </w:rPr>
      </w:pPr>
      <w:r w:rsidRPr="00DB6AF5">
        <w:rPr>
          <w:rFonts w:cs="Arial"/>
          <w:lang w:val="en-US"/>
        </w:rPr>
        <w:tab/>
        <w:t xml:space="preserve">To take </w:t>
      </w:r>
      <w:r w:rsidR="00096ACF">
        <w:rPr>
          <w:rFonts w:cs="Arial"/>
          <w:lang w:val="en-US"/>
        </w:rPr>
        <w:t>Question 5</w:t>
      </w:r>
      <w:r w:rsidRPr="00DB6AF5">
        <w:rPr>
          <w:rFonts w:cs="Arial"/>
          <w:lang w:val="en-US"/>
        </w:rPr>
        <w:t xml:space="preserve"> forward, we have considered two options</w:t>
      </w:r>
      <w:r>
        <w:rPr>
          <w:rFonts w:cs="Arial"/>
          <w:lang w:val="en-US"/>
        </w:rPr>
        <w:t xml:space="preserve"> which warrant further detailed evaluation</w:t>
      </w:r>
      <w:r w:rsidRPr="00DB6AF5">
        <w:rPr>
          <w:rFonts w:cs="Arial"/>
          <w:lang w:val="en-US"/>
        </w:rPr>
        <w:t>:</w:t>
      </w:r>
    </w:p>
    <w:p w14:paraId="0943D9B5" w14:textId="77777777" w:rsidR="003520F6" w:rsidRPr="00DB6AF5" w:rsidRDefault="003520F6" w:rsidP="005108F4">
      <w:pPr>
        <w:keepNext/>
        <w:keepLines/>
        <w:rPr>
          <w:rFonts w:cs="Arial"/>
          <w:lang w:val="en-US"/>
        </w:rPr>
      </w:pPr>
    </w:p>
    <w:p w14:paraId="0B03A77C" w14:textId="77777777" w:rsidR="003520F6" w:rsidRPr="00DB6AF5" w:rsidRDefault="003520F6" w:rsidP="005108F4">
      <w:pPr>
        <w:pStyle w:val="Indent1"/>
        <w:keepNext/>
        <w:keepLines/>
        <w:rPr>
          <w:lang w:val="en-US"/>
        </w:rPr>
      </w:pPr>
      <w:r>
        <w:rPr>
          <w:lang w:val="en-US"/>
        </w:rPr>
        <w:t>(</w:t>
      </w:r>
      <w:r w:rsidRPr="00DB6AF5">
        <w:rPr>
          <w:lang w:val="en-US"/>
        </w:rPr>
        <w:t>a)</w:t>
      </w:r>
      <w:r w:rsidRPr="00DB6AF5">
        <w:rPr>
          <w:lang w:val="en-US"/>
        </w:rPr>
        <w:tab/>
        <w:t>Option A</w:t>
      </w:r>
    </w:p>
    <w:p w14:paraId="263CF267" w14:textId="77777777" w:rsidR="003520F6" w:rsidRDefault="003520F6" w:rsidP="005108F4">
      <w:pPr>
        <w:pStyle w:val="Indent2"/>
        <w:keepNext/>
        <w:keepLines/>
        <w:rPr>
          <w:lang w:val="en-US"/>
        </w:rPr>
      </w:pPr>
    </w:p>
    <w:p w14:paraId="0B2C0F4C" w14:textId="17C7972D" w:rsidR="003520F6" w:rsidRPr="00DB6AF5" w:rsidRDefault="003520F6" w:rsidP="005108F4">
      <w:pPr>
        <w:pStyle w:val="Indent2"/>
        <w:keepNext/>
        <w:keepLines/>
        <w:rPr>
          <w:lang w:val="en-US"/>
        </w:rPr>
      </w:pPr>
      <w:r>
        <w:rPr>
          <w:lang w:val="en-US"/>
        </w:rPr>
        <w:t>(</w:t>
      </w:r>
      <w:r w:rsidRPr="00DB6AF5">
        <w:rPr>
          <w:lang w:val="en-US"/>
        </w:rPr>
        <w:t>i)</w:t>
      </w:r>
      <w:r w:rsidRPr="00DB6AF5">
        <w:rPr>
          <w:lang w:val="en-US"/>
        </w:rPr>
        <w:tab/>
        <w:t>Set up a new independent statutory body with Government guarantee to administer solely PPO</w:t>
      </w:r>
      <w:r w:rsidR="00B536C8">
        <w:rPr>
          <w:lang w:val="en-US"/>
        </w:rPr>
        <w:t>s</w:t>
      </w:r>
      <w:r>
        <w:rPr>
          <w:lang w:val="en-US"/>
        </w:rPr>
        <w:t>.</w:t>
      </w:r>
    </w:p>
    <w:p w14:paraId="34537ABA" w14:textId="77777777" w:rsidR="003520F6" w:rsidRDefault="003520F6" w:rsidP="005108F4">
      <w:pPr>
        <w:pStyle w:val="Indent2"/>
        <w:keepNext/>
        <w:keepLines/>
        <w:rPr>
          <w:lang w:val="en-US"/>
        </w:rPr>
      </w:pPr>
    </w:p>
    <w:p w14:paraId="0197FA2E" w14:textId="679949F8" w:rsidR="003520F6" w:rsidRPr="00DB6AF5" w:rsidRDefault="003520F6" w:rsidP="003520F6">
      <w:pPr>
        <w:pStyle w:val="Indent2"/>
        <w:rPr>
          <w:lang w:val="en-US"/>
        </w:rPr>
      </w:pPr>
      <w:r>
        <w:rPr>
          <w:lang w:val="en-US"/>
        </w:rPr>
        <w:t>(</w:t>
      </w:r>
      <w:r w:rsidRPr="00DB6AF5">
        <w:rPr>
          <w:lang w:val="en-US"/>
        </w:rPr>
        <w:t>ii)</w:t>
      </w:r>
      <w:r w:rsidRPr="00DB6AF5">
        <w:rPr>
          <w:lang w:val="en-US"/>
        </w:rPr>
        <w:tab/>
        <w:t>Need to align the existing compensa</w:t>
      </w:r>
      <w:r>
        <w:rPr>
          <w:lang w:val="en-US"/>
        </w:rPr>
        <w:t xml:space="preserve">tion schemes through requisite </w:t>
      </w:r>
      <w:r w:rsidRPr="00DB6AF5">
        <w:rPr>
          <w:lang w:val="en-US"/>
        </w:rPr>
        <w:t>amendments</w:t>
      </w:r>
      <w:r>
        <w:rPr>
          <w:lang w:val="en-US"/>
        </w:rPr>
        <w:t xml:space="preserve"> in the relevant legislation as well as agreements between the Government, and MIB or ECIIB.</w:t>
      </w:r>
    </w:p>
    <w:p w14:paraId="3E656A90" w14:textId="77777777" w:rsidR="003520F6" w:rsidRDefault="003520F6" w:rsidP="003520F6">
      <w:pPr>
        <w:pStyle w:val="Indent2"/>
        <w:rPr>
          <w:lang w:val="en-US"/>
        </w:rPr>
      </w:pPr>
    </w:p>
    <w:p w14:paraId="53B5E477" w14:textId="33429AAB" w:rsidR="003520F6" w:rsidRPr="00DB6AF5" w:rsidRDefault="003520F6" w:rsidP="003520F6">
      <w:pPr>
        <w:pStyle w:val="Indent2"/>
        <w:rPr>
          <w:lang w:val="en-US"/>
        </w:rPr>
      </w:pPr>
      <w:r>
        <w:rPr>
          <w:lang w:val="en-US"/>
        </w:rPr>
        <w:t>(</w:t>
      </w:r>
      <w:r w:rsidR="002F79E5">
        <w:rPr>
          <w:lang w:val="en-US"/>
        </w:rPr>
        <w:t>iii</w:t>
      </w:r>
      <w:r w:rsidRPr="00DB6AF5">
        <w:rPr>
          <w:lang w:val="en-US"/>
        </w:rPr>
        <w:t>)</w:t>
      </w:r>
      <w:r w:rsidRPr="00DB6AF5">
        <w:rPr>
          <w:lang w:val="en-US"/>
        </w:rPr>
        <w:tab/>
        <w:t>Need to assess financial implication on fund size and levy required</w:t>
      </w:r>
      <w:r>
        <w:rPr>
          <w:lang w:val="en-US"/>
        </w:rPr>
        <w:t>.</w:t>
      </w:r>
    </w:p>
    <w:p w14:paraId="040A797C" w14:textId="77777777" w:rsidR="003520F6" w:rsidRDefault="003520F6" w:rsidP="003520F6">
      <w:pPr>
        <w:pStyle w:val="Indent2"/>
        <w:rPr>
          <w:lang w:val="en-US"/>
        </w:rPr>
      </w:pPr>
    </w:p>
    <w:p w14:paraId="20E32BC4" w14:textId="2728C987" w:rsidR="003520F6" w:rsidRPr="00DB6AF5" w:rsidRDefault="003520F6" w:rsidP="003520F6">
      <w:pPr>
        <w:pStyle w:val="Indent2"/>
        <w:keepNext/>
        <w:keepLines/>
        <w:rPr>
          <w:lang w:val="en-US"/>
        </w:rPr>
      </w:pPr>
      <w:r>
        <w:rPr>
          <w:lang w:val="en-US"/>
        </w:rPr>
        <w:t>(</w:t>
      </w:r>
      <w:r w:rsidR="002F79E5">
        <w:rPr>
          <w:lang w:val="en-US"/>
        </w:rPr>
        <w:t>iv</w:t>
      </w:r>
      <w:r w:rsidRPr="00DB6AF5">
        <w:rPr>
          <w:lang w:val="en-US"/>
        </w:rPr>
        <w:t>)</w:t>
      </w:r>
      <w:r w:rsidRPr="00DB6AF5">
        <w:rPr>
          <w:lang w:val="en-US"/>
        </w:rPr>
        <w:tab/>
        <w:t xml:space="preserve">Pros: </w:t>
      </w:r>
    </w:p>
    <w:p w14:paraId="4612CE00" w14:textId="77777777" w:rsidR="003520F6" w:rsidRPr="00DB6AF5" w:rsidRDefault="003520F6" w:rsidP="003520F6">
      <w:pPr>
        <w:keepNext/>
        <w:keepLines/>
        <w:ind w:left="2160"/>
        <w:rPr>
          <w:rFonts w:cs="Arial"/>
          <w:lang w:val="en-US"/>
        </w:rPr>
      </w:pPr>
      <w:r w:rsidRPr="00DB6AF5">
        <w:rPr>
          <w:rFonts w:cs="Arial"/>
          <w:lang w:val="en-US"/>
        </w:rPr>
        <w:t>•</w:t>
      </w:r>
      <w:r w:rsidRPr="00DB6AF5">
        <w:rPr>
          <w:rFonts w:cs="Arial"/>
          <w:lang w:val="en-US"/>
        </w:rPr>
        <w:tab/>
        <w:t>Government guarantee and hence fully secure</w:t>
      </w:r>
      <w:r>
        <w:rPr>
          <w:rFonts w:cs="Arial"/>
          <w:lang w:val="en-US"/>
        </w:rPr>
        <w:t>.</w:t>
      </w:r>
    </w:p>
    <w:p w14:paraId="5A75C0FF" w14:textId="3C8C739E" w:rsidR="003520F6" w:rsidRPr="00DB6AF5" w:rsidRDefault="003520F6" w:rsidP="003520F6">
      <w:pPr>
        <w:ind w:left="2160"/>
        <w:rPr>
          <w:rFonts w:cs="Arial"/>
          <w:lang w:val="en-US"/>
        </w:rPr>
      </w:pPr>
      <w:r w:rsidRPr="00DB6AF5">
        <w:rPr>
          <w:rFonts w:cs="Arial"/>
          <w:lang w:val="en-US"/>
        </w:rPr>
        <w:t>•</w:t>
      </w:r>
      <w:r w:rsidRPr="00DB6AF5">
        <w:rPr>
          <w:rFonts w:cs="Arial"/>
          <w:lang w:val="en-US"/>
        </w:rPr>
        <w:tab/>
        <w:t>Full transparency on cost of PPO</w:t>
      </w:r>
      <w:r w:rsidR="00B536C8">
        <w:rPr>
          <w:rFonts w:cs="Arial"/>
          <w:lang w:val="en-US"/>
        </w:rPr>
        <w:t>s</w:t>
      </w:r>
      <w:r w:rsidRPr="00DB6AF5">
        <w:rPr>
          <w:rFonts w:cs="Arial"/>
          <w:lang w:val="en-US"/>
        </w:rPr>
        <w:t xml:space="preserve"> to society</w:t>
      </w:r>
      <w:r>
        <w:rPr>
          <w:rFonts w:cs="Arial"/>
          <w:lang w:val="en-US"/>
        </w:rPr>
        <w:t>.</w:t>
      </w:r>
    </w:p>
    <w:p w14:paraId="7279DF29" w14:textId="77777777" w:rsidR="003520F6" w:rsidRDefault="003520F6" w:rsidP="003520F6">
      <w:pPr>
        <w:rPr>
          <w:rFonts w:cs="Arial"/>
          <w:lang w:val="en-US"/>
        </w:rPr>
      </w:pPr>
      <w:r>
        <w:rPr>
          <w:rFonts w:cs="Arial"/>
          <w:lang w:val="en-US"/>
        </w:rPr>
        <w:tab/>
      </w:r>
    </w:p>
    <w:p w14:paraId="487310A5" w14:textId="4DF312D7" w:rsidR="003520F6" w:rsidRPr="00DB6AF5" w:rsidRDefault="003520F6" w:rsidP="00817E65">
      <w:pPr>
        <w:pStyle w:val="Indent2"/>
        <w:keepNext/>
        <w:keepLines/>
        <w:rPr>
          <w:rFonts w:cs="Arial"/>
          <w:lang w:val="en-US"/>
        </w:rPr>
      </w:pPr>
      <w:r>
        <w:rPr>
          <w:rFonts w:cs="Arial"/>
          <w:lang w:val="en-US"/>
        </w:rPr>
        <w:t>(</w:t>
      </w:r>
      <w:r w:rsidRPr="00DB6AF5">
        <w:rPr>
          <w:rFonts w:cs="Arial"/>
          <w:lang w:val="en-US"/>
        </w:rPr>
        <w:t>v)</w:t>
      </w:r>
      <w:r w:rsidRPr="00DB6AF5">
        <w:rPr>
          <w:rFonts w:cs="Arial"/>
          <w:lang w:val="en-US"/>
        </w:rPr>
        <w:tab/>
      </w:r>
      <w:r w:rsidRPr="00442819">
        <w:rPr>
          <w:lang w:val="en-US"/>
        </w:rPr>
        <w:t>Cons</w:t>
      </w:r>
      <w:r>
        <w:rPr>
          <w:lang w:val="en-US"/>
        </w:rPr>
        <w:t>:</w:t>
      </w:r>
    </w:p>
    <w:p w14:paraId="01526163" w14:textId="77777777" w:rsidR="003520F6" w:rsidRPr="00DB6AF5" w:rsidRDefault="003520F6" w:rsidP="00817E65">
      <w:pPr>
        <w:keepLines/>
        <w:ind w:left="2880" w:hanging="720"/>
        <w:rPr>
          <w:rFonts w:cs="Arial"/>
          <w:lang w:val="en-US"/>
        </w:rPr>
      </w:pPr>
      <w:r w:rsidRPr="00DB6AF5">
        <w:rPr>
          <w:rFonts w:cs="Arial"/>
          <w:lang w:val="en-US"/>
        </w:rPr>
        <w:t>•</w:t>
      </w:r>
      <w:r w:rsidRPr="00DB6AF5">
        <w:rPr>
          <w:rFonts w:cs="Arial"/>
          <w:lang w:val="en-US"/>
        </w:rPr>
        <w:tab/>
        <w:t>Cost</w:t>
      </w:r>
      <w:r>
        <w:rPr>
          <w:rFonts w:cs="Arial"/>
          <w:lang w:val="en-US"/>
        </w:rPr>
        <w:t>-</w:t>
      </w:r>
      <w:r w:rsidRPr="00DB6AF5">
        <w:rPr>
          <w:rFonts w:cs="Arial"/>
          <w:lang w:val="en-US"/>
        </w:rPr>
        <w:t>efficiency likely to be low</w:t>
      </w:r>
      <w:r>
        <w:rPr>
          <w:rFonts w:cs="Arial"/>
          <w:lang w:val="en-US"/>
        </w:rPr>
        <w:t xml:space="preserve"> given the anticipated low number of PPO cases against the fixed cost of a standalone statutory body.</w:t>
      </w:r>
    </w:p>
    <w:p w14:paraId="506EC577" w14:textId="77777777" w:rsidR="003520F6" w:rsidRPr="00DB6AF5" w:rsidRDefault="003520F6" w:rsidP="003520F6">
      <w:pPr>
        <w:ind w:left="2160"/>
        <w:rPr>
          <w:rFonts w:cs="Arial"/>
          <w:lang w:val="en-US"/>
        </w:rPr>
      </w:pPr>
      <w:r w:rsidRPr="00DB6AF5">
        <w:rPr>
          <w:rFonts w:cs="Arial"/>
          <w:lang w:val="en-US"/>
        </w:rPr>
        <w:t>•</w:t>
      </w:r>
      <w:r w:rsidRPr="00DB6AF5">
        <w:rPr>
          <w:rFonts w:cs="Arial"/>
          <w:lang w:val="en-US"/>
        </w:rPr>
        <w:tab/>
        <w:t>Funding takes time to build</w:t>
      </w:r>
      <w:r>
        <w:rPr>
          <w:rFonts w:cs="Arial"/>
          <w:lang w:val="en-US"/>
        </w:rPr>
        <w:t>.</w:t>
      </w:r>
      <w:r w:rsidRPr="00DB6AF5">
        <w:rPr>
          <w:rFonts w:cs="Arial"/>
          <w:lang w:val="en-US"/>
        </w:rPr>
        <w:t xml:space="preserve"> </w:t>
      </w:r>
    </w:p>
    <w:p w14:paraId="449A5068" w14:textId="77777777" w:rsidR="003520F6" w:rsidRPr="00DB6AF5" w:rsidRDefault="003520F6" w:rsidP="003520F6">
      <w:pPr>
        <w:ind w:left="2880" w:hanging="720"/>
        <w:rPr>
          <w:rFonts w:cs="Arial"/>
          <w:lang w:val="en-US"/>
        </w:rPr>
      </w:pPr>
      <w:r w:rsidRPr="00DB6AF5">
        <w:rPr>
          <w:rFonts w:cs="Arial"/>
          <w:lang w:val="en-US"/>
        </w:rPr>
        <w:t>•</w:t>
      </w:r>
      <w:r w:rsidRPr="00DB6AF5">
        <w:rPr>
          <w:rFonts w:cs="Arial"/>
          <w:lang w:val="en-US"/>
        </w:rPr>
        <w:tab/>
        <w:t>Additional levy would most likely be required</w:t>
      </w:r>
      <w:r>
        <w:rPr>
          <w:rFonts w:cs="Arial"/>
          <w:lang w:val="en-US"/>
        </w:rPr>
        <w:t>.</w:t>
      </w:r>
      <w:r w:rsidRPr="00DB6AF5">
        <w:rPr>
          <w:rFonts w:cs="Arial"/>
          <w:lang w:val="en-US"/>
        </w:rPr>
        <w:t xml:space="preserve"> </w:t>
      </w:r>
    </w:p>
    <w:p w14:paraId="6F0B737B" w14:textId="77777777" w:rsidR="003520F6" w:rsidRPr="00DB6AF5" w:rsidRDefault="003520F6" w:rsidP="003520F6">
      <w:pPr>
        <w:rPr>
          <w:rFonts w:cs="Arial"/>
          <w:lang w:val="en-US"/>
        </w:rPr>
      </w:pPr>
    </w:p>
    <w:p w14:paraId="255A1D63" w14:textId="77777777" w:rsidR="003520F6" w:rsidRPr="00DB6AF5" w:rsidRDefault="003520F6" w:rsidP="003520F6">
      <w:pPr>
        <w:pStyle w:val="Indent1"/>
        <w:rPr>
          <w:rFonts w:cs="Arial"/>
          <w:lang w:val="en-US"/>
        </w:rPr>
      </w:pPr>
      <w:r>
        <w:rPr>
          <w:rFonts w:cs="Arial"/>
          <w:lang w:val="en-US"/>
        </w:rPr>
        <w:t>(</w:t>
      </w:r>
      <w:r w:rsidRPr="00DB6AF5">
        <w:rPr>
          <w:rFonts w:cs="Arial"/>
          <w:lang w:val="en-US"/>
        </w:rPr>
        <w:t>b)</w:t>
      </w:r>
      <w:r w:rsidRPr="00DB6AF5">
        <w:rPr>
          <w:rFonts w:cs="Arial"/>
          <w:lang w:val="en-US"/>
        </w:rPr>
        <w:tab/>
      </w:r>
      <w:r w:rsidRPr="00CE5928">
        <w:rPr>
          <w:lang w:val="en-US"/>
        </w:rPr>
        <w:t>Option</w:t>
      </w:r>
      <w:r w:rsidRPr="00DB6AF5">
        <w:rPr>
          <w:rFonts w:cs="Arial"/>
          <w:lang w:val="en-US"/>
        </w:rPr>
        <w:t xml:space="preserve"> B </w:t>
      </w:r>
    </w:p>
    <w:p w14:paraId="0D26216E" w14:textId="77777777" w:rsidR="003520F6" w:rsidRDefault="003520F6" w:rsidP="003520F6">
      <w:pPr>
        <w:pStyle w:val="Indent2"/>
        <w:rPr>
          <w:lang w:val="en-US"/>
        </w:rPr>
      </w:pPr>
    </w:p>
    <w:p w14:paraId="0ADD30DC" w14:textId="1DCDD32E" w:rsidR="003520F6" w:rsidRPr="00DB6AF5" w:rsidRDefault="003520F6" w:rsidP="003520F6">
      <w:pPr>
        <w:pStyle w:val="Indent2"/>
        <w:rPr>
          <w:lang w:val="en-US"/>
        </w:rPr>
      </w:pPr>
      <w:r>
        <w:rPr>
          <w:lang w:val="en-US"/>
        </w:rPr>
        <w:t>(</w:t>
      </w:r>
      <w:r w:rsidRPr="00DB6AF5">
        <w:rPr>
          <w:lang w:val="en-US"/>
        </w:rPr>
        <w:t>i)</w:t>
      </w:r>
      <w:r w:rsidRPr="00DB6AF5">
        <w:rPr>
          <w:lang w:val="en-US"/>
        </w:rPr>
        <w:tab/>
      </w:r>
      <w:r>
        <w:rPr>
          <w:lang w:val="en-US"/>
        </w:rPr>
        <w:t>Harmonise</w:t>
      </w:r>
      <w:r w:rsidRPr="00DB6AF5">
        <w:rPr>
          <w:lang w:val="en-US"/>
        </w:rPr>
        <w:t xml:space="preserve"> the existing compensation schemes for motor and employees</w:t>
      </w:r>
      <w:r w:rsidR="00115808">
        <w:rPr>
          <w:lang w:val="en-US"/>
        </w:rPr>
        <w:t>'</w:t>
      </w:r>
      <w:r w:rsidRPr="00DB6AF5">
        <w:rPr>
          <w:lang w:val="en-US"/>
        </w:rPr>
        <w:t xml:space="preserve"> compensation claims and the impending PPS</w:t>
      </w:r>
      <w:r>
        <w:rPr>
          <w:lang w:val="en-US"/>
        </w:rPr>
        <w:t xml:space="preserve"> </w:t>
      </w:r>
      <w:r w:rsidRPr="00FC5D1F">
        <w:rPr>
          <w:lang w:val="en-US"/>
        </w:rPr>
        <w:t>(legislative intent permitting)</w:t>
      </w:r>
      <w:r w:rsidRPr="00DB6AF5">
        <w:rPr>
          <w:lang w:val="en-US"/>
        </w:rPr>
        <w:t xml:space="preserve"> to cover PPOs</w:t>
      </w:r>
      <w:r>
        <w:rPr>
          <w:lang w:val="en-US"/>
        </w:rPr>
        <w:t xml:space="preserve">. </w:t>
      </w:r>
    </w:p>
    <w:p w14:paraId="62A82EBA" w14:textId="77777777" w:rsidR="003520F6" w:rsidRDefault="003520F6" w:rsidP="003520F6">
      <w:pPr>
        <w:pStyle w:val="Indent2"/>
        <w:rPr>
          <w:lang w:val="en-US"/>
        </w:rPr>
      </w:pPr>
    </w:p>
    <w:p w14:paraId="6915885C" w14:textId="593E0BFB" w:rsidR="003520F6" w:rsidRPr="00DB6AF5" w:rsidRDefault="003520F6" w:rsidP="003520F6">
      <w:pPr>
        <w:pStyle w:val="Indent2"/>
        <w:rPr>
          <w:lang w:val="en-US"/>
        </w:rPr>
      </w:pPr>
      <w:r>
        <w:rPr>
          <w:lang w:val="en-US"/>
        </w:rPr>
        <w:t>(</w:t>
      </w:r>
      <w:r w:rsidRPr="00DB6AF5">
        <w:rPr>
          <w:lang w:val="en-US"/>
        </w:rPr>
        <w:t>ii)</w:t>
      </w:r>
      <w:r w:rsidRPr="00DB6AF5">
        <w:rPr>
          <w:lang w:val="en-US"/>
        </w:rPr>
        <w:tab/>
        <w:t>Need to align the existing compensa</w:t>
      </w:r>
      <w:r w:rsidR="00096ACF">
        <w:rPr>
          <w:lang w:val="en-US"/>
        </w:rPr>
        <w:t xml:space="preserve">tion schemes through requisite </w:t>
      </w:r>
      <w:r w:rsidRPr="00DB6AF5">
        <w:rPr>
          <w:lang w:val="en-US"/>
        </w:rPr>
        <w:t>amendments</w:t>
      </w:r>
      <w:r>
        <w:rPr>
          <w:lang w:val="en-US"/>
        </w:rPr>
        <w:t xml:space="preserve"> in the relevant legislation and agreements among the Government, and MIB or ECIIB, and insurers</w:t>
      </w:r>
      <w:r>
        <w:rPr>
          <w:rFonts w:cs="Arial"/>
          <w:lang w:val="en-US"/>
        </w:rPr>
        <w:t xml:space="preserve">, as well as the </w:t>
      </w:r>
      <w:r w:rsidRPr="00DB6AF5">
        <w:rPr>
          <w:rFonts w:cs="Arial"/>
          <w:lang w:val="en-US"/>
        </w:rPr>
        <w:t xml:space="preserve">mandates and </w:t>
      </w:r>
      <w:r w:rsidRPr="006F0F8C">
        <w:rPr>
          <w:rFonts w:cs="Arial"/>
          <w:i/>
          <w:lang w:val="en-US"/>
        </w:rPr>
        <w:t>modus operandi</w:t>
      </w:r>
      <w:r w:rsidRPr="00DB6AF5">
        <w:rPr>
          <w:rFonts w:cs="Arial"/>
          <w:lang w:val="en-US"/>
        </w:rPr>
        <w:t xml:space="preserve"> of these bodies</w:t>
      </w:r>
      <w:r>
        <w:rPr>
          <w:lang w:val="en-US"/>
        </w:rPr>
        <w:t>.</w:t>
      </w:r>
    </w:p>
    <w:p w14:paraId="7A1D15BF" w14:textId="77777777" w:rsidR="003520F6" w:rsidRDefault="003520F6" w:rsidP="003520F6">
      <w:pPr>
        <w:pStyle w:val="Indent2"/>
        <w:rPr>
          <w:lang w:val="en-US"/>
        </w:rPr>
      </w:pPr>
    </w:p>
    <w:p w14:paraId="48D848E8" w14:textId="77777777" w:rsidR="003520F6" w:rsidRPr="00DB6AF5" w:rsidRDefault="003520F6" w:rsidP="003520F6">
      <w:pPr>
        <w:pStyle w:val="Indent2"/>
        <w:rPr>
          <w:lang w:val="en-US"/>
        </w:rPr>
      </w:pPr>
      <w:r>
        <w:rPr>
          <w:lang w:val="en-US"/>
        </w:rPr>
        <w:t>(</w:t>
      </w:r>
      <w:r w:rsidRPr="00DB6AF5">
        <w:rPr>
          <w:lang w:val="en-US"/>
        </w:rPr>
        <w:t>iii)</w:t>
      </w:r>
      <w:r w:rsidRPr="00DB6AF5">
        <w:rPr>
          <w:lang w:val="en-US"/>
        </w:rPr>
        <w:tab/>
        <w:t>Need to assess financial implication on fund size</w:t>
      </w:r>
      <w:r>
        <w:rPr>
          <w:lang w:val="en-US"/>
        </w:rPr>
        <w:t>, funding mechanism</w:t>
      </w:r>
      <w:r w:rsidRPr="00DB6AF5">
        <w:rPr>
          <w:lang w:val="en-US"/>
        </w:rPr>
        <w:t xml:space="preserve"> and levy required</w:t>
      </w:r>
      <w:r>
        <w:rPr>
          <w:lang w:val="en-US"/>
        </w:rPr>
        <w:t>.</w:t>
      </w:r>
    </w:p>
    <w:p w14:paraId="2C71C453" w14:textId="77777777" w:rsidR="003520F6" w:rsidRDefault="003520F6" w:rsidP="003520F6">
      <w:pPr>
        <w:pStyle w:val="Indent2"/>
        <w:rPr>
          <w:lang w:val="en-US"/>
        </w:rPr>
      </w:pPr>
    </w:p>
    <w:p w14:paraId="2385680A" w14:textId="77777777" w:rsidR="003520F6" w:rsidRPr="00DB6AF5" w:rsidRDefault="003520F6" w:rsidP="003520F6">
      <w:pPr>
        <w:pStyle w:val="Indent2"/>
        <w:rPr>
          <w:lang w:val="en-US"/>
        </w:rPr>
      </w:pPr>
      <w:r>
        <w:rPr>
          <w:lang w:val="en-US"/>
        </w:rPr>
        <w:t>(</w:t>
      </w:r>
      <w:r w:rsidRPr="00DB6AF5">
        <w:rPr>
          <w:lang w:val="en-US"/>
        </w:rPr>
        <w:t>iv)</w:t>
      </w:r>
      <w:r w:rsidRPr="00DB6AF5">
        <w:rPr>
          <w:lang w:val="en-US"/>
        </w:rPr>
        <w:tab/>
        <w:t xml:space="preserve">Pros: </w:t>
      </w:r>
    </w:p>
    <w:p w14:paraId="4FF510D6" w14:textId="77777777" w:rsidR="003520F6" w:rsidRPr="00DB6AF5" w:rsidRDefault="003520F6" w:rsidP="003520F6">
      <w:pPr>
        <w:ind w:left="2880" w:hanging="720"/>
        <w:rPr>
          <w:rFonts w:cs="Arial"/>
          <w:lang w:val="en-US"/>
        </w:rPr>
      </w:pPr>
      <w:r w:rsidRPr="00DB6AF5">
        <w:rPr>
          <w:rFonts w:cs="Arial"/>
          <w:lang w:val="en-US"/>
        </w:rPr>
        <w:t>•</w:t>
      </w:r>
      <w:r w:rsidRPr="00DB6AF5">
        <w:rPr>
          <w:rFonts w:cs="Arial"/>
          <w:lang w:val="en-US"/>
        </w:rPr>
        <w:tab/>
        <w:t>Leverage existing funds of MIB, ECAS and ECIIB</w:t>
      </w:r>
      <w:r>
        <w:rPr>
          <w:rFonts w:cs="Arial"/>
          <w:lang w:val="en-US"/>
        </w:rPr>
        <w:t>.</w:t>
      </w:r>
      <w:r w:rsidRPr="00DB6AF5">
        <w:rPr>
          <w:rFonts w:cs="Arial"/>
          <w:lang w:val="en-US"/>
        </w:rPr>
        <w:t xml:space="preserve"> </w:t>
      </w:r>
    </w:p>
    <w:p w14:paraId="0793CD58" w14:textId="21E01597" w:rsidR="003520F6" w:rsidRDefault="003520F6" w:rsidP="003520F6">
      <w:pPr>
        <w:ind w:left="2880" w:hanging="720"/>
        <w:rPr>
          <w:lang w:val="en-US"/>
        </w:rPr>
      </w:pPr>
      <w:r w:rsidRPr="00DB6AF5">
        <w:rPr>
          <w:lang w:val="en-US"/>
        </w:rPr>
        <w:t>•</w:t>
      </w:r>
      <w:r w:rsidRPr="00DB6AF5">
        <w:rPr>
          <w:lang w:val="en-US"/>
        </w:rPr>
        <w:tab/>
        <w:t xml:space="preserve">Leverage </w:t>
      </w:r>
      <w:r w:rsidRPr="005F18A1">
        <w:rPr>
          <w:rFonts w:cs="Arial"/>
          <w:lang w:val="en-US"/>
        </w:rPr>
        <w:t>administrative</w:t>
      </w:r>
      <w:r w:rsidRPr="00DB6AF5">
        <w:rPr>
          <w:lang w:val="en-US"/>
        </w:rPr>
        <w:t xml:space="preserve"> mechanisms of existing schemes and cost</w:t>
      </w:r>
      <w:r>
        <w:rPr>
          <w:lang w:val="en-US"/>
        </w:rPr>
        <w:t>-</w:t>
      </w:r>
      <w:r w:rsidRPr="00DB6AF5">
        <w:rPr>
          <w:lang w:val="en-US"/>
        </w:rPr>
        <w:t xml:space="preserve">efficiency </w:t>
      </w:r>
      <w:r w:rsidR="00096ACF">
        <w:rPr>
          <w:lang w:val="en-US"/>
        </w:rPr>
        <w:t>are</w:t>
      </w:r>
      <w:r>
        <w:rPr>
          <w:lang w:val="en-US"/>
        </w:rPr>
        <w:t xml:space="preserve"> </w:t>
      </w:r>
      <w:r w:rsidRPr="00DB6AF5">
        <w:rPr>
          <w:lang w:val="en-US"/>
        </w:rPr>
        <w:t>likely to be higher.</w:t>
      </w:r>
    </w:p>
    <w:p w14:paraId="4C395626" w14:textId="77777777" w:rsidR="003520F6" w:rsidRDefault="003520F6" w:rsidP="003520F6">
      <w:pPr>
        <w:pStyle w:val="Indent2"/>
        <w:keepNext/>
        <w:keepLines/>
        <w:rPr>
          <w:lang w:val="en-US"/>
        </w:rPr>
      </w:pPr>
    </w:p>
    <w:p w14:paraId="4EAADDF3" w14:textId="77777777" w:rsidR="003520F6" w:rsidRPr="00DB6AF5" w:rsidRDefault="003520F6" w:rsidP="003520F6">
      <w:pPr>
        <w:pStyle w:val="Indent2"/>
        <w:keepNext/>
        <w:keepLines/>
        <w:rPr>
          <w:lang w:val="en-US"/>
        </w:rPr>
      </w:pPr>
      <w:r>
        <w:rPr>
          <w:lang w:val="en-US"/>
        </w:rPr>
        <w:t>(</w:t>
      </w:r>
      <w:r w:rsidRPr="00DB6AF5">
        <w:rPr>
          <w:lang w:val="en-US"/>
        </w:rPr>
        <w:t>v)</w:t>
      </w:r>
      <w:r w:rsidRPr="00DB6AF5">
        <w:rPr>
          <w:lang w:val="en-US"/>
        </w:rPr>
        <w:tab/>
        <w:t>Cons:</w:t>
      </w:r>
    </w:p>
    <w:p w14:paraId="0C118D92" w14:textId="21263D0D" w:rsidR="003520F6" w:rsidRPr="00DB6AF5" w:rsidRDefault="003520F6" w:rsidP="003520F6">
      <w:pPr>
        <w:ind w:left="2880" w:hanging="720"/>
        <w:rPr>
          <w:rFonts w:cs="Arial"/>
          <w:lang w:val="en-US"/>
        </w:rPr>
      </w:pPr>
      <w:r w:rsidRPr="00DB6AF5">
        <w:rPr>
          <w:rFonts w:cs="Arial"/>
          <w:lang w:val="en-US"/>
        </w:rPr>
        <w:t>•</w:t>
      </w:r>
      <w:r w:rsidRPr="00DB6AF5">
        <w:rPr>
          <w:rFonts w:cs="Arial"/>
          <w:lang w:val="en-US"/>
        </w:rPr>
        <w:tab/>
      </w:r>
      <w:r w:rsidR="006D634D">
        <w:rPr>
          <w:rFonts w:cs="Arial"/>
          <w:lang w:val="en-US"/>
        </w:rPr>
        <w:t>Although in theory this can be done, it will involve a s</w:t>
      </w:r>
      <w:r w:rsidR="006D634D" w:rsidRPr="00DB6AF5">
        <w:rPr>
          <w:rFonts w:cs="Arial"/>
          <w:lang w:val="en-US"/>
        </w:rPr>
        <w:t xml:space="preserve">ignificant exercise to </w:t>
      </w:r>
      <w:r w:rsidR="006D634D">
        <w:rPr>
          <w:rFonts w:cs="Arial"/>
          <w:lang w:val="en-US"/>
        </w:rPr>
        <w:t>harmonise</w:t>
      </w:r>
      <w:r w:rsidR="006D634D" w:rsidRPr="00DB6AF5">
        <w:rPr>
          <w:rFonts w:cs="Arial"/>
          <w:lang w:val="en-US"/>
        </w:rPr>
        <w:t xml:space="preserve"> the existing</w:t>
      </w:r>
      <w:r w:rsidRPr="00DB6AF5">
        <w:rPr>
          <w:rFonts w:cs="Arial"/>
          <w:lang w:val="en-US"/>
        </w:rPr>
        <w:t xml:space="preserve"> compensation schemes, mechanisms and the concomitant legislative amendments</w:t>
      </w:r>
      <w:r>
        <w:rPr>
          <w:rFonts w:cs="Arial"/>
          <w:lang w:val="en-US"/>
        </w:rPr>
        <w:t>.</w:t>
      </w:r>
    </w:p>
    <w:p w14:paraId="1870C8CC" w14:textId="77777777" w:rsidR="003520F6" w:rsidRPr="001C6AD3" w:rsidRDefault="003520F6" w:rsidP="003520F6">
      <w:pPr>
        <w:ind w:left="2880" w:hanging="720"/>
        <w:rPr>
          <w:rFonts w:cs="Arial"/>
          <w:lang w:val="en-US"/>
        </w:rPr>
      </w:pPr>
      <w:r w:rsidRPr="00DB6AF5">
        <w:rPr>
          <w:rFonts w:cs="Arial"/>
          <w:lang w:val="en-US"/>
        </w:rPr>
        <w:t>•</w:t>
      </w:r>
      <w:r w:rsidRPr="00DB6AF5">
        <w:rPr>
          <w:rFonts w:cs="Arial"/>
          <w:lang w:val="en-US"/>
        </w:rPr>
        <w:tab/>
      </w:r>
      <w:r w:rsidRPr="00610C68">
        <w:rPr>
          <w:lang w:val="en-US"/>
        </w:rPr>
        <w:t>Additional</w:t>
      </w:r>
      <w:r w:rsidRPr="00DB6AF5">
        <w:rPr>
          <w:rFonts w:cs="Arial"/>
          <w:lang w:val="en-US"/>
        </w:rPr>
        <w:t xml:space="preserve"> levy would most likely be required</w:t>
      </w:r>
      <w:r w:rsidRPr="001C6AD3">
        <w:rPr>
          <w:rFonts w:cs="Arial"/>
          <w:lang w:val="en-US"/>
        </w:rPr>
        <w:t xml:space="preserve"> due to the additional cost involved. </w:t>
      </w:r>
    </w:p>
    <w:p w14:paraId="39D3FAC6" w14:textId="706F8466" w:rsidR="003520F6" w:rsidRPr="00DB6AF5" w:rsidRDefault="003520F6" w:rsidP="003520F6">
      <w:pPr>
        <w:ind w:left="2880" w:hanging="720"/>
        <w:rPr>
          <w:rFonts w:cs="Arial"/>
          <w:lang w:val="en-US"/>
        </w:rPr>
      </w:pPr>
      <w:r w:rsidRPr="00DB6AF5">
        <w:rPr>
          <w:rFonts w:cs="Arial"/>
          <w:lang w:val="en-US"/>
        </w:rPr>
        <w:t>•</w:t>
      </w:r>
      <w:r w:rsidRPr="00DB6AF5">
        <w:rPr>
          <w:rFonts w:cs="Arial"/>
          <w:lang w:val="en-US"/>
        </w:rPr>
        <w:tab/>
        <w:t>Lack of full transparency on cost of PPO</w:t>
      </w:r>
      <w:r w:rsidR="00B536C8">
        <w:rPr>
          <w:rFonts w:cs="Arial"/>
          <w:lang w:val="en-US"/>
        </w:rPr>
        <w:t>s</w:t>
      </w:r>
      <w:r w:rsidRPr="00DB6AF5">
        <w:rPr>
          <w:rFonts w:cs="Arial"/>
          <w:lang w:val="en-US"/>
        </w:rPr>
        <w:t xml:space="preserve"> to society</w:t>
      </w:r>
      <w:r>
        <w:rPr>
          <w:rFonts w:cs="Arial"/>
          <w:lang w:val="en-US"/>
        </w:rPr>
        <w:t>.</w:t>
      </w:r>
    </w:p>
    <w:p w14:paraId="7C3E3FCB" w14:textId="77777777" w:rsidR="00AB7D11" w:rsidRDefault="00AB7D11" w:rsidP="00AB7D11">
      <w:pPr>
        <w:rPr>
          <w:rFonts w:cs="Arial"/>
          <w:lang w:val="en-US"/>
        </w:rPr>
      </w:pPr>
    </w:p>
    <w:p w14:paraId="6C0C1DA9" w14:textId="564C0569" w:rsidR="00AB7D11" w:rsidRDefault="00AB7D11" w:rsidP="001F0D32">
      <w:pPr>
        <w:pStyle w:val="ListParagraph"/>
        <w:widowControl/>
        <w:numPr>
          <w:ilvl w:val="0"/>
          <w:numId w:val="5"/>
        </w:numPr>
        <w:tabs>
          <w:tab w:val="clear" w:pos="1418"/>
        </w:tabs>
        <w:adjustRightInd/>
        <w:ind w:left="0" w:firstLine="0"/>
        <w:rPr>
          <w:rFonts w:cs="Arial"/>
          <w:lang w:val="en-US"/>
        </w:rPr>
      </w:pPr>
      <w:r>
        <w:rPr>
          <w:rFonts w:cs="Arial"/>
          <w:lang w:val="en-US"/>
        </w:rPr>
        <w:tab/>
        <w:t>Taking into account of the above, we consider that t</w:t>
      </w:r>
      <w:r w:rsidRPr="001F0D32">
        <w:rPr>
          <w:rFonts w:cs="Arial"/>
          <w:lang w:val="en-US"/>
        </w:rPr>
        <w:t>he funding options that should be available to ensure adequate security for periodical payments may include, but are not limited to:</w:t>
      </w:r>
      <w:r>
        <w:rPr>
          <w:rFonts w:cs="Arial"/>
          <w:lang w:val="en-US"/>
        </w:rPr>
        <w:t xml:space="preserve"> </w:t>
      </w:r>
    </w:p>
    <w:p w14:paraId="3D786FE7" w14:textId="77777777" w:rsidR="001F0D32" w:rsidRPr="001F0D32" w:rsidRDefault="001F0D32" w:rsidP="001F0D32">
      <w:pPr>
        <w:widowControl/>
        <w:tabs>
          <w:tab w:val="clear" w:pos="1418"/>
        </w:tabs>
        <w:adjustRightInd/>
        <w:rPr>
          <w:rFonts w:cs="Arial"/>
          <w:lang w:val="en-US"/>
        </w:rPr>
      </w:pPr>
    </w:p>
    <w:p w14:paraId="0ECFB37A" w14:textId="77777777" w:rsidR="00AB7D11" w:rsidRPr="001F0D32" w:rsidRDefault="00AB7D11" w:rsidP="001F0D32">
      <w:pPr>
        <w:keepNext/>
        <w:keepLines/>
        <w:numPr>
          <w:ilvl w:val="0"/>
          <w:numId w:val="6"/>
        </w:numPr>
        <w:ind w:hanging="720"/>
        <w:rPr>
          <w:rFonts w:cs="Arial"/>
          <w:lang w:val="en-US"/>
        </w:rPr>
      </w:pPr>
      <w:r w:rsidRPr="001F0D32">
        <w:rPr>
          <w:rFonts w:cs="Arial"/>
          <w:lang w:val="en-US"/>
        </w:rPr>
        <w:t xml:space="preserve">self-funding provided by, as the case may be, insurers, the Government, or statutory bodies of substantial means; </w:t>
      </w:r>
    </w:p>
    <w:p w14:paraId="51251201" w14:textId="77777777" w:rsidR="00AB7D11" w:rsidRPr="001F0D32" w:rsidRDefault="00AB7D11" w:rsidP="001F0D32">
      <w:pPr>
        <w:rPr>
          <w:rFonts w:cs="Arial"/>
          <w:lang w:val="en-US"/>
        </w:rPr>
      </w:pPr>
    </w:p>
    <w:p w14:paraId="1630A388" w14:textId="0357676A" w:rsidR="00AB7D11" w:rsidRPr="001F0D32" w:rsidRDefault="00AB7D11" w:rsidP="001F0D32">
      <w:pPr>
        <w:numPr>
          <w:ilvl w:val="0"/>
          <w:numId w:val="6"/>
        </w:numPr>
        <w:ind w:hanging="720"/>
        <w:rPr>
          <w:rFonts w:cs="Arial"/>
          <w:lang w:val="en-US"/>
        </w:rPr>
      </w:pPr>
      <w:r w:rsidRPr="001F0D32">
        <w:rPr>
          <w:rFonts w:cs="Arial"/>
          <w:lang w:val="en-US"/>
        </w:rPr>
        <w:t xml:space="preserve">self-funding backed by guarantees from </w:t>
      </w:r>
      <w:r w:rsidR="002F79E5">
        <w:rPr>
          <w:rFonts w:cs="Arial"/>
          <w:lang w:val="en-US"/>
        </w:rPr>
        <w:t xml:space="preserve">the </w:t>
      </w:r>
      <w:r w:rsidRPr="001F0D32">
        <w:rPr>
          <w:rFonts w:cs="Arial"/>
          <w:lang w:val="en-US"/>
        </w:rPr>
        <w:t>Government or a statutory scheme of protection; and</w:t>
      </w:r>
    </w:p>
    <w:p w14:paraId="62FE52D9" w14:textId="77777777" w:rsidR="00AB7D11" w:rsidRPr="001F0D32" w:rsidRDefault="00AB7D11" w:rsidP="001F0D32">
      <w:pPr>
        <w:rPr>
          <w:rFonts w:cs="Arial"/>
          <w:lang w:val="en-US"/>
        </w:rPr>
      </w:pPr>
    </w:p>
    <w:p w14:paraId="51BD42BF" w14:textId="77777777" w:rsidR="00AB7D11" w:rsidRPr="001F0D32" w:rsidRDefault="00AB7D11" w:rsidP="001F0D32">
      <w:pPr>
        <w:numPr>
          <w:ilvl w:val="0"/>
          <w:numId w:val="6"/>
        </w:numPr>
        <w:ind w:hanging="720"/>
        <w:rPr>
          <w:rFonts w:cs="Arial"/>
          <w:lang w:val="en-US"/>
        </w:rPr>
      </w:pPr>
      <w:r w:rsidRPr="001F0D32">
        <w:rPr>
          <w:rFonts w:cs="Arial"/>
          <w:lang w:val="en-US"/>
        </w:rPr>
        <w:t>procurement of annuities or similar investment products to provide a secured stream of income.</w:t>
      </w:r>
    </w:p>
    <w:p w14:paraId="64B67326" w14:textId="77777777" w:rsidR="00AB7D11" w:rsidRPr="001F0D32" w:rsidRDefault="00AB7D11" w:rsidP="001F0D32">
      <w:pPr>
        <w:rPr>
          <w:rFonts w:cs="Arial"/>
          <w:lang w:val="en-US"/>
        </w:rPr>
      </w:pPr>
    </w:p>
    <w:p w14:paraId="466C69DF" w14:textId="4AA80229" w:rsidR="00AB7D11" w:rsidRPr="001F0D32" w:rsidRDefault="00AB7D11" w:rsidP="001F0D32">
      <w:pPr>
        <w:pStyle w:val="ListParagraph"/>
        <w:widowControl/>
        <w:numPr>
          <w:ilvl w:val="0"/>
          <w:numId w:val="5"/>
        </w:numPr>
        <w:tabs>
          <w:tab w:val="clear" w:pos="1418"/>
        </w:tabs>
        <w:adjustRightInd/>
        <w:ind w:left="0" w:firstLine="0"/>
        <w:rPr>
          <w:rFonts w:cs="Arial"/>
          <w:lang w:val="en-US"/>
        </w:rPr>
      </w:pPr>
      <w:r>
        <w:rPr>
          <w:rFonts w:cs="Arial"/>
          <w:lang w:val="en-US"/>
        </w:rPr>
        <w:tab/>
      </w:r>
      <w:r w:rsidRPr="001F0D32">
        <w:rPr>
          <w:rFonts w:cs="Arial"/>
          <w:lang w:val="en-US"/>
        </w:rPr>
        <w:t>Apart from Government departments, other organisations and institutions, whether created by statute or otherwise, may provide adequate financial security to the satisfaction of the court as paying parties for court ordered periodical payments.</w:t>
      </w:r>
      <w:r w:rsidR="004D78D3">
        <w:rPr>
          <w:rFonts w:cs="Arial"/>
          <w:lang w:val="en-US"/>
        </w:rPr>
        <w:t xml:space="preserve">  </w:t>
      </w:r>
      <w:r w:rsidR="00AB0C6E" w:rsidRPr="001F0D32">
        <w:rPr>
          <w:rFonts w:eastAsia="細明體" w:cs="Arial"/>
          <w:iCs/>
          <w:lang w:val="en-US" w:eastAsia="zh-CN"/>
        </w:rPr>
        <w:t>It would be open to a defendant to procure annuities or similar investment products to provide a secured stream of income in order to discharge its payment obligation under a PPO despite the potential difficulties anticipated by insurance companies.</w:t>
      </w:r>
    </w:p>
    <w:p w14:paraId="48266D86" w14:textId="77777777" w:rsidR="00AB7D11" w:rsidRPr="001F0D32" w:rsidRDefault="00AB7D11" w:rsidP="001F0D32">
      <w:pPr>
        <w:rPr>
          <w:rFonts w:cs="Arial"/>
          <w:lang w:val="en-US"/>
        </w:rPr>
      </w:pPr>
    </w:p>
    <w:p w14:paraId="05447B89" w14:textId="23DBB253" w:rsidR="00AB7D11" w:rsidRDefault="00AB7D11" w:rsidP="001F0D32">
      <w:pPr>
        <w:pStyle w:val="ListParagraph"/>
        <w:widowControl/>
        <w:numPr>
          <w:ilvl w:val="0"/>
          <w:numId w:val="5"/>
        </w:numPr>
        <w:tabs>
          <w:tab w:val="clear" w:pos="1418"/>
        </w:tabs>
        <w:adjustRightInd/>
        <w:ind w:left="0" w:firstLine="0"/>
        <w:rPr>
          <w:rFonts w:cs="Arial"/>
          <w:lang w:val="en-US"/>
        </w:rPr>
      </w:pPr>
      <w:r>
        <w:rPr>
          <w:rFonts w:cs="Arial"/>
          <w:lang w:val="en-US"/>
        </w:rPr>
        <w:tab/>
      </w:r>
      <w:r w:rsidRPr="0086729E">
        <w:rPr>
          <w:rFonts w:cs="Arial"/>
          <w:lang w:val="en-US"/>
        </w:rPr>
        <w:t>Given the wide coverage of the majority of personal injury cases under motor insurance (including MIB), employees</w:t>
      </w:r>
      <w:r w:rsidR="00115808">
        <w:rPr>
          <w:rFonts w:cs="Arial"/>
          <w:lang w:val="en-US"/>
        </w:rPr>
        <w:t>'</w:t>
      </w:r>
      <w:r w:rsidRPr="0086729E">
        <w:rPr>
          <w:rFonts w:cs="Arial"/>
          <w:lang w:val="en-US"/>
        </w:rPr>
        <w:t xml:space="preserve"> compensation insurance (including ECAFB and ECIIB), professional indemnity protection in respect of medical malpractice (covered by the Hospital Authority or medical protection insurance or schemes), we </w:t>
      </w:r>
      <w:r>
        <w:rPr>
          <w:rFonts w:cs="Arial"/>
          <w:lang w:val="en-US"/>
        </w:rPr>
        <w:t>consider</w:t>
      </w:r>
      <w:r w:rsidRPr="0086729E">
        <w:rPr>
          <w:rFonts w:cs="Arial"/>
          <w:lang w:val="en-US"/>
        </w:rPr>
        <w:t xml:space="preserve"> that PPO</w:t>
      </w:r>
      <w:r w:rsidR="00B536C8">
        <w:rPr>
          <w:rFonts w:cs="Arial"/>
          <w:lang w:val="en-US"/>
        </w:rPr>
        <w:t>s</w:t>
      </w:r>
      <w:r w:rsidRPr="0086729E">
        <w:rPr>
          <w:rFonts w:cs="Arial"/>
          <w:lang w:val="en-US"/>
        </w:rPr>
        <w:t xml:space="preserve"> ought to be introduced by way of legislation as soon as </w:t>
      </w:r>
      <w:r w:rsidRPr="00BF49C8">
        <w:rPr>
          <w:rFonts w:cs="Arial"/>
          <w:lang w:val="en-US"/>
        </w:rPr>
        <w:t>practicable starting off with pay</w:t>
      </w:r>
      <w:r w:rsidR="007F51E6">
        <w:rPr>
          <w:rFonts w:cs="Arial"/>
          <w:lang w:val="en-US"/>
        </w:rPr>
        <w:t>e</w:t>
      </w:r>
      <w:r w:rsidRPr="00BF49C8">
        <w:rPr>
          <w:rFonts w:cs="Arial"/>
          <w:lang w:val="en-US"/>
        </w:rPr>
        <w:t xml:space="preserve">rs with funding and guarantee from </w:t>
      </w:r>
      <w:r>
        <w:rPr>
          <w:rFonts w:cs="Arial"/>
          <w:lang w:val="en-US"/>
        </w:rPr>
        <w:t xml:space="preserve">the </w:t>
      </w:r>
      <w:r w:rsidRPr="00BF49C8">
        <w:rPr>
          <w:rFonts w:cs="Arial"/>
          <w:lang w:val="en-US"/>
        </w:rPr>
        <w:t>Government</w:t>
      </w:r>
      <w:r w:rsidR="002F79E5">
        <w:rPr>
          <w:rFonts w:cs="Arial"/>
          <w:lang w:val="en-US"/>
        </w:rPr>
        <w:t>, statutory bodies,</w:t>
      </w:r>
      <w:r>
        <w:rPr>
          <w:rFonts w:cs="Arial"/>
          <w:lang w:val="en-US"/>
        </w:rPr>
        <w:t xml:space="preserve"> and </w:t>
      </w:r>
      <w:r w:rsidR="002F79E5">
        <w:rPr>
          <w:rFonts w:cs="Arial"/>
          <w:lang w:val="en-US"/>
        </w:rPr>
        <w:t xml:space="preserve">for </w:t>
      </w:r>
      <w:r w:rsidRPr="00BF49C8">
        <w:rPr>
          <w:rFonts w:cs="Arial"/>
          <w:lang w:val="en-US"/>
        </w:rPr>
        <w:t>scheme of pr</w:t>
      </w:r>
      <w:r>
        <w:rPr>
          <w:rFonts w:cs="Arial"/>
          <w:lang w:val="en-US"/>
        </w:rPr>
        <w:t>otection deemed secured by the c</w:t>
      </w:r>
      <w:r w:rsidRPr="00BF49C8">
        <w:rPr>
          <w:rFonts w:cs="Arial"/>
          <w:lang w:val="en-US"/>
        </w:rPr>
        <w:t xml:space="preserve">ourt.  Further refinement can be made along the way </w:t>
      </w:r>
      <w:r w:rsidR="002F79E5">
        <w:rPr>
          <w:rFonts w:cs="Arial"/>
          <w:lang w:val="en-US"/>
        </w:rPr>
        <w:t xml:space="preserve">to include other </w:t>
      </w:r>
      <w:r w:rsidRPr="00BF49C8">
        <w:rPr>
          <w:rFonts w:cs="Arial"/>
          <w:lang w:val="en-US"/>
        </w:rPr>
        <w:t>stakeholders</w:t>
      </w:r>
      <w:r>
        <w:rPr>
          <w:rFonts w:cs="Arial"/>
          <w:lang w:val="en-US"/>
        </w:rPr>
        <w:t xml:space="preserve">, </w:t>
      </w:r>
      <w:r w:rsidR="002F79E5">
        <w:rPr>
          <w:rFonts w:cs="Arial"/>
          <w:lang w:val="en-US"/>
        </w:rPr>
        <w:t>in particular</w:t>
      </w:r>
      <w:r w:rsidR="005B12DA">
        <w:rPr>
          <w:rFonts w:cs="Arial"/>
          <w:lang w:val="en-US"/>
        </w:rPr>
        <w:t>,</w:t>
      </w:r>
      <w:r>
        <w:rPr>
          <w:rFonts w:cs="Arial"/>
          <w:lang w:val="en-US"/>
        </w:rPr>
        <w:t xml:space="preserve"> pay</w:t>
      </w:r>
      <w:r w:rsidR="007F51E6">
        <w:rPr>
          <w:rFonts w:cs="Arial"/>
          <w:lang w:val="en-US"/>
        </w:rPr>
        <w:t>e</w:t>
      </w:r>
      <w:r>
        <w:rPr>
          <w:rFonts w:cs="Arial"/>
          <w:lang w:val="en-US"/>
        </w:rPr>
        <w:t>rs with insurance and quasi-insurance background after they have addressed their concerns</w:t>
      </w:r>
      <w:r w:rsidR="005B12DA">
        <w:rPr>
          <w:rFonts w:cs="Arial"/>
          <w:lang w:val="en-US"/>
        </w:rPr>
        <w:t>, to build readiness for PPO</w:t>
      </w:r>
      <w:r w:rsidR="00B536C8">
        <w:rPr>
          <w:rFonts w:cs="Arial"/>
          <w:lang w:val="en-US"/>
        </w:rPr>
        <w:t>s</w:t>
      </w:r>
      <w:r>
        <w:rPr>
          <w:rFonts w:cs="Arial"/>
          <w:lang w:val="en-US"/>
        </w:rPr>
        <w:t>.</w:t>
      </w:r>
    </w:p>
    <w:p w14:paraId="34F4A268" w14:textId="77777777" w:rsidR="003520F6" w:rsidRDefault="003520F6" w:rsidP="003520F6">
      <w:pPr>
        <w:keepNext/>
        <w:keepLines/>
        <w:widowControl/>
        <w:tabs>
          <w:tab w:val="clear" w:pos="1418"/>
        </w:tabs>
        <w:adjustRightInd/>
        <w:rPr>
          <w:rFonts w:cs="Arial"/>
          <w:lang w:val="en-US"/>
        </w:rPr>
      </w:pPr>
    </w:p>
    <w:p w14:paraId="28073338" w14:textId="43A9FA28" w:rsidR="003520F6" w:rsidRPr="00C3671B" w:rsidRDefault="003520F6" w:rsidP="003068A2">
      <w:pPr>
        <w:pStyle w:val="ListParagraph"/>
        <w:widowControl/>
        <w:numPr>
          <w:ilvl w:val="0"/>
          <w:numId w:val="5"/>
        </w:numPr>
        <w:tabs>
          <w:tab w:val="clear" w:pos="1418"/>
        </w:tabs>
        <w:adjustRightInd/>
        <w:ind w:left="0" w:firstLine="0"/>
        <w:rPr>
          <w:rFonts w:cs="Arial"/>
          <w:lang w:val="en-US"/>
        </w:rPr>
      </w:pPr>
      <w:r>
        <w:rPr>
          <w:rFonts w:cs="Arial"/>
          <w:lang w:val="en-US"/>
        </w:rPr>
        <w:tab/>
        <w:t>For the above reasons, o</w:t>
      </w:r>
      <w:r w:rsidRPr="00C3671B">
        <w:rPr>
          <w:rFonts w:cs="Arial"/>
          <w:lang w:val="en-US"/>
        </w:rPr>
        <w:t xml:space="preserve">ur </w:t>
      </w:r>
      <w:r w:rsidRPr="00C3671B">
        <w:rPr>
          <w:rFonts w:cs="Arial"/>
          <w:b/>
          <w:lang w:val="en-US"/>
        </w:rPr>
        <w:t>Final Recommendation</w:t>
      </w:r>
      <w:r w:rsidR="00627EDD">
        <w:rPr>
          <w:rFonts w:cs="Arial"/>
          <w:b/>
          <w:lang w:val="en-US"/>
        </w:rPr>
        <w:t>s</w:t>
      </w:r>
      <w:r w:rsidRPr="00C3671B">
        <w:rPr>
          <w:rFonts w:cs="Arial"/>
          <w:b/>
          <w:lang w:val="en-US"/>
        </w:rPr>
        <w:t xml:space="preserve"> </w:t>
      </w:r>
      <w:r>
        <w:rPr>
          <w:rFonts w:cs="Arial"/>
          <w:b/>
          <w:lang w:val="en-US"/>
        </w:rPr>
        <w:t>7</w:t>
      </w:r>
      <w:r w:rsidRPr="00C3671B">
        <w:rPr>
          <w:rFonts w:cs="Arial"/>
          <w:b/>
          <w:lang w:val="en-US"/>
        </w:rPr>
        <w:t xml:space="preserve"> </w:t>
      </w:r>
      <w:r w:rsidR="00627EDD">
        <w:rPr>
          <w:rFonts w:cs="Arial"/>
          <w:b/>
          <w:lang w:val="en-US"/>
        </w:rPr>
        <w:t xml:space="preserve">and 8 </w:t>
      </w:r>
      <w:r w:rsidR="00627EDD">
        <w:rPr>
          <w:rFonts w:cs="Arial"/>
          <w:lang w:val="en-US"/>
        </w:rPr>
        <w:t>are</w:t>
      </w:r>
      <w:r w:rsidRPr="00C3671B">
        <w:rPr>
          <w:rFonts w:cs="Arial"/>
          <w:lang w:val="en-US"/>
        </w:rPr>
        <w:t xml:space="preserve"> as follows:</w:t>
      </w:r>
    </w:p>
    <w:p w14:paraId="3744B11A" w14:textId="5CC3860A" w:rsidR="003520F6" w:rsidRDefault="003520F6" w:rsidP="003520F6">
      <w:pPr>
        <w:keepNext/>
        <w:keepLines/>
        <w:widowControl/>
        <w:tabs>
          <w:tab w:val="clear" w:pos="1418"/>
        </w:tabs>
        <w:adjustRightInd/>
        <w:rPr>
          <w:rFonts w:cs="Arial"/>
          <w:lang w:val="en-US"/>
        </w:rPr>
      </w:pPr>
    </w:p>
    <w:p w14:paraId="53FA0E5D" w14:textId="26FF81E0" w:rsidR="00627EDD" w:rsidRDefault="00627EDD" w:rsidP="001F0D32">
      <w:pPr>
        <w:keepNext/>
        <w:keepLines/>
        <w:widowControl/>
        <w:tabs>
          <w:tab w:val="clear" w:pos="1418"/>
        </w:tabs>
        <w:adjustRightInd/>
        <w:ind w:left="720"/>
        <w:rPr>
          <w:rFonts w:cs="Arial"/>
          <w:b/>
          <w:lang w:val="en-US"/>
        </w:rPr>
      </w:pPr>
      <w:r w:rsidRPr="00C3671B">
        <w:rPr>
          <w:rFonts w:cs="Arial"/>
          <w:b/>
          <w:lang w:val="en-US"/>
        </w:rPr>
        <w:t xml:space="preserve">Final Recommendation </w:t>
      </w:r>
      <w:r>
        <w:rPr>
          <w:rFonts w:cs="Arial"/>
          <w:b/>
          <w:lang w:val="en-US"/>
        </w:rPr>
        <w:t>7</w:t>
      </w:r>
    </w:p>
    <w:p w14:paraId="63641EFE" w14:textId="77777777" w:rsidR="00627EDD" w:rsidRPr="00C3671B" w:rsidRDefault="00627EDD" w:rsidP="001F0D32">
      <w:pPr>
        <w:keepNext/>
        <w:keepLines/>
        <w:widowControl/>
        <w:tabs>
          <w:tab w:val="clear" w:pos="1418"/>
        </w:tabs>
        <w:adjustRightInd/>
        <w:ind w:left="720"/>
        <w:rPr>
          <w:rFonts w:cs="Arial"/>
          <w:lang w:val="en-US"/>
        </w:rPr>
      </w:pPr>
    </w:p>
    <w:p w14:paraId="2D295F7A" w14:textId="24013768" w:rsidR="006D29A3" w:rsidRPr="00800B82" w:rsidRDefault="00115808" w:rsidP="003520F6">
      <w:pPr>
        <w:widowControl/>
        <w:tabs>
          <w:tab w:val="clear" w:pos="1418"/>
        </w:tabs>
        <w:adjustRightInd/>
        <w:ind w:left="720" w:right="720"/>
        <w:rPr>
          <w:rFonts w:cs="Arial"/>
          <w:i/>
          <w:lang w:val="en-US"/>
        </w:rPr>
      </w:pPr>
      <w:r>
        <w:rPr>
          <w:rFonts w:cs="Arial"/>
          <w:i/>
        </w:rPr>
        <w:t>"</w:t>
      </w:r>
      <w:r w:rsidR="00800B82" w:rsidRPr="00800B82">
        <w:rPr>
          <w:rFonts w:cs="Arial"/>
          <w:i/>
        </w:rPr>
        <w:t xml:space="preserve">We recommend that the court should have a discretion to make a PPO after taking into account the security of the periodical payments to ensure the continuity of payments and </w:t>
      </w:r>
      <w:r w:rsidR="00800B82" w:rsidRPr="00800B82">
        <w:rPr>
          <w:rFonts w:cs="Arial"/>
          <w:i/>
          <w:lang w:val="en-US"/>
        </w:rPr>
        <w:t>satisfying itself that a PPO is able to secure the full scope of the plaintiff</w:t>
      </w:r>
      <w:r>
        <w:rPr>
          <w:rFonts w:cs="Arial"/>
          <w:i/>
          <w:lang w:val="en-US"/>
        </w:rPr>
        <w:t>'</w:t>
      </w:r>
      <w:r w:rsidR="00800B82" w:rsidRPr="00800B82">
        <w:rPr>
          <w:rFonts w:cs="Arial"/>
          <w:i/>
          <w:lang w:val="en-US"/>
        </w:rPr>
        <w:t>s award.</w:t>
      </w:r>
      <w:r>
        <w:rPr>
          <w:rFonts w:cs="Arial"/>
          <w:i/>
          <w:lang w:val="en-US"/>
        </w:rPr>
        <w:t>"</w:t>
      </w:r>
    </w:p>
    <w:p w14:paraId="57F08DA7" w14:textId="16F74DB3" w:rsidR="003520F6" w:rsidRPr="003F6AE5" w:rsidRDefault="003520F6" w:rsidP="003520F6">
      <w:pPr>
        <w:widowControl/>
        <w:tabs>
          <w:tab w:val="clear" w:pos="1418"/>
        </w:tabs>
        <w:adjustRightInd/>
        <w:ind w:right="720"/>
        <w:rPr>
          <w:rFonts w:cs="Arial"/>
          <w:sz w:val="28"/>
          <w:szCs w:val="28"/>
          <w:lang w:val="en-US"/>
        </w:rPr>
      </w:pPr>
    </w:p>
    <w:p w14:paraId="42772712" w14:textId="338E5601" w:rsidR="003520F6" w:rsidRDefault="00627EDD" w:rsidP="005108F4">
      <w:pPr>
        <w:keepNext/>
        <w:keepLines/>
        <w:widowControl/>
        <w:tabs>
          <w:tab w:val="clear" w:pos="1418"/>
        </w:tabs>
        <w:adjustRightInd/>
        <w:ind w:right="720"/>
        <w:rPr>
          <w:rFonts w:cs="Arial"/>
          <w:lang w:val="en-US"/>
        </w:rPr>
      </w:pPr>
      <w:r>
        <w:rPr>
          <w:rFonts w:cs="Arial"/>
          <w:lang w:val="en-US"/>
        </w:rPr>
        <w:tab/>
      </w:r>
      <w:r w:rsidRPr="00C3671B">
        <w:rPr>
          <w:rFonts w:cs="Arial"/>
          <w:b/>
          <w:lang w:val="en-US"/>
        </w:rPr>
        <w:t xml:space="preserve">Final Recommendation </w:t>
      </w:r>
      <w:r>
        <w:rPr>
          <w:rFonts w:cs="Arial"/>
          <w:b/>
          <w:lang w:val="en-US"/>
        </w:rPr>
        <w:t>8</w:t>
      </w:r>
    </w:p>
    <w:p w14:paraId="7022AA7D" w14:textId="0E3F6010" w:rsidR="003520F6" w:rsidRDefault="003520F6" w:rsidP="003520F6">
      <w:pPr>
        <w:widowControl/>
        <w:tabs>
          <w:tab w:val="clear" w:pos="1418"/>
        </w:tabs>
        <w:adjustRightInd/>
        <w:ind w:right="720"/>
        <w:rPr>
          <w:rFonts w:cs="Arial"/>
          <w:lang w:val="en-US"/>
        </w:rPr>
      </w:pPr>
    </w:p>
    <w:p w14:paraId="3054FE16" w14:textId="359C386E" w:rsidR="00BD52AC" w:rsidRPr="001F0D32" w:rsidRDefault="00115808" w:rsidP="00BD52AC">
      <w:pPr>
        <w:widowControl/>
        <w:tabs>
          <w:tab w:val="clear" w:pos="1418"/>
        </w:tabs>
        <w:adjustRightInd/>
        <w:ind w:left="720" w:right="720"/>
        <w:rPr>
          <w:rFonts w:cs="Arial"/>
          <w:i/>
          <w:lang w:val="en-US"/>
        </w:rPr>
      </w:pPr>
      <w:r>
        <w:rPr>
          <w:rFonts w:cs="Arial"/>
          <w:i/>
          <w:lang w:val="en-US"/>
        </w:rPr>
        <w:t>"</w:t>
      </w:r>
      <w:r w:rsidR="00195954" w:rsidRPr="001F0D32">
        <w:rPr>
          <w:rFonts w:cs="Arial"/>
          <w:i/>
          <w:lang w:val="en-US"/>
        </w:rPr>
        <w:t>We recommend that PPO</w:t>
      </w:r>
      <w:r w:rsidR="00B536C8">
        <w:rPr>
          <w:rFonts w:cs="Arial"/>
          <w:i/>
          <w:lang w:val="en-US"/>
        </w:rPr>
        <w:t>s</w:t>
      </w:r>
      <w:r w:rsidR="00195954" w:rsidRPr="001F0D32">
        <w:rPr>
          <w:rFonts w:cs="Arial"/>
          <w:i/>
          <w:lang w:val="en-US"/>
        </w:rPr>
        <w:t xml:space="preserve"> ought to be introduced by way of legislation as soon as practicable and further refinement can be made along the way after implementation for stakeholders to build readiness for PPO</w:t>
      </w:r>
      <w:r w:rsidR="00B536C8">
        <w:rPr>
          <w:rFonts w:cs="Arial"/>
          <w:i/>
          <w:lang w:val="en-US"/>
        </w:rPr>
        <w:t>s</w:t>
      </w:r>
      <w:r w:rsidR="00195954" w:rsidRPr="001F0D32">
        <w:rPr>
          <w:rFonts w:cs="Arial"/>
          <w:i/>
          <w:lang w:val="en-US"/>
        </w:rPr>
        <w:t>.</w:t>
      </w:r>
      <w:r>
        <w:rPr>
          <w:rFonts w:cs="Arial"/>
          <w:i/>
          <w:lang w:val="en-US"/>
        </w:rPr>
        <w:t>"</w:t>
      </w:r>
    </w:p>
    <w:p w14:paraId="65FBF2CA" w14:textId="3DE83067" w:rsidR="00BD52AC" w:rsidRDefault="00BD52AC" w:rsidP="003520F6">
      <w:pPr>
        <w:widowControl/>
        <w:tabs>
          <w:tab w:val="clear" w:pos="1418"/>
        </w:tabs>
        <w:adjustRightInd/>
        <w:ind w:right="720"/>
        <w:rPr>
          <w:rFonts w:cs="Arial"/>
        </w:rPr>
      </w:pPr>
    </w:p>
    <w:p w14:paraId="0F95B42A" w14:textId="77777777" w:rsidR="00BD52AC" w:rsidRPr="00BD52AC" w:rsidRDefault="00BD52AC" w:rsidP="003520F6">
      <w:pPr>
        <w:widowControl/>
        <w:tabs>
          <w:tab w:val="clear" w:pos="1418"/>
        </w:tabs>
        <w:adjustRightInd/>
        <w:ind w:right="720"/>
        <w:rPr>
          <w:rFonts w:cs="Arial"/>
        </w:rPr>
      </w:pPr>
    </w:p>
    <w:sectPr w:rsidR="00BD52AC" w:rsidRPr="00BD52AC" w:rsidSect="003520F6">
      <w:footerReference w:type="even" r:id="rId9"/>
      <w:footerReference w:type="default" r:id="rId10"/>
      <w:footnotePr>
        <w:numRestart w:val="eachSect"/>
      </w:footnotePr>
      <w:pgSz w:w="11906" w:h="16838" w:code="9"/>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19EAD" w14:textId="77777777" w:rsidR="003520F6" w:rsidRDefault="003520F6" w:rsidP="003520F6">
      <w:r>
        <w:separator/>
      </w:r>
    </w:p>
  </w:endnote>
  <w:endnote w:type="continuationSeparator" w:id="0">
    <w:p w14:paraId="2A915604" w14:textId="77777777" w:rsidR="003520F6" w:rsidRDefault="003520F6" w:rsidP="00352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3DDB" w14:textId="77777777" w:rsidR="00406B1B" w:rsidRDefault="00125901" w:rsidP="001A7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DEB66" w14:textId="77777777" w:rsidR="00406B1B" w:rsidRDefault="00CE6DA3" w:rsidP="001A7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A9B64" w14:textId="4B4369D8" w:rsidR="00406B1B" w:rsidRPr="007A7A47" w:rsidRDefault="00125901" w:rsidP="001A7C8D">
    <w:pPr>
      <w:pStyle w:val="Footer"/>
      <w:jc w:val="center"/>
      <w:rPr>
        <w:sz w:val="22"/>
        <w:szCs w:val="22"/>
        <w:lang w:val="en-US"/>
      </w:rPr>
    </w:pPr>
    <w:r w:rsidRPr="007A7A47">
      <w:rPr>
        <w:sz w:val="22"/>
        <w:szCs w:val="22"/>
      </w:rPr>
      <w:fldChar w:fldCharType="begin"/>
    </w:r>
    <w:r w:rsidRPr="007A7A47">
      <w:rPr>
        <w:sz w:val="22"/>
        <w:szCs w:val="22"/>
      </w:rPr>
      <w:instrText xml:space="preserve"> PAGE   \* MERGEFORMAT </w:instrText>
    </w:r>
    <w:r w:rsidRPr="007A7A47">
      <w:rPr>
        <w:sz w:val="22"/>
        <w:szCs w:val="22"/>
      </w:rPr>
      <w:fldChar w:fldCharType="separate"/>
    </w:r>
    <w:r w:rsidR="00CE6DA3">
      <w:rPr>
        <w:noProof/>
        <w:sz w:val="22"/>
        <w:szCs w:val="22"/>
      </w:rPr>
      <w:t>1</w:t>
    </w:r>
    <w:r w:rsidRPr="007A7A47">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8EE1C" w14:textId="77777777" w:rsidR="003520F6" w:rsidRDefault="003520F6" w:rsidP="003520F6">
      <w:r>
        <w:separator/>
      </w:r>
    </w:p>
  </w:footnote>
  <w:footnote w:type="continuationSeparator" w:id="0">
    <w:p w14:paraId="72F43F97" w14:textId="77777777" w:rsidR="003520F6" w:rsidRDefault="003520F6" w:rsidP="003520F6">
      <w:r>
        <w:continuationSeparator/>
      </w:r>
    </w:p>
  </w:footnote>
  <w:footnote w:id="1">
    <w:p w14:paraId="472D9B95" w14:textId="77777777" w:rsidR="003520F6" w:rsidRPr="00236B3A" w:rsidRDefault="003520F6" w:rsidP="003520F6">
      <w:pPr>
        <w:pStyle w:val="FootnoteText"/>
      </w:pPr>
      <w:r w:rsidRPr="00D95B9E">
        <w:rPr>
          <w:rStyle w:val="FootnoteReference"/>
        </w:rPr>
        <w:footnoteRef/>
      </w:r>
      <w:r w:rsidRPr="008F224F">
        <w:t xml:space="preserve"> </w:t>
      </w:r>
      <w:r w:rsidRPr="008F224F">
        <w:tab/>
        <w:t>Nicholas Bevan, Theodore Huckle</w:t>
      </w:r>
      <w:r>
        <w:t xml:space="preserve"> and</w:t>
      </w:r>
      <w:r w:rsidRPr="008F224F">
        <w:t xml:space="preserve"> Sheralee Ellis, </w:t>
      </w:r>
      <w:r w:rsidRPr="00F95D1D">
        <w:rPr>
          <w:i/>
        </w:rPr>
        <w:t>Future Loss in Practice: Periodical Payments and Lump Sums</w:t>
      </w:r>
      <w:r w:rsidRPr="00024DD6">
        <w:t xml:space="preserve"> </w:t>
      </w:r>
      <w:r w:rsidRPr="00236B3A">
        <w:t>(Butterworths, 2007)</w:t>
      </w:r>
      <w:r>
        <w:t>, at</w:t>
      </w:r>
      <w:r w:rsidRPr="00236B3A">
        <w:t xml:space="preserve"> para 2.06.</w:t>
      </w:r>
    </w:p>
  </w:footnote>
  <w:footnote w:id="2">
    <w:p w14:paraId="3BB67F84" w14:textId="77777777" w:rsidR="003520F6" w:rsidRPr="00236B3A" w:rsidRDefault="003520F6" w:rsidP="003520F6">
      <w:pPr>
        <w:pStyle w:val="FootnoteText"/>
      </w:pPr>
      <w:r w:rsidRPr="00236B3A">
        <w:rPr>
          <w:rStyle w:val="FootnoteReference"/>
        </w:rPr>
        <w:footnoteRef/>
      </w:r>
      <w:r w:rsidRPr="00236B3A">
        <w:t xml:space="preserve"> </w:t>
      </w:r>
      <w:r w:rsidRPr="00236B3A">
        <w:tab/>
        <w:t>[2013] 1 HKLRD 634</w:t>
      </w:r>
      <w:r>
        <w:t xml:space="preserve">, </w:t>
      </w:r>
      <w:r w:rsidRPr="00DE5807">
        <w:t>HCPI 235/2011</w:t>
      </w:r>
      <w:r>
        <w:t xml:space="preserve">, </w:t>
      </w:r>
      <w:r w:rsidRPr="00DE5807">
        <w:t>671/2007 and 228/2010</w:t>
      </w:r>
      <w:r>
        <w:t xml:space="preserve"> (date of judgment: 18 Sep 2012)</w:t>
      </w:r>
      <w:r w:rsidRPr="00236B3A">
        <w:t>.</w:t>
      </w:r>
    </w:p>
  </w:footnote>
  <w:footnote w:id="3">
    <w:p w14:paraId="6346C35E" w14:textId="19354AB4" w:rsidR="003520F6" w:rsidRPr="00C3671B" w:rsidRDefault="003520F6" w:rsidP="003520F6">
      <w:pPr>
        <w:pStyle w:val="FootnoteText"/>
      </w:pPr>
      <w:r w:rsidRPr="00C3671B">
        <w:rPr>
          <w:rStyle w:val="FootnoteReference"/>
          <w:szCs w:val="20"/>
        </w:rPr>
        <w:footnoteRef/>
      </w:r>
      <w:r w:rsidRPr="00C3671B">
        <w:rPr>
          <w:sz w:val="20"/>
          <w:szCs w:val="20"/>
        </w:rPr>
        <w:t xml:space="preserve"> </w:t>
      </w:r>
      <w:r w:rsidRPr="00C3671B">
        <w:rPr>
          <w:sz w:val="20"/>
          <w:szCs w:val="20"/>
        </w:rPr>
        <w:tab/>
      </w:r>
      <w:r w:rsidRPr="00C3671B">
        <w:t xml:space="preserve">These responses came from </w:t>
      </w:r>
      <w:r w:rsidRPr="0039329E">
        <w:t>academics, Government bureaux/departments, insurance companies, legal professional bodies, social services organisations, statutory bodies (relating to public health, insurance and consumers</w:t>
      </w:r>
      <w:r w:rsidR="00115808">
        <w:t>'</w:t>
      </w:r>
      <w:r w:rsidRPr="0039329E">
        <w:t xml:space="preserve"> rights) as well as members of the public</w:t>
      </w:r>
      <w:r>
        <w:t xml:space="preserve">. </w:t>
      </w:r>
    </w:p>
  </w:footnote>
  <w:footnote w:id="4">
    <w:p w14:paraId="706EE03B" w14:textId="34771472" w:rsidR="004532F1" w:rsidRPr="00544719" w:rsidRDefault="004532F1">
      <w:pPr>
        <w:pStyle w:val="FootnoteText"/>
        <w:rPr>
          <w:rFonts w:eastAsia="DengXian"/>
          <w:lang w:eastAsia="zh-CN"/>
        </w:rPr>
      </w:pPr>
      <w:r>
        <w:rPr>
          <w:rStyle w:val="FootnoteReference"/>
        </w:rPr>
        <w:footnoteRef/>
      </w:r>
      <w:r>
        <w:t xml:space="preserve"> </w:t>
      </w:r>
      <w:r>
        <w:tab/>
        <w:t>See CP, at paras 1.1 to 1.26.</w:t>
      </w:r>
    </w:p>
  </w:footnote>
  <w:footnote w:id="5">
    <w:p w14:paraId="08F4B7B7" w14:textId="44055CC9" w:rsidR="003520F6" w:rsidRPr="002950E9" w:rsidRDefault="003520F6" w:rsidP="003520F6">
      <w:pPr>
        <w:pStyle w:val="FootnoteText"/>
      </w:pPr>
      <w:r>
        <w:rPr>
          <w:rStyle w:val="FootnoteReference"/>
        </w:rPr>
        <w:footnoteRef/>
      </w:r>
      <w:r>
        <w:t xml:space="preserve"> </w:t>
      </w:r>
      <w:r>
        <w:tab/>
      </w:r>
      <w:r w:rsidR="00CA1FF3">
        <w:t>Same as above</w:t>
      </w:r>
      <w:r>
        <w:t>, at paras 5.81 to 5.96.</w:t>
      </w:r>
    </w:p>
  </w:footnote>
  <w:footnote w:id="6">
    <w:p w14:paraId="4CBF9A6B" w14:textId="5B02ED11" w:rsidR="007873F0" w:rsidRDefault="007873F0">
      <w:pPr>
        <w:pStyle w:val="FootnoteText"/>
      </w:pPr>
      <w:r>
        <w:rPr>
          <w:rStyle w:val="FootnoteReference"/>
        </w:rPr>
        <w:footnoteRef/>
      </w:r>
      <w:r>
        <w:t xml:space="preserve"> </w:t>
      </w:r>
      <w:r>
        <w:tab/>
        <w:t>See clause 3 of the Draft Bill.</w:t>
      </w:r>
    </w:p>
  </w:footnote>
  <w:footnote w:id="7">
    <w:p w14:paraId="2F38A96B" w14:textId="20864CA3" w:rsidR="003520F6" w:rsidRPr="00EB02FA" w:rsidRDefault="003520F6" w:rsidP="003520F6">
      <w:pPr>
        <w:pStyle w:val="FootnoteText"/>
      </w:pPr>
      <w:r w:rsidRPr="002E7D01">
        <w:rPr>
          <w:rStyle w:val="FootnoteReference"/>
        </w:rPr>
        <w:footnoteRef/>
      </w:r>
      <w:r w:rsidRPr="002E7D01">
        <w:t xml:space="preserve"> </w:t>
      </w:r>
      <w:r>
        <w:tab/>
      </w:r>
      <w:r w:rsidR="00CA1FF3" w:rsidRPr="00CB0024">
        <w:t xml:space="preserve">Same as above, </w:t>
      </w:r>
      <w:r w:rsidR="00CA1FF3">
        <w:t>s</w:t>
      </w:r>
      <w:r w:rsidR="0001049D">
        <w:t>ee c</w:t>
      </w:r>
      <w:r>
        <w:t xml:space="preserve">lause </w:t>
      </w:r>
      <w:r w:rsidRPr="00F04E93">
        <w:t>4(</w:t>
      </w:r>
      <w:r w:rsidRPr="00762BB7">
        <w:t>3)</w:t>
      </w:r>
      <w:r>
        <w:t>.</w:t>
      </w:r>
    </w:p>
  </w:footnote>
  <w:footnote w:id="8">
    <w:p w14:paraId="2BC841B8" w14:textId="41DDB7F9" w:rsidR="003520F6" w:rsidRPr="004E62B7" w:rsidRDefault="003520F6" w:rsidP="003520F6">
      <w:pPr>
        <w:pStyle w:val="FootnoteText"/>
        <w:rPr>
          <w:rFonts w:eastAsia="DengXian"/>
          <w:lang w:eastAsia="zh-CN"/>
        </w:rPr>
      </w:pPr>
      <w:r>
        <w:rPr>
          <w:rStyle w:val="FootnoteReference"/>
        </w:rPr>
        <w:footnoteRef/>
      </w:r>
      <w:r>
        <w:t xml:space="preserve"> </w:t>
      </w:r>
      <w:r>
        <w:rPr>
          <w:rFonts w:eastAsia="DengXian"/>
          <w:lang w:eastAsia="zh-CN"/>
        </w:rPr>
        <w:tab/>
        <w:t xml:space="preserve">See </w:t>
      </w:r>
      <w:r w:rsidR="00D10A4E">
        <w:t>CP</w:t>
      </w:r>
      <w:r>
        <w:t>, at paras 6.24 to 6.41.</w:t>
      </w:r>
    </w:p>
  </w:footnote>
  <w:footnote w:id="9">
    <w:p w14:paraId="3C8DED23" w14:textId="0D0265C0" w:rsidR="003520F6" w:rsidRPr="000B0EEE" w:rsidRDefault="003520F6" w:rsidP="003520F6">
      <w:pPr>
        <w:pStyle w:val="FootnoteText"/>
      </w:pPr>
      <w:r>
        <w:rPr>
          <w:rStyle w:val="FootnoteReference"/>
        </w:rPr>
        <w:footnoteRef/>
      </w:r>
      <w:r>
        <w:t xml:space="preserve"> </w:t>
      </w:r>
      <w:r>
        <w:tab/>
      </w:r>
      <w:r w:rsidRPr="0073516F">
        <w:t>In</w:t>
      </w:r>
      <w:r w:rsidR="00031BE9" w:rsidRPr="0073516F">
        <w:rPr>
          <w:sz w:val="24"/>
          <w:szCs w:val="24"/>
        </w:rPr>
        <w:t xml:space="preserve"> </w:t>
      </w:r>
      <w:r w:rsidR="002B3856" w:rsidRPr="0073516F">
        <w:rPr>
          <w:lang w:val="en-GB"/>
        </w:rPr>
        <w:t xml:space="preserve">the </w:t>
      </w:r>
      <w:r w:rsidR="00031BE9" w:rsidRPr="0073516F">
        <w:rPr>
          <w:lang w:val="en-GB"/>
        </w:rPr>
        <w:t>Institute and Faculty of Actuaries of the United Kingdom (</w:t>
      </w:r>
      <w:r w:rsidR="00115808">
        <w:rPr>
          <w:lang w:val="en-GB"/>
        </w:rPr>
        <w:t>"</w:t>
      </w:r>
      <w:r w:rsidR="00031BE9" w:rsidRPr="0073516F">
        <w:rPr>
          <w:b/>
          <w:lang w:val="en-GB"/>
        </w:rPr>
        <w:t>IFoA</w:t>
      </w:r>
      <w:r w:rsidR="00115808">
        <w:rPr>
          <w:lang w:val="en-GB"/>
        </w:rPr>
        <w:t>"</w:t>
      </w:r>
      <w:r w:rsidR="00031BE9" w:rsidRPr="0073516F">
        <w:rPr>
          <w:lang w:val="en-GB"/>
        </w:rPr>
        <w:t>)</w:t>
      </w:r>
      <w:r w:rsidR="00115808">
        <w:rPr>
          <w:lang w:val="en-GB"/>
        </w:rPr>
        <w:t>'</w:t>
      </w:r>
      <w:r w:rsidR="003E5A25" w:rsidRPr="0073516F">
        <w:rPr>
          <w:lang w:val="en-GB"/>
        </w:rPr>
        <w:t>s report</w:t>
      </w:r>
      <w:r w:rsidR="00031BE9" w:rsidRPr="0073516F">
        <w:rPr>
          <w:lang w:val="en-GB"/>
        </w:rPr>
        <w:t xml:space="preserve"> </w:t>
      </w:r>
      <w:r w:rsidR="003E5A25" w:rsidRPr="0073516F">
        <w:rPr>
          <w:lang w:val="en-GB"/>
        </w:rPr>
        <w:t>en</w:t>
      </w:r>
      <w:r w:rsidR="00031BE9" w:rsidRPr="0073516F">
        <w:rPr>
          <w:lang w:val="en-GB"/>
        </w:rPr>
        <w:t xml:space="preserve">titled </w:t>
      </w:r>
      <w:r w:rsidR="00031BE9" w:rsidRPr="0073516F">
        <w:rPr>
          <w:i/>
          <w:lang w:val="en-GB"/>
        </w:rPr>
        <w:t xml:space="preserve">Periodical Payment Orders Working Party Update – Industry Survey </w:t>
      </w:r>
      <w:r w:rsidR="00031BE9" w:rsidRPr="0073516F">
        <w:rPr>
          <w:lang w:val="en-GB"/>
        </w:rPr>
        <w:t>(July 2020) (</w:t>
      </w:r>
      <w:r w:rsidR="00115808">
        <w:rPr>
          <w:lang w:val="en-GB"/>
        </w:rPr>
        <w:t>"</w:t>
      </w:r>
      <w:r w:rsidR="00031BE9" w:rsidRPr="0073516F">
        <w:rPr>
          <w:b/>
          <w:lang w:val="en-GB"/>
        </w:rPr>
        <w:t>IFoA 2020 Report</w:t>
      </w:r>
      <w:r w:rsidR="00115808">
        <w:rPr>
          <w:lang w:val="en-GB"/>
        </w:rPr>
        <w:t>"</w:t>
      </w:r>
      <w:r w:rsidR="00031BE9" w:rsidRPr="0073516F">
        <w:rPr>
          <w:lang w:val="en-GB"/>
        </w:rPr>
        <w:t>)</w:t>
      </w:r>
      <w:r w:rsidRPr="0073516F">
        <w:t>,</w:t>
      </w:r>
      <w:r>
        <w:t xml:space="preserve"> it is documented that the majority of the PPOs involved claimants with catastrophic level injuries requiring full time or prolonged personal care (See IFoA 2020 Report, at </w:t>
      </w:r>
      <w:r w:rsidR="00311734">
        <w:t>8</w:t>
      </w:r>
      <w:r>
        <w:t xml:space="preserve"> (figure 1), 8 (figure 2), 37 (figure 30) and 38 (figure 31)).  Generally, the propensity for PPOs would increase with the size of the claim (See IFoA 2020 Report, at 17 (figure 10)).  </w:t>
      </w:r>
    </w:p>
  </w:footnote>
  <w:footnote w:id="10">
    <w:p w14:paraId="5F00944D" w14:textId="77777777" w:rsidR="0021009B" w:rsidRPr="0022422F" w:rsidRDefault="0021009B" w:rsidP="0021009B">
      <w:pPr>
        <w:pStyle w:val="FootnoteText"/>
      </w:pPr>
      <w:r w:rsidRPr="0022422F">
        <w:rPr>
          <w:rStyle w:val="FootnoteReference"/>
        </w:rPr>
        <w:footnoteRef/>
      </w:r>
      <w:r w:rsidRPr="0022422F">
        <w:t xml:space="preserve"> </w:t>
      </w:r>
      <w:r w:rsidRPr="0022422F">
        <w:tab/>
        <w:t>See clause 2 of the Draft Bill.</w:t>
      </w:r>
    </w:p>
  </w:footnote>
  <w:footnote w:id="11">
    <w:p w14:paraId="4E2F17FB" w14:textId="212F1F96" w:rsidR="003520F6" w:rsidRPr="00B8133D" w:rsidRDefault="003520F6" w:rsidP="003520F6">
      <w:pPr>
        <w:pStyle w:val="FootnoteText"/>
      </w:pPr>
      <w:r>
        <w:rPr>
          <w:rStyle w:val="FootnoteReference"/>
        </w:rPr>
        <w:footnoteRef/>
      </w:r>
      <w:r>
        <w:t xml:space="preserve"> </w:t>
      </w:r>
      <w:r>
        <w:tab/>
        <w:t xml:space="preserve">In particular, it is proposed that where a PPO includes an element of </w:t>
      </w:r>
      <w:r w:rsidR="00115808">
        <w:t>"</w:t>
      </w:r>
      <w:r w:rsidRPr="004E62B7">
        <w:rPr>
          <w:i/>
        </w:rPr>
        <w:t>f</w:t>
      </w:r>
      <w:r w:rsidRPr="001E783B">
        <w:rPr>
          <w:i/>
        </w:rPr>
        <w:t xml:space="preserve">uture </w:t>
      </w:r>
      <w:r>
        <w:rPr>
          <w:i/>
        </w:rPr>
        <w:t>l</w:t>
      </w:r>
      <w:r w:rsidRPr="001E783B">
        <w:rPr>
          <w:i/>
        </w:rPr>
        <w:t xml:space="preserve">oss of </w:t>
      </w:r>
      <w:r>
        <w:rPr>
          <w:i/>
        </w:rPr>
        <w:t>e</w:t>
      </w:r>
      <w:r w:rsidRPr="001E783B">
        <w:rPr>
          <w:i/>
        </w:rPr>
        <w:t>arnings</w:t>
      </w:r>
      <w:r w:rsidR="00115808">
        <w:t>"</w:t>
      </w:r>
      <w:r w:rsidRPr="001E783B">
        <w:t>,</w:t>
      </w:r>
      <w:r>
        <w:t xml:space="preserve"> the amount and duration of payment should be explicitly set out in the original order (see clause 11(3)(d) of the Draft Bill).</w:t>
      </w:r>
    </w:p>
  </w:footnote>
  <w:footnote w:id="12">
    <w:p w14:paraId="3C91922A" w14:textId="21C563D8" w:rsidR="00BE557E" w:rsidRPr="00CB0024" w:rsidRDefault="00BE557E" w:rsidP="00BE557E">
      <w:pPr>
        <w:pStyle w:val="FootnoteText"/>
      </w:pPr>
      <w:r w:rsidRPr="00CB0024">
        <w:rPr>
          <w:rStyle w:val="FootnoteReference"/>
        </w:rPr>
        <w:footnoteRef/>
      </w:r>
      <w:r w:rsidRPr="00CB0024">
        <w:t xml:space="preserve"> </w:t>
      </w:r>
      <w:r w:rsidRPr="00CB0024">
        <w:tab/>
        <w:t xml:space="preserve">See </w:t>
      </w:r>
      <w:r w:rsidR="00D10A4E">
        <w:t>CP</w:t>
      </w:r>
      <w:r w:rsidRPr="00CB0024">
        <w:t>, at paras 6.42 to 6.57.</w:t>
      </w:r>
    </w:p>
  </w:footnote>
  <w:footnote w:id="13">
    <w:p w14:paraId="63286C20" w14:textId="77777777" w:rsidR="00BE557E" w:rsidRPr="00CB0024" w:rsidRDefault="00BE557E" w:rsidP="00BE557E">
      <w:pPr>
        <w:pStyle w:val="FootnoteText"/>
      </w:pPr>
      <w:r w:rsidRPr="00CB0024">
        <w:rPr>
          <w:rStyle w:val="FootnoteReference"/>
        </w:rPr>
        <w:footnoteRef/>
      </w:r>
      <w:r w:rsidRPr="00CB0024">
        <w:t xml:space="preserve"> </w:t>
      </w:r>
      <w:r w:rsidRPr="00CB0024">
        <w:tab/>
        <w:t>Same as above, at paras 6.50 to 6.51</w:t>
      </w:r>
      <w:r w:rsidRPr="00CB0024">
        <w:rPr>
          <w:i/>
        </w:rPr>
        <w:t>.</w:t>
      </w:r>
    </w:p>
  </w:footnote>
  <w:footnote w:id="14">
    <w:p w14:paraId="20C8E969" w14:textId="41078DBA" w:rsidR="00BE557E" w:rsidRPr="00CB0024" w:rsidRDefault="00BE557E" w:rsidP="00BE557E">
      <w:pPr>
        <w:pStyle w:val="FootnoteText"/>
      </w:pPr>
      <w:r w:rsidRPr="00CB0024">
        <w:rPr>
          <w:rStyle w:val="FootnoteReference"/>
        </w:rPr>
        <w:footnoteRef/>
      </w:r>
      <w:r w:rsidRPr="00CB0024">
        <w:t xml:space="preserve"> </w:t>
      </w:r>
      <w:r w:rsidRPr="00CB0024">
        <w:tab/>
        <w:t>Same as above, a</w:t>
      </w:r>
      <w:r w:rsidR="001E7CE4">
        <w:t>t paras 3.29 to 3.30, see also A</w:t>
      </w:r>
      <w:r w:rsidRPr="00CB0024">
        <w:t>rticles 2 and 9 of the 2005 Order</w:t>
      </w:r>
      <w:r w:rsidRPr="00CB0024">
        <w:rPr>
          <w:i/>
        </w:rPr>
        <w:t>.</w:t>
      </w:r>
    </w:p>
  </w:footnote>
  <w:footnote w:id="15">
    <w:p w14:paraId="4FEC8D3C" w14:textId="74E8E090" w:rsidR="00BE557E" w:rsidRPr="00CB0024" w:rsidRDefault="00BE557E" w:rsidP="00BE557E">
      <w:pPr>
        <w:pStyle w:val="FootnoteText"/>
      </w:pPr>
      <w:r w:rsidRPr="00CB0024">
        <w:rPr>
          <w:rStyle w:val="FootnoteReference"/>
        </w:rPr>
        <w:footnoteRef/>
      </w:r>
      <w:r w:rsidRPr="00CB0024">
        <w:t xml:space="preserve"> </w:t>
      </w:r>
      <w:r w:rsidRPr="00CB0024">
        <w:tab/>
        <w:t xml:space="preserve">See </w:t>
      </w:r>
      <w:r w:rsidR="00D10A4E">
        <w:t>CP</w:t>
      </w:r>
      <w:r w:rsidRPr="00CB0024">
        <w:t>, at para 6.46</w:t>
      </w:r>
      <w:r w:rsidRPr="00CB0024">
        <w:rPr>
          <w:i/>
        </w:rPr>
        <w:t>.</w:t>
      </w:r>
    </w:p>
  </w:footnote>
  <w:footnote w:id="16">
    <w:p w14:paraId="73FC0E12" w14:textId="77777777" w:rsidR="00BE557E" w:rsidRPr="00CB0024" w:rsidRDefault="00BE557E" w:rsidP="00BE557E">
      <w:pPr>
        <w:pStyle w:val="FootnoteText"/>
      </w:pPr>
      <w:r w:rsidRPr="00CB0024">
        <w:rPr>
          <w:rStyle w:val="FootnoteReference"/>
        </w:rPr>
        <w:footnoteRef/>
      </w:r>
      <w:r w:rsidRPr="00CB0024">
        <w:t xml:space="preserve"> </w:t>
      </w:r>
      <w:r w:rsidRPr="00CB0024">
        <w:tab/>
        <w:t>Application for permission</w:t>
      </w:r>
    </w:p>
    <w:p w14:paraId="27B4BCFB" w14:textId="191001E3" w:rsidR="00BE557E" w:rsidRPr="00CB0024" w:rsidRDefault="00115808" w:rsidP="00793A17">
      <w:pPr>
        <w:pStyle w:val="FootnoteText"/>
        <w:ind w:left="1560" w:hanging="851"/>
      </w:pPr>
      <w:r>
        <w:t>"</w:t>
      </w:r>
      <w:r w:rsidR="00BE557E" w:rsidRPr="00CB0024">
        <w:t>10. (1)</w:t>
      </w:r>
      <w:r w:rsidR="00793A17">
        <w:tab/>
      </w:r>
      <w:r w:rsidR="00BE557E" w:rsidRPr="00CB0024">
        <w:t xml:space="preserve">An application for permission to apply for a variable order or a variable agreement to be  varied </w:t>
      </w:r>
      <w:r w:rsidR="00BE557E" w:rsidRPr="00CB0024">
        <w:rPr>
          <w:u w:val="single"/>
        </w:rPr>
        <w:t>must be accompanied by evidence</w:t>
      </w:r>
      <w:r w:rsidR="00BE557E" w:rsidRPr="00CB0024">
        <w:t xml:space="preserve"> –</w:t>
      </w:r>
    </w:p>
    <w:p w14:paraId="5BC2A726" w14:textId="77777777" w:rsidR="00BE557E" w:rsidRPr="00CB0024" w:rsidRDefault="00BE557E" w:rsidP="00793A17">
      <w:pPr>
        <w:pStyle w:val="FootnoteText"/>
        <w:ind w:left="1985" w:hanging="425"/>
      </w:pPr>
      <w:r w:rsidRPr="00CB0024">
        <w:t>(a)</w:t>
      </w:r>
      <w:r w:rsidRPr="00CB0024">
        <w:tab/>
        <w:t xml:space="preserve">that the disease, deterioration </w:t>
      </w:r>
      <w:r w:rsidRPr="00CB0024">
        <w:rPr>
          <w:u w:val="single"/>
        </w:rPr>
        <w:t>or improvement</w:t>
      </w:r>
      <w:r w:rsidRPr="00CB0024">
        <w:t xml:space="preserve"> specified in the order or agreement </w:t>
      </w:r>
      <w:r w:rsidRPr="00CB0024">
        <w:rPr>
          <w:u w:val="single"/>
        </w:rPr>
        <w:t>has occurred</w:t>
      </w:r>
      <w:r w:rsidRPr="00CB0024">
        <w:t>, and</w:t>
      </w:r>
    </w:p>
    <w:p w14:paraId="55933EF6" w14:textId="77777777" w:rsidR="00BE557E" w:rsidRPr="00CB0024" w:rsidRDefault="00BE557E" w:rsidP="00793A17">
      <w:pPr>
        <w:pStyle w:val="FootnoteText"/>
        <w:ind w:left="1985" w:hanging="425"/>
      </w:pPr>
      <w:r w:rsidRPr="00CB0024">
        <w:t>(b)</w:t>
      </w:r>
      <w:r w:rsidRPr="00CB0024">
        <w:tab/>
        <w:t>that it has caused or is likely to cause an increase or decrease in the pecuniary loss suffered by the claimant.</w:t>
      </w:r>
    </w:p>
    <w:p w14:paraId="0CE33B43" w14:textId="73050479" w:rsidR="00BE557E" w:rsidRPr="00CB0024" w:rsidRDefault="00BE557E" w:rsidP="00793A17">
      <w:pPr>
        <w:pStyle w:val="FootnoteText"/>
        <w:tabs>
          <w:tab w:val="left" w:pos="1560"/>
        </w:tabs>
        <w:ind w:left="1560" w:hanging="426"/>
      </w:pPr>
      <w:r w:rsidRPr="00CB0024">
        <w:t>(2)</w:t>
      </w:r>
      <w:r w:rsidR="00793A17">
        <w:tab/>
      </w:r>
      <w:r w:rsidRPr="00CB0024">
        <w:t>Where the applicant is the claimant and he knows that the defendant is insured in respect of the claim and the identity of the defendant</w:t>
      </w:r>
      <w:r w:rsidR="00115808">
        <w:t>'</w:t>
      </w:r>
      <w:r w:rsidRPr="00CB0024">
        <w:t>s insurers, he must serve the application notice on the insurers as well as on the defendant.</w:t>
      </w:r>
    </w:p>
    <w:p w14:paraId="04652F4B" w14:textId="3E6DF5AD" w:rsidR="00BE557E" w:rsidRPr="00CB0024" w:rsidRDefault="00BE557E" w:rsidP="00793A17">
      <w:pPr>
        <w:pStyle w:val="FootnoteText"/>
        <w:tabs>
          <w:tab w:val="left" w:pos="1560"/>
        </w:tabs>
        <w:ind w:left="1560" w:hanging="426"/>
      </w:pPr>
      <w:r w:rsidRPr="00CB0024">
        <w:t>(3)</w:t>
      </w:r>
      <w:r w:rsidR="00793A17">
        <w:tab/>
      </w:r>
      <w:r w:rsidRPr="00CB0024">
        <w:t>Where the applicant is the claimant and he knows that the defendant is a member of a defence society and the identity of the defence society, he must serve the application notice on the defence society as well as on the defendant.</w:t>
      </w:r>
    </w:p>
    <w:p w14:paraId="38D3FB55" w14:textId="38AEE767" w:rsidR="00BE557E" w:rsidRPr="00CB0024" w:rsidRDefault="00BE557E" w:rsidP="00793A17">
      <w:pPr>
        <w:pStyle w:val="FootnoteText"/>
        <w:tabs>
          <w:tab w:val="left" w:pos="1560"/>
        </w:tabs>
        <w:ind w:left="1560" w:hanging="426"/>
      </w:pPr>
      <w:r w:rsidRPr="00CB0024">
        <w:t>(4)</w:t>
      </w:r>
      <w:r w:rsidR="00793A17">
        <w:tab/>
      </w:r>
      <w:r w:rsidRPr="00CB0024">
        <w:t>The respondent to the application may, within 28 days after service of the application, serve written representations on the applicant and, if he does, must file them with the court.</w:t>
      </w:r>
    </w:p>
    <w:p w14:paraId="375DB05D" w14:textId="27D7D0C4" w:rsidR="00BE557E" w:rsidRPr="00CB0024" w:rsidRDefault="00BE557E" w:rsidP="00793A17">
      <w:pPr>
        <w:pStyle w:val="FootnoteText"/>
        <w:tabs>
          <w:tab w:val="left" w:pos="1560"/>
        </w:tabs>
        <w:ind w:left="1560" w:hanging="426"/>
      </w:pPr>
      <w:r w:rsidRPr="00CB0024">
        <w:t>(5)</w:t>
      </w:r>
      <w:r w:rsidR="00793A17">
        <w:tab/>
      </w:r>
      <w:r w:rsidRPr="00CB0024">
        <w:t>The court will deal with the application without a hearing.</w:t>
      </w:r>
      <w:r w:rsidR="00115808">
        <w:t>"</w:t>
      </w:r>
      <w:r w:rsidRPr="00CB0024">
        <w:t xml:space="preserve"> (emphasis added)</w:t>
      </w:r>
    </w:p>
  </w:footnote>
  <w:footnote w:id="17">
    <w:p w14:paraId="036F9AF8" w14:textId="5DEF1833" w:rsidR="00C27EA5" w:rsidRDefault="00C27EA5" w:rsidP="005108F4">
      <w:pPr>
        <w:pStyle w:val="FootnoteText"/>
        <w:ind w:left="706" w:hanging="706"/>
      </w:pPr>
      <w:r>
        <w:rPr>
          <w:rStyle w:val="FootnoteReference"/>
        </w:rPr>
        <w:footnoteRef/>
      </w:r>
      <w:r>
        <w:t xml:space="preserve"> </w:t>
      </w:r>
      <w:r w:rsidR="00641698">
        <w:tab/>
      </w:r>
      <w:r w:rsidR="00641698" w:rsidRPr="00641698">
        <w:t xml:space="preserve">See CP, at paras 1.9, 2.3, 6.2 to 6.10 and 6.19 to 6.21.  </w:t>
      </w:r>
    </w:p>
  </w:footnote>
  <w:footnote w:id="18">
    <w:p w14:paraId="44D24E8B" w14:textId="77777777" w:rsidR="00E33FBA" w:rsidRPr="00CB0024" w:rsidRDefault="00E33FBA" w:rsidP="00E33FBA">
      <w:pPr>
        <w:pStyle w:val="FootnoteText"/>
      </w:pPr>
      <w:r w:rsidRPr="00CB0024">
        <w:rPr>
          <w:rStyle w:val="FootnoteReference"/>
        </w:rPr>
        <w:footnoteRef/>
      </w:r>
      <w:r w:rsidRPr="00CB0024">
        <w:t xml:space="preserve"> </w:t>
      </w:r>
      <w:r w:rsidRPr="00CB0024">
        <w:tab/>
      </w:r>
      <w:r w:rsidRPr="00CB0024">
        <w:rPr>
          <w:i/>
        </w:rPr>
        <w:t>Parry v Cleaver</w:t>
      </w:r>
      <w:r w:rsidRPr="00CB0024">
        <w:t xml:space="preserve"> [1970] AC 1, [1969] UKHL 2.</w:t>
      </w:r>
    </w:p>
  </w:footnote>
  <w:footnote w:id="19">
    <w:p w14:paraId="25E2C7E2" w14:textId="0851CEA0" w:rsidR="00E33FBA" w:rsidRPr="00CB0024" w:rsidRDefault="00E33FBA" w:rsidP="00E33FBA">
      <w:pPr>
        <w:pStyle w:val="FootnoteText"/>
      </w:pPr>
      <w:r w:rsidRPr="00CB0024">
        <w:rPr>
          <w:rStyle w:val="FootnoteReference"/>
        </w:rPr>
        <w:footnoteRef/>
      </w:r>
      <w:r w:rsidRPr="00CB0024">
        <w:t xml:space="preserve"> </w:t>
      </w:r>
      <w:r w:rsidRPr="00CB0024">
        <w:tab/>
        <w:t xml:space="preserve">See </w:t>
      </w:r>
      <w:r w:rsidR="00D10A4E">
        <w:t>CP</w:t>
      </w:r>
      <w:r w:rsidRPr="00CB0024">
        <w:t>, at para 3.29; Article 4 of the 2005 Order:</w:t>
      </w:r>
    </w:p>
    <w:p w14:paraId="081AE8DF" w14:textId="65764B57" w:rsidR="00E33FBA" w:rsidRPr="00CB0024" w:rsidRDefault="00E33FBA" w:rsidP="00E33FBA">
      <w:pPr>
        <w:pStyle w:val="FootnoteText"/>
      </w:pPr>
      <w:r w:rsidRPr="00CB0024">
        <w:tab/>
      </w:r>
      <w:r w:rsidR="00115808">
        <w:t>"</w:t>
      </w:r>
      <w:r w:rsidRPr="00CB0024">
        <w:t>The court may make a variable order in addition to an order for an award of provisional damages made by virtue of section 32A of the Supreme Court Act 1981 or section 51 of the County Courts Act 1984.</w:t>
      </w:r>
      <w:r w:rsidR="00115808">
        <w:t>"</w:t>
      </w:r>
    </w:p>
  </w:footnote>
  <w:footnote w:id="20">
    <w:p w14:paraId="0B646D3C" w14:textId="51231FC0" w:rsidR="00E33FBA" w:rsidRPr="00CB0024" w:rsidRDefault="00E33FBA" w:rsidP="00E33FBA">
      <w:pPr>
        <w:pStyle w:val="FootnoteText"/>
      </w:pPr>
      <w:r w:rsidRPr="00CB0024">
        <w:rPr>
          <w:rStyle w:val="FootnoteReference"/>
        </w:rPr>
        <w:footnoteRef/>
      </w:r>
      <w:r w:rsidRPr="00CB0024">
        <w:t xml:space="preserve"> </w:t>
      </w:r>
      <w:r w:rsidRPr="00CB0024">
        <w:tab/>
        <w:t xml:space="preserve">See </w:t>
      </w:r>
      <w:r w:rsidR="00D10A4E">
        <w:t>CP</w:t>
      </w:r>
      <w:r w:rsidRPr="00CB0024">
        <w:t>, at paras 3.32 to 3.34, with paras 3.33 to 3.34 defining the features of a provisional damages award and thus differentiating the provisional damages award with a PPO which is summarily defined at paras 3.20 and 3.24 to 3.25.</w:t>
      </w:r>
    </w:p>
  </w:footnote>
  <w:footnote w:id="21">
    <w:p w14:paraId="26BF4F72" w14:textId="77777777" w:rsidR="00E33FBA" w:rsidRPr="00CB0024" w:rsidRDefault="00E33FBA" w:rsidP="00E33FBA">
      <w:pPr>
        <w:pStyle w:val="FootnoteText"/>
      </w:pPr>
      <w:r w:rsidRPr="00CB0024">
        <w:rPr>
          <w:rStyle w:val="FootnoteReference"/>
        </w:rPr>
        <w:footnoteRef/>
      </w:r>
      <w:r w:rsidRPr="00CB0024">
        <w:t xml:space="preserve"> </w:t>
      </w:r>
      <w:r w:rsidRPr="00CB0024">
        <w:tab/>
        <w:t>Same as above, at para 3.36.</w:t>
      </w:r>
    </w:p>
  </w:footnote>
  <w:footnote w:id="22">
    <w:p w14:paraId="1457882E" w14:textId="77777777" w:rsidR="00E33FBA" w:rsidRPr="00CB0024" w:rsidRDefault="00E33FBA" w:rsidP="00E33FBA">
      <w:pPr>
        <w:pStyle w:val="FootnoteText"/>
      </w:pPr>
      <w:r w:rsidRPr="00CB0024">
        <w:rPr>
          <w:rStyle w:val="FootnoteReference"/>
        </w:rPr>
        <w:footnoteRef/>
      </w:r>
      <w:r w:rsidRPr="00CB0024">
        <w:t xml:space="preserve"> </w:t>
      </w:r>
      <w:r w:rsidRPr="00CB0024">
        <w:tab/>
        <w:t>Same as above, at para 6.55.</w:t>
      </w:r>
    </w:p>
  </w:footnote>
  <w:footnote w:id="23">
    <w:p w14:paraId="7D6221E0" w14:textId="77777777" w:rsidR="00035B92" w:rsidRPr="00CB0024" w:rsidRDefault="00035B92" w:rsidP="00035B92">
      <w:pPr>
        <w:pStyle w:val="FootnoteText"/>
      </w:pPr>
      <w:r w:rsidRPr="00CB0024">
        <w:rPr>
          <w:rStyle w:val="FootnoteReference"/>
        </w:rPr>
        <w:footnoteRef/>
      </w:r>
      <w:r w:rsidRPr="00CB0024">
        <w:t xml:space="preserve"> </w:t>
      </w:r>
      <w:r w:rsidRPr="00CB0024">
        <w:tab/>
        <w:t>Same as above, at paras 3.43 to 3.63.</w:t>
      </w:r>
    </w:p>
  </w:footnote>
  <w:footnote w:id="24">
    <w:p w14:paraId="2D913ED2" w14:textId="7FD76074" w:rsidR="00035B92" w:rsidRPr="00CB0024" w:rsidRDefault="00035B92" w:rsidP="00035B92">
      <w:pPr>
        <w:pStyle w:val="FootnoteText"/>
      </w:pPr>
      <w:r w:rsidRPr="00CB0024">
        <w:rPr>
          <w:rStyle w:val="FootnoteReference"/>
        </w:rPr>
        <w:footnoteRef/>
      </w:r>
      <w:r w:rsidRPr="00CB0024">
        <w:t xml:space="preserve"> </w:t>
      </w:r>
      <w:r w:rsidRPr="00CB0024">
        <w:tab/>
      </w:r>
      <w:r w:rsidR="00FA5CC6">
        <w:t>Same as above</w:t>
      </w:r>
      <w:r w:rsidRPr="00CB0024">
        <w:t>, at paras 6.58 to 6.81.</w:t>
      </w:r>
    </w:p>
  </w:footnote>
  <w:footnote w:id="25">
    <w:p w14:paraId="00C92E23" w14:textId="11ABE795" w:rsidR="005C1CA9" w:rsidRPr="00CB0024" w:rsidRDefault="005C1CA9" w:rsidP="005C1CA9">
      <w:pPr>
        <w:pStyle w:val="FootnoteText"/>
      </w:pPr>
      <w:r w:rsidRPr="00CB0024">
        <w:rPr>
          <w:rStyle w:val="FootnoteReference"/>
        </w:rPr>
        <w:footnoteRef/>
      </w:r>
      <w:r w:rsidRPr="00CB0024">
        <w:t xml:space="preserve"> </w:t>
      </w:r>
      <w:r w:rsidRPr="00CB0024">
        <w:tab/>
        <w:t>MIB</w:t>
      </w:r>
      <w:r w:rsidR="00115808">
        <w:t>'</w:t>
      </w:r>
      <w:r w:rsidRPr="00CB0024">
        <w:t>s mandate is to cater for motor accidents where either at the time of the accident giving rise to liability there is not in force a policy or such policy is ineffective; and where any final claim is not paid in full by the relevant insurer because of its insolvency.</w:t>
      </w:r>
    </w:p>
  </w:footnote>
  <w:footnote w:id="26">
    <w:p w14:paraId="40FB9263" w14:textId="4B262498" w:rsidR="005C1CA9" w:rsidRPr="00CB0024" w:rsidRDefault="005C1CA9" w:rsidP="005C1CA9">
      <w:pPr>
        <w:pStyle w:val="FootnoteText"/>
      </w:pPr>
      <w:r w:rsidRPr="00CB0024">
        <w:rPr>
          <w:rStyle w:val="FootnoteReference"/>
        </w:rPr>
        <w:footnoteRef/>
      </w:r>
      <w:r w:rsidRPr="00CB0024">
        <w:tab/>
        <w:t>ECIIB assumes responsibility for the liabilities of insurers engaging in employees</w:t>
      </w:r>
      <w:r w:rsidR="00115808">
        <w:t>'</w:t>
      </w:r>
      <w:r w:rsidRPr="00CB0024">
        <w:t xml:space="preserve"> compensation business that become insolvent.  It is the trustee of the insolvency fund set up under the Employees Compensation Assistance (Amendment) Ordinance 2002 to cater for claims arising from insurer insolvency.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1FF"/>
    <w:multiLevelType w:val="hybridMultilevel"/>
    <w:tmpl w:val="987C455A"/>
    <w:lvl w:ilvl="0" w:tplc="C7242E9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9E56C3"/>
    <w:multiLevelType w:val="hybridMultilevel"/>
    <w:tmpl w:val="9558C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71BCB"/>
    <w:multiLevelType w:val="hybridMultilevel"/>
    <w:tmpl w:val="0248E800"/>
    <w:lvl w:ilvl="0" w:tplc="AF38A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D95DB5"/>
    <w:multiLevelType w:val="hybridMultilevel"/>
    <w:tmpl w:val="7A3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50546"/>
    <w:multiLevelType w:val="hybridMultilevel"/>
    <w:tmpl w:val="0224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A1601"/>
    <w:multiLevelType w:val="multilevel"/>
    <w:tmpl w:val="B5948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EDA725E"/>
    <w:multiLevelType w:val="hybridMultilevel"/>
    <w:tmpl w:val="FCF631D8"/>
    <w:lvl w:ilvl="0" w:tplc="9A10C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3107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F6"/>
    <w:rsid w:val="00005A50"/>
    <w:rsid w:val="0001049D"/>
    <w:rsid w:val="000138ED"/>
    <w:rsid w:val="00031BE9"/>
    <w:rsid w:val="00035B92"/>
    <w:rsid w:val="000937A2"/>
    <w:rsid w:val="000954BE"/>
    <w:rsid w:val="00096ACF"/>
    <w:rsid w:val="000A4C47"/>
    <w:rsid w:val="000E10A2"/>
    <w:rsid w:val="000E3B2F"/>
    <w:rsid w:val="00115808"/>
    <w:rsid w:val="00115D77"/>
    <w:rsid w:val="00125901"/>
    <w:rsid w:val="00137688"/>
    <w:rsid w:val="00160FEC"/>
    <w:rsid w:val="001775EF"/>
    <w:rsid w:val="00194FC6"/>
    <w:rsid w:val="00195954"/>
    <w:rsid w:val="001C7B24"/>
    <w:rsid w:val="001D76F0"/>
    <w:rsid w:val="001E0EE8"/>
    <w:rsid w:val="001E21DE"/>
    <w:rsid w:val="001E7CE4"/>
    <w:rsid w:val="001F0D32"/>
    <w:rsid w:val="0021009B"/>
    <w:rsid w:val="00213531"/>
    <w:rsid w:val="002177FA"/>
    <w:rsid w:val="00223D9B"/>
    <w:rsid w:val="00252CD5"/>
    <w:rsid w:val="00265D1C"/>
    <w:rsid w:val="00266835"/>
    <w:rsid w:val="00271BD7"/>
    <w:rsid w:val="0029259F"/>
    <w:rsid w:val="002A14D5"/>
    <w:rsid w:val="002B3856"/>
    <w:rsid w:val="002F79E5"/>
    <w:rsid w:val="003068A2"/>
    <w:rsid w:val="00311734"/>
    <w:rsid w:val="003520F6"/>
    <w:rsid w:val="00363617"/>
    <w:rsid w:val="00380E11"/>
    <w:rsid w:val="00392EBD"/>
    <w:rsid w:val="003A6B45"/>
    <w:rsid w:val="003B1330"/>
    <w:rsid w:val="003E5A25"/>
    <w:rsid w:val="003F5ECC"/>
    <w:rsid w:val="003F6AE5"/>
    <w:rsid w:val="00402574"/>
    <w:rsid w:val="00414E07"/>
    <w:rsid w:val="00425D4C"/>
    <w:rsid w:val="00437A47"/>
    <w:rsid w:val="00445EB7"/>
    <w:rsid w:val="004532F1"/>
    <w:rsid w:val="00464C42"/>
    <w:rsid w:val="00495B76"/>
    <w:rsid w:val="004C79AC"/>
    <w:rsid w:val="004D6126"/>
    <w:rsid w:val="004D78D3"/>
    <w:rsid w:val="004E4F1C"/>
    <w:rsid w:val="00500B77"/>
    <w:rsid w:val="005108F4"/>
    <w:rsid w:val="00523784"/>
    <w:rsid w:val="00533CAD"/>
    <w:rsid w:val="00544719"/>
    <w:rsid w:val="005823DB"/>
    <w:rsid w:val="0059715F"/>
    <w:rsid w:val="005A1B18"/>
    <w:rsid w:val="005A65AE"/>
    <w:rsid w:val="005B0D52"/>
    <w:rsid w:val="005B12DA"/>
    <w:rsid w:val="005B4C83"/>
    <w:rsid w:val="005C1CA9"/>
    <w:rsid w:val="005C4F35"/>
    <w:rsid w:val="005C639A"/>
    <w:rsid w:val="005D12F7"/>
    <w:rsid w:val="005D7CD5"/>
    <w:rsid w:val="005E5AFB"/>
    <w:rsid w:val="005E79AE"/>
    <w:rsid w:val="005F34B3"/>
    <w:rsid w:val="005F6268"/>
    <w:rsid w:val="005F72AB"/>
    <w:rsid w:val="00605FE1"/>
    <w:rsid w:val="00612C0A"/>
    <w:rsid w:val="00627EDD"/>
    <w:rsid w:val="00641698"/>
    <w:rsid w:val="00655DBF"/>
    <w:rsid w:val="00660083"/>
    <w:rsid w:val="00681F84"/>
    <w:rsid w:val="006C4098"/>
    <w:rsid w:val="006D29A3"/>
    <w:rsid w:val="006D634D"/>
    <w:rsid w:val="006F3965"/>
    <w:rsid w:val="00704191"/>
    <w:rsid w:val="00711982"/>
    <w:rsid w:val="007213CF"/>
    <w:rsid w:val="00727959"/>
    <w:rsid w:val="0073516F"/>
    <w:rsid w:val="007873F0"/>
    <w:rsid w:val="007939E2"/>
    <w:rsid w:val="00793A17"/>
    <w:rsid w:val="007A3503"/>
    <w:rsid w:val="007A60CF"/>
    <w:rsid w:val="007C4D3E"/>
    <w:rsid w:val="007C7C13"/>
    <w:rsid w:val="007E4216"/>
    <w:rsid w:val="007F51E6"/>
    <w:rsid w:val="00800B82"/>
    <w:rsid w:val="00817E65"/>
    <w:rsid w:val="00835E02"/>
    <w:rsid w:val="00874213"/>
    <w:rsid w:val="008C0C35"/>
    <w:rsid w:val="008E2073"/>
    <w:rsid w:val="008E2137"/>
    <w:rsid w:val="00913C13"/>
    <w:rsid w:val="00974D0C"/>
    <w:rsid w:val="00975122"/>
    <w:rsid w:val="0098434D"/>
    <w:rsid w:val="00984A23"/>
    <w:rsid w:val="009907C7"/>
    <w:rsid w:val="00995444"/>
    <w:rsid w:val="009B46D1"/>
    <w:rsid w:val="009D05F4"/>
    <w:rsid w:val="009D1280"/>
    <w:rsid w:val="009E6D5F"/>
    <w:rsid w:val="009F5F37"/>
    <w:rsid w:val="00A31D95"/>
    <w:rsid w:val="00A4485B"/>
    <w:rsid w:val="00A45D20"/>
    <w:rsid w:val="00A5585B"/>
    <w:rsid w:val="00A55ED0"/>
    <w:rsid w:val="00A67947"/>
    <w:rsid w:val="00A903DF"/>
    <w:rsid w:val="00A95A33"/>
    <w:rsid w:val="00AB0C6E"/>
    <w:rsid w:val="00AB7D11"/>
    <w:rsid w:val="00AE1908"/>
    <w:rsid w:val="00AE54FA"/>
    <w:rsid w:val="00AE56E8"/>
    <w:rsid w:val="00B1294A"/>
    <w:rsid w:val="00B17AE6"/>
    <w:rsid w:val="00B27DA0"/>
    <w:rsid w:val="00B33389"/>
    <w:rsid w:val="00B536C8"/>
    <w:rsid w:val="00B72617"/>
    <w:rsid w:val="00B751C6"/>
    <w:rsid w:val="00B925CC"/>
    <w:rsid w:val="00B925E2"/>
    <w:rsid w:val="00BA1182"/>
    <w:rsid w:val="00BA13BB"/>
    <w:rsid w:val="00BA174C"/>
    <w:rsid w:val="00BC73B3"/>
    <w:rsid w:val="00BC7A87"/>
    <w:rsid w:val="00BD296A"/>
    <w:rsid w:val="00BD52AC"/>
    <w:rsid w:val="00BE557E"/>
    <w:rsid w:val="00C03F2D"/>
    <w:rsid w:val="00C2372F"/>
    <w:rsid w:val="00C27EA5"/>
    <w:rsid w:val="00C67AB5"/>
    <w:rsid w:val="00C85756"/>
    <w:rsid w:val="00CA1FF3"/>
    <w:rsid w:val="00CA6719"/>
    <w:rsid w:val="00CC636B"/>
    <w:rsid w:val="00CC7E54"/>
    <w:rsid w:val="00CE66B9"/>
    <w:rsid w:val="00CE6DA3"/>
    <w:rsid w:val="00CE7FB5"/>
    <w:rsid w:val="00CF0CBC"/>
    <w:rsid w:val="00D10A4E"/>
    <w:rsid w:val="00D20F05"/>
    <w:rsid w:val="00D225C0"/>
    <w:rsid w:val="00D26B5B"/>
    <w:rsid w:val="00D43C40"/>
    <w:rsid w:val="00D44AD6"/>
    <w:rsid w:val="00D47BA1"/>
    <w:rsid w:val="00D70832"/>
    <w:rsid w:val="00DB0037"/>
    <w:rsid w:val="00DD1A0C"/>
    <w:rsid w:val="00DD3793"/>
    <w:rsid w:val="00DD62A6"/>
    <w:rsid w:val="00DE6BDD"/>
    <w:rsid w:val="00E020D0"/>
    <w:rsid w:val="00E05D3C"/>
    <w:rsid w:val="00E0699A"/>
    <w:rsid w:val="00E33FBA"/>
    <w:rsid w:val="00E42645"/>
    <w:rsid w:val="00E723A5"/>
    <w:rsid w:val="00E828F8"/>
    <w:rsid w:val="00E9083E"/>
    <w:rsid w:val="00E90FEB"/>
    <w:rsid w:val="00E97E46"/>
    <w:rsid w:val="00EA4E66"/>
    <w:rsid w:val="00EA670C"/>
    <w:rsid w:val="00EC2484"/>
    <w:rsid w:val="00EF5482"/>
    <w:rsid w:val="00F10EC1"/>
    <w:rsid w:val="00F31C02"/>
    <w:rsid w:val="00F4134E"/>
    <w:rsid w:val="00F470B3"/>
    <w:rsid w:val="00F51075"/>
    <w:rsid w:val="00F51086"/>
    <w:rsid w:val="00F708AE"/>
    <w:rsid w:val="00F7384C"/>
    <w:rsid w:val="00F951FB"/>
    <w:rsid w:val="00F968DF"/>
    <w:rsid w:val="00FA0E6C"/>
    <w:rsid w:val="00FA5CC6"/>
    <w:rsid w:val="00FD70F3"/>
    <w:rsid w:val="00FE0DAA"/>
    <w:rsid w:val="00FF4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33F69D5"/>
  <w15:chartTrackingRefBased/>
  <w15:docId w15:val="{4D0CF22D-7B59-44E4-B452-D420ACCB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3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ACF"/>
    <w:pPr>
      <w:widowControl w:val="0"/>
      <w:tabs>
        <w:tab w:val="left" w:pos="1418"/>
      </w:tabs>
      <w:adjustRightInd w:val="0"/>
      <w:snapToGrid w:val="0"/>
      <w:spacing w:after="0" w:line="240" w:lineRule="auto"/>
      <w:jc w:val="both"/>
    </w:pPr>
    <w:rPr>
      <w:rFonts w:ascii="Arial" w:eastAsia="新細明體"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0F6"/>
    <w:rPr>
      <w:color w:val="0563C1" w:themeColor="hyperlink"/>
      <w:u w:val="single"/>
    </w:rPr>
  </w:style>
  <w:style w:type="paragraph" w:styleId="FootnoteText">
    <w:name w:val="footnote text"/>
    <w:basedOn w:val="Normal"/>
    <w:link w:val="FootnoteTextChar"/>
    <w:autoRedefine/>
    <w:uiPriority w:val="99"/>
    <w:rsid w:val="003520F6"/>
    <w:pPr>
      <w:widowControl/>
      <w:tabs>
        <w:tab w:val="clear" w:pos="1418"/>
      </w:tabs>
      <w:overflowPunct w:val="0"/>
      <w:autoSpaceDE w:val="0"/>
      <w:autoSpaceDN w:val="0"/>
      <w:spacing w:after="60" w:line="0" w:lineRule="atLeast"/>
      <w:ind w:left="709" w:hanging="709"/>
      <w:textAlignment w:val="baseline"/>
    </w:pPr>
    <w:rPr>
      <w:rFonts w:cs="Arial"/>
      <w:sz w:val="18"/>
      <w:szCs w:val="18"/>
      <w:lang w:val="en-US"/>
    </w:rPr>
  </w:style>
  <w:style w:type="character" w:customStyle="1" w:styleId="FootnoteTextChar">
    <w:name w:val="Footnote Text Char"/>
    <w:basedOn w:val="DefaultParagraphFont"/>
    <w:link w:val="FootnoteText"/>
    <w:uiPriority w:val="99"/>
    <w:rsid w:val="003520F6"/>
    <w:rPr>
      <w:rFonts w:ascii="Arial" w:eastAsia="新細明體" w:hAnsi="Arial" w:cs="Arial"/>
      <w:sz w:val="18"/>
      <w:szCs w:val="18"/>
    </w:rPr>
  </w:style>
  <w:style w:type="character" w:styleId="FootnoteReference">
    <w:name w:val="footnote reference"/>
    <w:uiPriority w:val="99"/>
    <w:rsid w:val="003520F6"/>
    <w:rPr>
      <w:rFonts w:ascii="Arial" w:eastAsia="新細明體" w:hAnsi="Arial"/>
      <w:dstrike w:val="0"/>
      <w:sz w:val="18"/>
      <w:szCs w:val="18"/>
      <w:vertAlign w:val="superscript"/>
    </w:rPr>
  </w:style>
  <w:style w:type="paragraph" w:customStyle="1" w:styleId="Indent1">
    <w:name w:val="Indent 1"/>
    <w:basedOn w:val="Normal"/>
    <w:rsid w:val="003520F6"/>
    <w:pPr>
      <w:ind w:left="1440" w:hanging="720"/>
    </w:pPr>
  </w:style>
  <w:style w:type="paragraph" w:customStyle="1" w:styleId="Indent2">
    <w:name w:val="Indent 2"/>
    <w:basedOn w:val="Normal"/>
    <w:rsid w:val="003520F6"/>
    <w:pPr>
      <w:ind w:left="2160" w:hanging="720"/>
    </w:pPr>
  </w:style>
  <w:style w:type="paragraph" w:styleId="Footer">
    <w:name w:val="footer"/>
    <w:basedOn w:val="Normal"/>
    <w:link w:val="FooterChar"/>
    <w:uiPriority w:val="99"/>
    <w:unhideWhenUsed/>
    <w:rsid w:val="003520F6"/>
    <w:pPr>
      <w:tabs>
        <w:tab w:val="clear" w:pos="1418"/>
        <w:tab w:val="center" w:pos="4153"/>
        <w:tab w:val="right" w:pos="8306"/>
      </w:tabs>
    </w:pPr>
    <w:rPr>
      <w:sz w:val="20"/>
      <w:szCs w:val="20"/>
    </w:rPr>
  </w:style>
  <w:style w:type="character" w:customStyle="1" w:styleId="FooterChar">
    <w:name w:val="Footer Char"/>
    <w:basedOn w:val="DefaultParagraphFont"/>
    <w:link w:val="Footer"/>
    <w:uiPriority w:val="99"/>
    <w:rsid w:val="003520F6"/>
    <w:rPr>
      <w:rFonts w:ascii="Arial" w:eastAsia="新細明體" w:hAnsi="Arial" w:cs="Times New Roman"/>
      <w:sz w:val="20"/>
      <w:szCs w:val="20"/>
      <w:lang w:val="en-GB"/>
    </w:rPr>
  </w:style>
  <w:style w:type="paragraph" w:styleId="ListParagraph">
    <w:name w:val="List Paragraph"/>
    <w:basedOn w:val="Normal"/>
    <w:uiPriority w:val="34"/>
    <w:qFormat/>
    <w:rsid w:val="003520F6"/>
    <w:pPr>
      <w:ind w:left="480"/>
    </w:pPr>
  </w:style>
  <w:style w:type="character" w:styleId="PageNumber">
    <w:name w:val="page number"/>
    <w:basedOn w:val="DefaultParagraphFont"/>
    <w:rsid w:val="003520F6"/>
  </w:style>
  <w:style w:type="character" w:styleId="CommentReference">
    <w:name w:val="annotation reference"/>
    <w:basedOn w:val="DefaultParagraphFont"/>
    <w:uiPriority w:val="39"/>
    <w:semiHidden/>
    <w:unhideWhenUsed/>
    <w:rsid w:val="003520F6"/>
    <w:rPr>
      <w:sz w:val="18"/>
      <w:szCs w:val="18"/>
    </w:rPr>
  </w:style>
  <w:style w:type="paragraph" w:styleId="CommentText">
    <w:name w:val="annotation text"/>
    <w:basedOn w:val="Normal"/>
    <w:link w:val="CommentTextChar"/>
    <w:uiPriority w:val="39"/>
    <w:unhideWhenUsed/>
    <w:rsid w:val="003520F6"/>
    <w:pPr>
      <w:jc w:val="left"/>
    </w:pPr>
  </w:style>
  <w:style w:type="character" w:customStyle="1" w:styleId="CommentTextChar">
    <w:name w:val="Comment Text Char"/>
    <w:basedOn w:val="DefaultParagraphFont"/>
    <w:link w:val="CommentText"/>
    <w:uiPriority w:val="39"/>
    <w:rsid w:val="003520F6"/>
    <w:rPr>
      <w:rFonts w:ascii="Arial" w:eastAsia="新細明體" w:hAnsi="Arial" w:cs="Times New Roman"/>
      <w:sz w:val="24"/>
      <w:szCs w:val="24"/>
      <w:lang w:val="en-GB"/>
    </w:rPr>
  </w:style>
  <w:style w:type="paragraph" w:styleId="BalloonText">
    <w:name w:val="Balloon Text"/>
    <w:basedOn w:val="Normal"/>
    <w:link w:val="BalloonTextChar"/>
    <w:uiPriority w:val="99"/>
    <w:semiHidden/>
    <w:unhideWhenUsed/>
    <w:rsid w:val="00352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F6"/>
    <w:rPr>
      <w:rFonts w:ascii="Segoe UI" w:eastAsia="新細明體" w:hAnsi="Segoe UI" w:cs="Segoe UI"/>
      <w:sz w:val="18"/>
      <w:szCs w:val="18"/>
      <w:lang w:val="en-GB"/>
    </w:rPr>
  </w:style>
  <w:style w:type="paragraph" w:styleId="Header">
    <w:name w:val="header"/>
    <w:basedOn w:val="Normal"/>
    <w:link w:val="HeaderChar"/>
    <w:uiPriority w:val="99"/>
    <w:unhideWhenUsed/>
    <w:rsid w:val="00BE557E"/>
    <w:pPr>
      <w:tabs>
        <w:tab w:val="clear" w:pos="1418"/>
        <w:tab w:val="center" w:pos="4320"/>
        <w:tab w:val="right" w:pos="8640"/>
      </w:tabs>
    </w:pPr>
  </w:style>
  <w:style w:type="character" w:customStyle="1" w:styleId="HeaderChar">
    <w:name w:val="Header Char"/>
    <w:basedOn w:val="DefaultParagraphFont"/>
    <w:link w:val="Header"/>
    <w:uiPriority w:val="99"/>
    <w:rsid w:val="00BE557E"/>
    <w:rPr>
      <w:rFonts w:ascii="Arial" w:eastAsia="新細明體" w:hAnsi="Arial"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1775EF"/>
    <w:pPr>
      <w:jc w:val="both"/>
    </w:pPr>
    <w:rPr>
      <w:b/>
      <w:bCs/>
      <w:sz w:val="20"/>
      <w:szCs w:val="20"/>
    </w:rPr>
  </w:style>
  <w:style w:type="character" w:customStyle="1" w:styleId="CommentSubjectChar">
    <w:name w:val="Comment Subject Char"/>
    <w:basedOn w:val="CommentTextChar"/>
    <w:link w:val="CommentSubject"/>
    <w:uiPriority w:val="99"/>
    <w:semiHidden/>
    <w:rsid w:val="001775EF"/>
    <w:rPr>
      <w:rFonts w:ascii="Arial" w:eastAsia="新細明體" w:hAnsi="Arial" w:cs="Times New Roman"/>
      <w:b/>
      <w:bCs/>
      <w:sz w:val="20"/>
      <w:szCs w:val="20"/>
      <w:lang w:val="en-GB"/>
    </w:rPr>
  </w:style>
  <w:style w:type="paragraph" w:customStyle="1" w:styleId="Recommendationindent1">
    <w:name w:val="Recommendation indent 1"/>
    <w:basedOn w:val="Normal"/>
    <w:rsid w:val="00AB7D11"/>
    <w:pPr>
      <w:ind w:left="720" w:hanging="7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0052">
      <w:bodyDiv w:val="1"/>
      <w:marLeft w:val="0"/>
      <w:marRight w:val="0"/>
      <w:marTop w:val="0"/>
      <w:marBottom w:val="0"/>
      <w:divBdr>
        <w:top w:val="none" w:sz="0" w:space="0" w:color="auto"/>
        <w:left w:val="none" w:sz="0" w:space="0" w:color="auto"/>
        <w:bottom w:val="none" w:sz="0" w:space="0" w:color="auto"/>
        <w:right w:val="none" w:sz="0" w:space="0" w:color="auto"/>
      </w:divBdr>
    </w:div>
    <w:div w:id="336344298">
      <w:bodyDiv w:val="1"/>
      <w:marLeft w:val="0"/>
      <w:marRight w:val="0"/>
      <w:marTop w:val="0"/>
      <w:marBottom w:val="0"/>
      <w:divBdr>
        <w:top w:val="none" w:sz="0" w:space="0" w:color="auto"/>
        <w:left w:val="none" w:sz="0" w:space="0" w:color="auto"/>
        <w:bottom w:val="none" w:sz="0" w:space="0" w:color="auto"/>
        <w:right w:val="none" w:sz="0" w:space="0" w:color="auto"/>
      </w:divBdr>
    </w:div>
    <w:div w:id="369191122">
      <w:bodyDiv w:val="1"/>
      <w:marLeft w:val="0"/>
      <w:marRight w:val="0"/>
      <w:marTop w:val="0"/>
      <w:marBottom w:val="0"/>
      <w:divBdr>
        <w:top w:val="none" w:sz="0" w:space="0" w:color="auto"/>
        <w:left w:val="none" w:sz="0" w:space="0" w:color="auto"/>
        <w:bottom w:val="none" w:sz="0" w:space="0" w:color="auto"/>
        <w:right w:val="none" w:sz="0" w:space="0" w:color="auto"/>
      </w:divBdr>
    </w:div>
    <w:div w:id="504784076">
      <w:bodyDiv w:val="1"/>
      <w:marLeft w:val="0"/>
      <w:marRight w:val="0"/>
      <w:marTop w:val="0"/>
      <w:marBottom w:val="0"/>
      <w:divBdr>
        <w:top w:val="none" w:sz="0" w:space="0" w:color="auto"/>
        <w:left w:val="none" w:sz="0" w:space="0" w:color="auto"/>
        <w:bottom w:val="none" w:sz="0" w:space="0" w:color="auto"/>
        <w:right w:val="none" w:sz="0" w:space="0" w:color="auto"/>
      </w:divBdr>
    </w:div>
    <w:div w:id="535893590">
      <w:bodyDiv w:val="1"/>
      <w:marLeft w:val="0"/>
      <w:marRight w:val="0"/>
      <w:marTop w:val="0"/>
      <w:marBottom w:val="0"/>
      <w:divBdr>
        <w:top w:val="none" w:sz="0" w:space="0" w:color="auto"/>
        <w:left w:val="none" w:sz="0" w:space="0" w:color="auto"/>
        <w:bottom w:val="none" w:sz="0" w:space="0" w:color="auto"/>
        <w:right w:val="none" w:sz="0" w:space="0" w:color="auto"/>
      </w:divBdr>
    </w:div>
    <w:div w:id="623737133">
      <w:bodyDiv w:val="1"/>
      <w:marLeft w:val="0"/>
      <w:marRight w:val="0"/>
      <w:marTop w:val="0"/>
      <w:marBottom w:val="0"/>
      <w:divBdr>
        <w:top w:val="none" w:sz="0" w:space="0" w:color="auto"/>
        <w:left w:val="none" w:sz="0" w:space="0" w:color="auto"/>
        <w:bottom w:val="none" w:sz="0" w:space="0" w:color="auto"/>
        <w:right w:val="none" w:sz="0" w:space="0" w:color="auto"/>
      </w:divBdr>
    </w:div>
    <w:div w:id="816607945">
      <w:bodyDiv w:val="1"/>
      <w:marLeft w:val="0"/>
      <w:marRight w:val="0"/>
      <w:marTop w:val="0"/>
      <w:marBottom w:val="0"/>
      <w:divBdr>
        <w:top w:val="none" w:sz="0" w:space="0" w:color="auto"/>
        <w:left w:val="none" w:sz="0" w:space="0" w:color="auto"/>
        <w:bottom w:val="none" w:sz="0" w:space="0" w:color="auto"/>
        <w:right w:val="none" w:sz="0" w:space="0" w:color="auto"/>
      </w:divBdr>
    </w:div>
    <w:div w:id="956791230">
      <w:bodyDiv w:val="1"/>
      <w:marLeft w:val="0"/>
      <w:marRight w:val="0"/>
      <w:marTop w:val="0"/>
      <w:marBottom w:val="0"/>
      <w:divBdr>
        <w:top w:val="none" w:sz="0" w:space="0" w:color="auto"/>
        <w:left w:val="none" w:sz="0" w:space="0" w:color="auto"/>
        <w:bottom w:val="none" w:sz="0" w:space="0" w:color="auto"/>
        <w:right w:val="none" w:sz="0" w:space="0" w:color="auto"/>
      </w:divBdr>
    </w:div>
    <w:div w:id="1409882426">
      <w:bodyDiv w:val="1"/>
      <w:marLeft w:val="0"/>
      <w:marRight w:val="0"/>
      <w:marTop w:val="0"/>
      <w:marBottom w:val="0"/>
      <w:divBdr>
        <w:top w:val="none" w:sz="0" w:space="0" w:color="auto"/>
        <w:left w:val="none" w:sz="0" w:space="0" w:color="auto"/>
        <w:bottom w:val="none" w:sz="0" w:space="0" w:color="auto"/>
        <w:right w:val="none" w:sz="0" w:space="0" w:color="auto"/>
      </w:divBdr>
    </w:div>
    <w:div w:id="1511722690">
      <w:bodyDiv w:val="1"/>
      <w:marLeft w:val="0"/>
      <w:marRight w:val="0"/>
      <w:marTop w:val="0"/>
      <w:marBottom w:val="0"/>
      <w:divBdr>
        <w:top w:val="none" w:sz="0" w:space="0" w:color="auto"/>
        <w:left w:val="none" w:sz="0" w:space="0" w:color="auto"/>
        <w:bottom w:val="none" w:sz="0" w:space="0" w:color="auto"/>
        <w:right w:val="none" w:sz="0" w:space="0" w:color="auto"/>
      </w:divBdr>
    </w:div>
    <w:div w:id="20701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reform.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7B69-F26E-47CC-B165-A5873A27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5900</Words>
  <Characters>33632</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FUNG , Kitty SF</dc:creator>
  <cp:keywords/>
  <dc:description/>
  <cp:lastModifiedBy>NG, Dennis WH</cp:lastModifiedBy>
  <cp:revision>2</cp:revision>
  <cp:lastPrinted>2023-01-16T08:52:00Z</cp:lastPrinted>
  <dcterms:created xsi:type="dcterms:W3CDTF">2023-01-17T11:37:00Z</dcterms:created>
  <dcterms:modified xsi:type="dcterms:W3CDTF">2023-01-17T11:37:00Z</dcterms:modified>
</cp:coreProperties>
</file>