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10DA" w14:textId="35D98156" w:rsidR="00F42E7B" w:rsidRPr="00536397" w:rsidRDefault="00F42E7B" w:rsidP="00F42E7B">
      <w:pPr>
        <w:snapToGrid w:val="0"/>
        <w:jc w:val="both"/>
        <w:rPr>
          <w:rFonts w:ascii="Arial" w:hAnsi="Arial" w:cs="Arial"/>
          <w:b/>
          <w:i/>
          <w:noProof w:val="0"/>
          <w:sz w:val="24"/>
          <w:szCs w:val="24"/>
          <w:lang w:eastAsia="en-US"/>
        </w:rPr>
      </w:pPr>
      <w:r>
        <w:rPr>
          <w:rFonts w:ascii="Arial" w:hAnsi="Arial" w:cs="Arial"/>
          <w:b/>
          <w:noProof w:val="0"/>
          <w:sz w:val="24"/>
          <w:szCs w:val="24"/>
          <w:lang w:eastAsia="en-US"/>
        </w:rPr>
        <w:t xml:space="preserve">LRC issues report on </w:t>
      </w:r>
      <w:r w:rsidR="00163934">
        <w:rPr>
          <w:rFonts w:ascii="Arial" w:hAnsi="Arial" w:cs="Arial"/>
          <w:b/>
          <w:noProof w:val="0"/>
          <w:sz w:val="24"/>
          <w:szCs w:val="24"/>
          <w:lang w:eastAsia="en-US"/>
        </w:rPr>
        <w:t>"</w:t>
      </w:r>
      <w:r w:rsidRPr="00851E30">
        <w:rPr>
          <w:rFonts w:ascii="Arial" w:hAnsi="Arial" w:cs="Arial"/>
          <w:b/>
          <w:noProof w:val="0"/>
          <w:sz w:val="24"/>
          <w:szCs w:val="24"/>
          <w:lang w:val="en-GB" w:eastAsia="en-US"/>
        </w:rPr>
        <w:t>Periodical Payments for Future Pecuniary Loss in Personal Injury Cases</w:t>
      </w:r>
      <w:r w:rsidR="00163934">
        <w:rPr>
          <w:rFonts w:ascii="Arial" w:hAnsi="Arial" w:cs="Arial"/>
          <w:b/>
          <w:noProof w:val="0"/>
          <w:sz w:val="24"/>
          <w:szCs w:val="24"/>
          <w:lang w:val="en-GB" w:eastAsia="en-US"/>
        </w:rPr>
        <w:t>"</w:t>
      </w:r>
    </w:p>
    <w:p w14:paraId="4CE45EA0" w14:textId="77777777" w:rsidR="00F42E7B" w:rsidRDefault="00F42E7B" w:rsidP="00F42E7B">
      <w:pPr>
        <w:snapToGrid w:val="0"/>
        <w:jc w:val="both"/>
        <w:rPr>
          <w:rFonts w:ascii="Arial" w:hAnsi="Arial" w:cs="Arial"/>
          <w:noProof w:val="0"/>
          <w:sz w:val="24"/>
          <w:szCs w:val="24"/>
          <w:lang w:eastAsia="en-US"/>
        </w:rPr>
      </w:pPr>
      <w:r>
        <w:rPr>
          <w:rFonts w:ascii="Arial" w:hAnsi="Arial" w:cs="Arial"/>
          <w:noProof w:val="0"/>
          <w:sz w:val="24"/>
          <w:szCs w:val="24"/>
          <w:lang w:eastAsia="en-US"/>
        </w:rPr>
        <w:t>****************************************************************************************</w:t>
      </w:r>
    </w:p>
    <w:p w14:paraId="700EFB63" w14:textId="77777777" w:rsidR="00F42E7B" w:rsidRDefault="00F42E7B" w:rsidP="00F42E7B">
      <w:pPr>
        <w:adjustRightInd w:val="0"/>
        <w:snapToGrid w:val="0"/>
        <w:spacing w:line="360" w:lineRule="auto"/>
        <w:ind w:firstLine="1276"/>
        <w:jc w:val="both"/>
        <w:rPr>
          <w:rFonts w:ascii="Arial" w:hAnsi="Arial" w:cs="Arial"/>
          <w:noProof w:val="0"/>
          <w:sz w:val="24"/>
          <w:szCs w:val="24"/>
          <w:lang w:eastAsia="en-US"/>
        </w:rPr>
      </w:pPr>
    </w:p>
    <w:p w14:paraId="09CEE7F3" w14:textId="7424139C" w:rsidR="00F42E7B" w:rsidRPr="002C5338" w:rsidRDefault="00163934" w:rsidP="00851E30">
      <w:pPr>
        <w:adjustRightInd w:val="0"/>
        <w:snapToGrid w:val="0"/>
        <w:spacing w:line="360" w:lineRule="auto"/>
        <w:jc w:val="both"/>
        <w:rPr>
          <w:rFonts w:ascii="Arial" w:hAnsi="Arial" w:cs="Arial"/>
          <w:noProof w:val="0"/>
          <w:color w:val="auto"/>
          <w:sz w:val="24"/>
          <w:szCs w:val="24"/>
          <w:lang w:eastAsia="en-US"/>
        </w:rPr>
      </w:pPr>
      <w:r>
        <w:rPr>
          <w:rFonts w:ascii="Arial" w:hAnsi="Arial" w:cs="Arial"/>
          <w:noProof w:val="0"/>
          <w:sz w:val="24"/>
          <w:szCs w:val="24"/>
          <w:lang w:eastAsia="en-US"/>
        </w:rPr>
        <w:t xml:space="preserve">     </w:t>
      </w:r>
      <w:r w:rsidR="00F42E7B">
        <w:rPr>
          <w:rFonts w:ascii="Arial" w:hAnsi="Arial" w:cs="Arial"/>
          <w:noProof w:val="0"/>
          <w:sz w:val="24"/>
          <w:szCs w:val="24"/>
          <w:lang w:eastAsia="en-US"/>
        </w:rPr>
        <w:t>The Law Reform Commission of Hong Kong (LRC)</w:t>
      </w:r>
      <w:r w:rsidR="00F42E7B" w:rsidRPr="00F017BB">
        <w:rPr>
          <w:rFonts w:ascii="Arial" w:hAnsi="Arial" w:cs="Arial"/>
          <w:noProof w:val="0"/>
          <w:sz w:val="24"/>
          <w:szCs w:val="24"/>
          <w:lang w:eastAsia="en-US"/>
        </w:rPr>
        <w:t xml:space="preserve"> </w:t>
      </w:r>
      <w:r w:rsidR="00F42E7B" w:rsidRPr="003B3E4E">
        <w:rPr>
          <w:rFonts w:ascii="Arial" w:hAnsi="Arial" w:cs="Arial"/>
          <w:noProof w:val="0"/>
          <w:sz w:val="24"/>
          <w:szCs w:val="24"/>
          <w:lang w:eastAsia="en-US"/>
        </w:rPr>
        <w:t>today (</w:t>
      </w:r>
      <w:r w:rsidR="008317B5">
        <w:rPr>
          <w:rFonts w:ascii="Arial" w:hAnsi="Arial" w:cs="Arial"/>
          <w:noProof w:val="0"/>
          <w:sz w:val="24"/>
          <w:szCs w:val="24"/>
          <w:lang w:eastAsia="en-US"/>
        </w:rPr>
        <w:t>January</w:t>
      </w:r>
      <w:r w:rsidR="00B0376D">
        <w:rPr>
          <w:rFonts w:ascii="Arial" w:hAnsi="Arial" w:cs="Arial"/>
          <w:noProof w:val="0"/>
          <w:sz w:val="24"/>
          <w:szCs w:val="24"/>
          <w:lang w:eastAsia="en-US"/>
        </w:rPr>
        <w:t xml:space="preserve"> 19</w:t>
      </w:r>
      <w:r w:rsidR="00F42E7B" w:rsidRPr="003B3E4E">
        <w:rPr>
          <w:rFonts w:ascii="Arial" w:hAnsi="Arial" w:cs="Arial"/>
          <w:noProof w:val="0"/>
          <w:sz w:val="24"/>
          <w:szCs w:val="24"/>
          <w:lang w:eastAsia="en-US"/>
        </w:rPr>
        <w:t>)</w:t>
      </w:r>
      <w:r w:rsidR="00F42E7B" w:rsidRPr="00F017BB">
        <w:rPr>
          <w:rFonts w:ascii="Arial" w:hAnsi="Arial" w:cs="Arial"/>
          <w:noProof w:val="0"/>
          <w:sz w:val="24"/>
          <w:szCs w:val="24"/>
          <w:lang w:eastAsia="en-US"/>
        </w:rPr>
        <w:t xml:space="preserve"> </w:t>
      </w:r>
      <w:r w:rsidR="00F42E7B">
        <w:rPr>
          <w:rFonts w:ascii="Arial" w:hAnsi="Arial" w:cs="Arial"/>
          <w:noProof w:val="0"/>
          <w:sz w:val="24"/>
          <w:szCs w:val="24"/>
          <w:lang w:eastAsia="en-US"/>
        </w:rPr>
        <w:t>published a</w:t>
      </w:r>
      <w:r w:rsidR="00F42E7B" w:rsidRPr="00203273">
        <w:rPr>
          <w:rFonts w:ascii="Arial" w:hAnsi="Arial" w:cs="Arial"/>
          <w:noProof w:val="0"/>
          <w:sz w:val="24"/>
          <w:szCs w:val="24"/>
          <w:lang w:eastAsia="en-US"/>
        </w:rPr>
        <w:t xml:space="preserve"> </w:t>
      </w:r>
      <w:r w:rsidR="00F42E7B">
        <w:rPr>
          <w:rFonts w:ascii="Arial" w:hAnsi="Arial" w:cs="Arial"/>
          <w:noProof w:val="0"/>
          <w:sz w:val="24"/>
          <w:szCs w:val="24"/>
          <w:lang w:eastAsia="en-US"/>
        </w:rPr>
        <w:t>r</w:t>
      </w:r>
      <w:r w:rsidR="00F42E7B" w:rsidRPr="00203273">
        <w:rPr>
          <w:rFonts w:ascii="Arial" w:hAnsi="Arial" w:cs="Arial"/>
          <w:noProof w:val="0"/>
          <w:sz w:val="24"/>
          <w:szCs w:val="24"/>
          <w:lang w:eastAsia="en-US"/>
        </w:rPr>
        <w:t>epo</w:t>
      </w:r>
      <w:r w:rsidR="00F42E7B" w:rsidRPr="002C5338">
        <w:rPr>
          <w:rFonts w:ascii="Arial" w:hAnsi="Arial" w:cs="Arial"/>
          <w:noProof w:val="0"/>
          <w:color w:val="auto"/>
          <w:sz w:val="24"/>
          <w:szCs w:val="24"/>
          <w:lang w:eastAsia="en-US"/>
        </w:rPr>
        <w:t xml:space="preserve">rt on </w:t>
      </w:r>
      <w:r>
        <w:rPr>
          <w:rFonts w:ascii="Arial" w:hAnsi="Arial" w:cs="Arial"/>
          <w:noProof w:val="0"/>
          <w:color w:val="auto"/>
          <w:sz w:val="24"/>
          <w:szCs w:val="24"/>
          <w:lang w:eastAsia="en-US"/>
        </w:rPr>
        <w:t>"</w:t>
      </w:r>
      <w:r w:rsidR="00F42E7B" w:rsidRPr="002C5338">
        <w:rPr>
          <w:rFonts w:ascii="Arial" w:hAnsi="Arial" w:cs="Arial"/>
          <w:noProof w:val="0"/>
          <w:color w:val="auto"/>
          <w:sz w:val="24"/>
          <w:szCs w:val="24"/>
          <w:lang w:eastAsia="en-US"/>
        </w:rPr>
        <w:t>Periodical Payments for Future Pecuniary Loss in Personal Injury Cases</w:t>
      </w:r>
      <w:r>
        <w:rPr>
          <w:rFonts w:ascii="Arial" w:hAnsi="Arial" w:cs="Arial"/>
          <w:noProof w:val="0"/>
          <w:color w:val="auto"/>
          <w:sz w:val="24"/>
          <w:szCs w:val="24"/>
          <w:lang w:eastAsia="en-US"/>
        </w:rPr>
        <w:t>"</w:t>
      </w:r>
      <w:r w:rsidR="00F42E7B" w:rsidRPr="002C5338">
        <w:rPr>
          <w:rFonts w:ascii="Arial" w:hAnsi="Arial" w:cs="Arial"/>
          <w:noProof w:val="0"/>
          <w:color w:val="auto"/>
          <w:sz w:val="24"/>
          <w:szCs w:val="24"/>
          <w:lang w:eastAsia="en-US"/>
        </w:rPr>
        <w:t>, recommending that the court should be given, by way of legislation, the power to make</w:t>
      </w:r>
      <w:r w:rsidR="00D34511">
        <w:rPr>
          <w:rFonts w:ascii="Arial" w:hAnsi="Arial" w:cs="Arial"/>
          <w:noProof w:val="0"/>
          <w:color w:val="auto"/>
          <w:sz w:val="24"/>
          <w:szCs w:val="24"/>
          <w:lang w:eastAsia="en-US"/>
        </w:rPr>
        <w:t>, in suitable cases,</w:t>
      </w:r>
      <w:r w:rsidR="00F42E7B" w:rsidRPr="002C5338">
        <w:rPr>
          <w:rFonts w:ascii="Arial" w:hAnsi="Arial" w:cs="Arial"/>
          <w:noProof w:val="0"/>
          <w:color w:val="auto"/>
          <w:sz w:val="24"/>
          <w:szCs w:val="24"/>
          <w:lang w:eastAsia="en-US"/>
        </w:rPr>
        <w:t xml:space="preserve"> periodical payment orders (PPOs) in respect of damages for future pecuniary loss in personal injury cases.</w:t>
      </w:r>
    </w:p>
    <w:p w14:paraId="61A506CE" w14:textId="77777777" w:rsidR="00F42E7B" w:rsidRPr="002C5338" w:rsidRDefault="00F42E7B" w:rsidP="00F42E7B">
      <w:pPr>
        <w:adjustRightInd w:val="0"/>
        <w:snapToGrid w:val="0"/>
        <w:spacing w:line="360" w:lineRule="auto"/>
        <w:ind w:firstLine="1276"/>
        <w:jc w:val="both"/>
        <w:rPr>
          <w:rFonts w:ascii="Arial" w:hAnsi="Arial" w:cs="Arial"/>
          <w:noProof w:val="0"/>
          <w:color w:val="auto"/>
          <w:sz w:val="24"/>
          <w:szCs w:val="24"/>
          <w:lang w:val="en-GB" w:eastAsia="en-US"/>
        </w:rPr>
      </w:pPr>
    </w:p>
    <w:p w14:paraId="1143A48F" w14:textId="203867D7" w:rsidR="00833C38" w:rsidRDefault="00163934" w:rsidP="00851E30">
      <w:pPr>
        <w:adjustRightInd w:val="0"/>
        <w:snapToGrid w:val="0"/>
        <w:spacing w:line="360" w:lineRule="auto"/>
        <w:jc w:val="both"/>
        <w:rPr>
          <w:rFonts w:ascii="Arial" w:hAnsi="Arial" w:cs="Arial"/>
          <w:noProof w:val="0"/>
          <w:color w:val="auto"/>
          <w:sz w:val="24"/>
          <w:szCs w:val="24"/>
          <w:lang w:val="en-GB" w:eastAsia="en-US"/>
        </w:rPr>
      </w:pPr>
      <w:r>
        <w:rPr>
          <w:rFonts w:ascii="Arial" w:hAnsi="Arial" w:cs="Arial"/>
          <w:noProof w:val="0"/>
          <w:color w:val="auto"/>
          <w:sz w:val="24"/>
          <w:szCs w:val="24"/>
          <w:lang w:val="en-GB" w:eastAsia="en-US"/>
        </w:rPr>
        <w:t xml:space="preserve">     </w:t>
      </w:r>
      <w:r w:rsidR="00F42E7B" w:rsidRPr="002C5338">
        <w:rPr>
          <w:rFonts w:ascii="Arial" w:hAnsi="Arial" w:cs="Arial"/>
          <w:noProof w:val="0"/>
          <w:color w:val="auto"/>
          <w:sz w:val="24"/>
          <w:szCs w:val="24"/>
          <w:lang w:val="en-GB" w:eastAsia="en-US"/>
        </w:rPr>
        <w:t>The report follows a study by the LRC</w:t>
      </w:r>
      <w:r>
        <w:rPr>
          <w:rFonts w:ascii="Arial" w:hAnsi="Arial" w:cs="Arial"/>
          <w:noProof w:val="0"/>
          <w:color w:val="auto"/>
          <w:sz w:val="24"/>
          <w:szCs w:val="24"/>
          <w:lang w:val="en-GB" w:eastAsia="en-US"/>
        </w:rPr>
        <w:t>'</w:t>
      </w:r>
      <w:r w:rsidR="00F42E7B" w:rsidRPr="002C5338">
        <w:rPr>
          <w:rFonts w:ascii="Arial" w:hAnsi="Arial" w:cs="Arial"/>
          <w:noProof w:val="0"/>
          <w:color w:val="auto"/>
          <w:sz w:val="24"/>
          <w:szCs w:val="24"/>
          <w:lang w:val="en-GB" w:eastAsia="en-US"/>
        </w:rPr>
        <w:t xml:space="preserve">s </w:t>
      </w:r>
      <w:r w:rsidR="002C7993" w:rsidRPr="002C5338">
        <w:rPr>
          <w:rFonts w:ascii="Arial" w:hAnsi="Arial" w:cs="Arial"/>
          <w:noProof w:val="0"/>
          <w:color w:val="auto"/>
          <w:sz w:val="24"/>
          <w:szCs w:val="24"/>
          <w:lang w:val="en-GB" w:eastAsia="en-US"/>
        </w:rPr>
        <w:t>Periodical Payments for Future Pecuniary Loss in Personal Injury Cases Sub-committee</w:t>
      </w:r>
      <w:r w:rsidR="00F42E7B" w:rsidRPr="002C5338">
        <w:rPr>
          <w:rFonts w:ascii="Arial" w:hAnsi="Arial" w:cs="Arial"/>
          <w:noProof w:val="0"/>
          <w:color w:val="auto"/>
          <w:sz w:val="24"/>
          <w:szCs w:val="24"/>
          <w:lang w:val="en-GB" w:eastAsia="en-US"/>
        </w:rPr>
        <w:t xml:space="preserve"> chaired by </w:t>
      </w:r>
      <w:r w:rsidR="002C7993" w:rsidRPr="002C5338">
        <w:rPr>
          <w:rFonts w:ascii="Arial" w:hAnsi="Arial" w:cs="Arial"/>
          <w:noProof w:val="0"/>
          <w:color w:val="auto"/>
          <w:sz w:val="24"/>
          <w:szCs w:val="24"/>
          <w:lang w:val="en-GB" w:eastAsia="en-US"/>
        </w:rPr>
        <w:t>Mr Raymond Leung, SC</w:t>
      </w:r>
      <w:r w:rsidR="00F42E7B" w:rsidRPr="002C5338">
        <w:rPr>
          <w:rFonts w:ascii="Arial" w:hAnsi="Arial" w:cs="Arial"/>
          <w:noProof w:val="0"/>
          <w:color w:val="auto"/>
          <w:sz w:val="24"/>
          <w:szCs w:val="24"/>
          <w:lang w:val="en-GB" w:eastAsia="en-US"/>
        </w:rPr>
        <w:t xml:space="preserve">, which issued a consultation paper in </w:t>
      </w:r>
      <w:r w:rsidR="002C7993" w:rsidRPr="002C5338">
        <w:rPr>
          <w:rFonts w:ascii="Arial" w:hAnsi="Arial" w:cs="Arial"/>
          <w:noProof w:val="0"/>
          <w:color w:val="auto"/>
          <w:sz w:val="24"/>
          <w:szCs w:val="24"/>
          <w:lang w:val="en-GB" w:eastAsia="en-US"/>
        </w:rPr>
        <w:t>April 2018</w:t>
      </w:r>
      <w:r w:rsidR="00F42E7B" w:rsidRPr="002C5338">
        <w:rPr>
          <w:rFonts w:ascii="Arial" w:hAnsi="Arial" w:cs="Arial"/>
          <w:noProof w:val="0"/>
          <w:color w:val="auto"/>
          <w:sz w:val="24"/>
          <w:szCs w:val="24"/>
          <w:lang w:val="en-GB" w:eastAsia="en-US"/>
        </w:rPr>
        <w:t xml:space="preserve">. The Sub-committee has </w:t>
      </w:r>
      <w:r w:rsidR="00045C9C" w:rsidRPr="002C5338">
        <w:rPr>
          <w:rFonts w:ascii="Arial" w:hAnsi="Arial" w:cs="Arial"/>
          <w:noProof w:val="0"/>
          <w:color w:val="auto"/>
          <w:sz w:val="24"/>
          <w:szCs w:val="24"/>
          <w:lang w:val="en-GB" w:eastAsia="en-US"/>
        </w:rPr>
        <w:t xml:space="preserve">studied the current law and relevant practices </w:t>
      </w:r>
      <w:r w:rsidR="00DA6FB1">
        <w:rPr>
          <w:rFonts w:ascii="Arial" w:hAnsi="Arial" w:cs="Arial"/>
          <w:noProof w:val="0"/>
          <w:color w:val="auto"/>
          <w:sz w:val="24"/>
          <w:szCs w:val="24"/>
          <w:lang w:val="en-GB" w:eastAsia="en-US"/>
        </w:rPr>
        <w:t xml:space="preserve">in assessing </w:t>
      </w:r>
      <w:r w:rsidR="00DA6FB1" w:rsidRPr="00DA6FB1">
        <w:rPr>
          <w:rFonts w:ascii="Arial" w:hAnsi="Arial" w:cs="Arial"/>
          <w:noProof w:val="0"/>
          <w:color w:val="auto"/>
          <w:sz w:val="24"/>
          <w:szCs w:val="24"/>
          <w:lang w:val="en-GB" w:eastAsia="en-US"/>
        </w:rPr>
        <w:t xml:space="preserve">damages for future pecuniary loss in personal injury cases </w:t>
      </w:r>
      <w:r w:rsidR="00045C9C" w:rsidRPr="002C5338">
        <w:rPr>
          <w:rFonts w:ascii="Arial" w:hAnsi="Arial" w:cs="Arial"/>
          <w:noProof w:val="0"/>
          <w:color w:val="auto"/>
          <w:sz w:val="24"/>
          <w:szCs w:val="24"/>
          <w:lang w:val="en-GB" w:eastAsia="en-US"/>
        </w:rPr>
        <w:t xml:space="preserve">in Hong Kong, and compared them with the experience of other jurisdictions, such as </w:t>
      </w:r>
      <w:r w:rsidR="00045C9C" w:rsidRPr="002C5338">
        <w:rPr>
          <w:rFonts w:ascii="Arial" w:hAnsi="Arial" w:cs="Arial"/>
          <w:noProof w:val="0"/>
          <w:color w:val="auto"/>
          <w:sz w:val="24"/>
          <w:szCs w:val="24"/>
          <w:lang w:eastAsia="en-US"/>
        </w:rPr>
        <w:t>the United Kingdom, Ireland, other European countries, the United States and Singapore.</w:t>
      </w:r>
    </w:p>
    <w:p w14:paraId="634AF4BD" w14:textId="77777777" w:rsidR="00833C38" w:rsidRDefault="00833C38" w:rsidP="00F42E7B">
      <w:pPr>
        <w:adjustRightInd w:val="0"/>
        <w:snapToGrid w:val="0"/>
        <w:spacing w:line="360" w:lineRule="auto"/>
        <w:ind w:firstLine="1276"/>
        <w:jc w:val="both"/>
        <w:rPr>
          <w:rFonts w:ascii="Arial" w:hAnsi="Arial" w:cs="Arial"/>
          <w:noProof w:val="0"/>
          <w:color w:val="auto"/>
          <w:sz w:val="24"/>
          <w:szCs w:val="24"/>
          <w:lang w:val="en-GB" w:eastAsia="en-US"/>
        </w:rPr>
      </w:pPr>
    </w:p>
    <w:p w14:paraId="03CB9E81" w14:textId="557C20D3" w:rsidR="000C3A52" w:rsidRPr="00A65BB5" w:rsidRDefault="00163934" w:rsidP="00851E30">
      <w:pPr>
        <w:snapToGrid w:val="0"/>
        <w:spacing w:line="360" w:lineRule="auto"/>
        <w:jc w:val="both"/>
        <w:rPr>
          <w:rFonts w:ascii="Arial" w:hAnsi="Arial" w:cs="Arial"/>
          <w:sz w:val="24"/>
          <w:szCs w:val="24"/>
        </w:rPr>
      </w:pPr>
      <w:r>
        <w:rPr>
          <w:rFonts w:ascii="Arial" w:hAnsi="Arial" w:cs="Arial"/>
          <w:noProof w:val="0"/>
          <w:color w:val="auto"/>
          <w:sz w:val="24"/>
          <w:szCs w:val="24"/>
          <w:lang w:val="en-GB" w:eastAsia="en-US"/>
        </w:rPr>
        <w:t xml:space="preserve">     </w:t>
      </w:r>
      <w:r w:rsidR="00833C38" w:rsidRPr="00A65BB5">
        <w:rPr>
          <w:rFonts w:ascii="Arial" w:hAnsi="Arial" w:cs="Arial"/>
          <w:noProof w:val="0"/>
          <w:color w:val="auto"/>
          <w:sz w:val="24"/>
          <w:szCs w:val="24"/>
          <w:lang w:val="en-GB" w:eastAsia="en-US"/>
        </w:rPr>
        <w:t>Under the current law</w:t>
      </w:r>
      <w:r w:rsidR="00BF0C27" w:rsidRPr="00A65BB5">
        <w:rPr>
          <w:rFonts w:ascii="Arial" w:hAnsi="Arial" w:cs="Arial"/>
          <w:noProof w:val="0"/>
          <w:color w:val="auto"/>
          <w:sz w:val="24"/>
          <w:szCs w:val="24"/>
          <w:lang w:val="en-GB" w:eastAsia="en-US"/>
        </w:rPr>
        <w:t xml:space="preserve"> in Hong Kong</w:t>
      </w:r>
      <w:r w:rsidR="00833C38" w:rsidRPr="00A65BB5">
        <w:rPr>
          <w:rFonts w:ascii="Arial" w:hAnsi="Arial" w:cs="Arial"/>
          <w:noProof w:val="0"/>
          <w:color w:val="auto"/>
          <w:sz w:val="24"/>
          <w:szCs w:val="24"/>
          <w:lang w:val="en-GB" w:eastAsia="en-US"/>
        </w:rPr>
        <w:t xml:space="preserve">, the court awards pecuniary damages in personal injury cases in a lump sum. Damages for future pecuniary losses may be awarded on the same basis as damages for past pecuniary losses, that is, </w:t>
      </w:r>
      <w:r w:rsidR="00833C38" w:rsidRPr="00A65BB5">
        <w:rPr>
          <w:rFonts w:ascii="Arial" w:hAnsi="Arial" w:cs="Arial"/>
          <w:i/>
          <w:noProof w:val="0"/>
          <w:color w:val="auto"/>
          <w:sz w:val="24"/>
          <w:szCs w:val="24"/>
          <w:lang w:val="en-GB" w:eastAsia="en-US"/>
        </w:rPr>
        <w:t>restitutio in integrum</w:t>
      </w:r>
      <w:r w:rsidR="00833C38" w:rsidRPr="00A65BB5">
        <w:rPr>
          <w:rFonts w:ascii="Arial" w:hAnsi="Arial" w:cs="Arial"/>
          <w:noProof w:val="0"/>
          <w:color w:val="auto"/>
          <w:sz w:val="24"/>
          <w:szCs w:val="24"/>
          <w:lang w:val="en-GB" w:eastAsia="en-US"/>
        </w:rPr>
        <w:t xml:space="preserve"> or full compensation for the loss. </w:t>
      </w:r>
      <w:r w:rsidR="00BF0C27" w:rsidRPr="00A65BB5">
        <w:rPr>
          <w:rFonts w:ascii="Arial" w:hAnsi="Arial" w:cs="Arial"/>
          <w:noProof w:val="0"/>
          <w:color w:val="auto"/>
          <w:sz w:val="24"/>
          <w:szCs w:val="24"/>
          <w:lang w:val="en-GB" w:eastAsia="en-US"/>
        </w:rPr>
        <w:t xml:space="preserve">The claimant's past and future losses are assessed and crystallised, once and for all, into a lump sum payment which is determined at the date of the hearing or agreement.  </w:t>
      </w:r>
      <w:r w:rsidR="00833C38" w:rsidRPr="00A65BB5">
        <w:rPr>
          <w:rFonts w:ascii="Arial" w:hAnsi="Arial" w:cs="Arial"/>
          <w:noProof w:val="0"/>
          <w:color w:val="auto"/>
          <w:sz w:val="24"/>
          <w:szCs w:val="24"/>
          <w:lang w:val="en-GB" w:eastAsia="en-US"/>
        </w:rPr>
        <w:t>Assessing a "</w:t>
      </w:r>
      <w:r w:rsidR="00833C38" w:rsidRPr="00851E30">
        <w:rPr>
          <w:rFonts w:ascii="Arial" w:hAnsi="Arial" w:cs="Arial"/>
          <w:noProof w:val="0"/>
          <w:color w:val="auto"/>
          <w:sz w:val="24"/>
          <w:szCs w:val="24"/>
          <w:lang w:val="en-GB" w:eastAsia="en-US"/>
        </w:rPr>
        <w:t>once and for all</w:t>
      </w:r>
      <w:r w:rsidR="00833C38" w:rsidRPr="00A65BB5">
        <w:rPr>
          <w:rFonts w:ascii="Arial" w:hAnsi="Arial" w:cs="Arial"/>
          <w:noProof w:val="0"/>
          <w:color w:val="auto"/>
          <w:sz w:val="24"/>
          <w:szCs w:val="24"/>
          <w:lang w:val="en-GB" w:eastAsia="en-US"/>
        </w:rPr>
        <w:t>" lump sum award is a difficult task for courts</w:t>
      </w:r>
      <w:r w:rsidR="003F7553">
        <w:rPr>
          <w:rFonts w:ascii="Arial" w:hAnsi="Arial" w:cs="Arial"/>
          <w:noProof w:val="0"/>
          <w:color w:val="auto"/>
          <w:sz w:val="24"/>
          <w:szCs w:val="24"/>
          <w:lang w:val="en-GB" w:eastAsia="en-US"/>
        </w:rPr>
        <w:t>,</w:t>
      </w:r>
      <w:r w:rsidR="00833C38" w:rsidRPr="00A65BB5">
        <w:rPr>
          <w:rFonts w:ascii="Arial" w:hAnsi="Arial" w:cs="Arial"/>
          <w:noProof w:val="0"/>
          <w:color w:val="auto"/>
          <w:sz w:val="24"/>
          <w:szCs w:val="24"/>
          <w:lang w:val="en-GB" w:eastAsia="en-US"/>
        </w:rPr>
        <w:t xml:space="preserve"> as any assessment of damages for future pecuniary loss must consider what a plaintiff might have earned but for the injury, the earning capacity of the plaintiff after the injury and any additional expenses incurred following the injury.</w:t>
      </w:r>
      <w:r w:rsidR="000C3A52" w:rsidRPr="00A65BB5">
        <w:rPr>
          <w:rFonts w:ascii="Arial" w:hAnsi="Arial" w:cs="Arial"/>
          <w:noProof w:val="0"/>
          <w:color w:val="auto"/>
          <w:sz w:val="24"/>
          <w:szCs w:val="24"/>
          <w:lang w:val="en-GB" w:eastAsia="en-US"/>
        </w:rPr>
        <w:t xml:space="preserve"> </w:t>
      </w:r>
      <w:r w:rsidR="000C3A52" w:rsidRPr="00A65BB5">
        <w:rPr>
          <w:rFonts w:ascii="Arial" w:hAnsi="Arial" w:cs="Arial"/>
          <w:sz w:val="24"/>
          <w:szCs w:val="24"/>
        </w:rPr>
        <w:t>This conventional approach to quantify future losses by using the multiplier/multiplicand model established by case law has been generally criticised as being imprecise and unscientific. In a Court of First Instance case, the judge pointed out the option of making periodical payments as an alternative to the conventional multiplier/multiplicand approach to assessing damages for future pecuniary loss.</w:t>
      </w:r>
    </w:p>
    <w:p w14:paraId="71B72840" w14:textId="77777777" w:rsidR="00F42E7B" w:rsidRPr="002C5338" w:rsidRDefault="00F42E7B" w:rsidP="00F42E7B">
      <w:pPr>
        <w:adjustRightInd w:val="0"/>
        <w:snapToGrid w:val="0"/>
        <w:spacing w:line="360" w:lineRule="auto"/>
        <w:ind w:firstLine="1276"/>
        <w:jc w:val="both"/>
        <w:rPr>
          <w:rFonts w:ascii="Arial" w:hAnsi="Arial" w:cs="Arial"/>
          <w:noProof w:val="0"/>
          <w:color w:val="auto"/>
          <w:sz w:val="24"/>
          <w:szCs w:val="24"/>
          <w:lang w:val="en-GB" w:eastAsia="en-US"/>
        </w:rPr>
      </w:pPr>
    </w:p>
    <w:p w14:paraId="1A900A1A" w14:textId="160423F5" w:rsidR="00F42E7B" w:rsidRPr="002C5338" w:rsidRDefault="00163934" w:rsidP="00851E30">
      <w:pPr>
        <w:adjustRightInd w:val="0"/>
        <w:snapToGrid w:val="0"/>
        <w:spacing w:after="100" w:afterAutospacing="1" w:line="360" w:lineRule="auto"/>
        <w:jc w:val="both"/>
        <w:rPr>
          <w:rFonts w:ascii="Arial" w:hAnsi="Arial" w:cs="Arial"/>
          <w:noProof w:val="0"/>
          <w:color w:val="auto"/>
          <w:sz w:val="24"/>
          <w:szCs w:val="24"/>
          <w:lang w:val="en-GB" w:eastAsia="en-US"/>
        </w:rPr>
      </w:pPr>
      <w:r>
        <w:rPr>
          <w:rFonts w:ascii="Arial" w:hAnsi="Arial" w:cs="Arial"/>
          <w:noProof w:val="0"/>
          <w:color w:val="auto"/>
          <w:sz w:val="24"/>
          <w:szCs w:val="24"/>
          <w:lang w:val="en-GB" w:eastAsia="en-US"/>
        </w:rPr>
        <w:lastRenderedPageBreak/>
        <w:t xml:space="preserve">     </w:t>
      </w:r>
      <w:r w:rsidR="00833C38" w:rsidRPr="002C5338">
        <w:rPr>
          <w:rFonts w:ascii="Arial" w:hAnsi="Arial" w:cs="Arial"/>
          <w:noProof w:val="0"/>
          <w:color w:val="auto"/>
          <w:sz w:val="24"/>
          <w:szCs w:val="24"/>
          <w:lang w:val="en-GB" w:eastAsia="en-US"/>
        </w:rPr>
        <w:t>The responses to the consultation paper have been taken into account in formulating the final recommendations in the report.</w:t>
      </w:r>
      <w:r w:rsidR="00833C38">
        <w:rPr>
          <w:rFonts w:ascii="Arial" w:hAnsi="Arial" w:cs="Arial"/>
          <w:noProof w:val="0"/>
          <w:color w:val="auto"/>
          <w:sz w:val="24"/>
          <w:szCs w:val="24"/>
          <w:lang w:val="en-GB" w:eastAsia="en-US"/>
        </w:rPr>
        <w:t xml:space="preserve"> </w:t>
      </w:r>
      <w:r w:rsidR="00F42E7B" w:rsidRPr="002C5338">
        <w:rPr>
          <w:rFonts w:ascii="Arial" w:hAnsi="Arial" w:cs="Arial"/>
          <w:noProof w:val="0"/>
          <w:color w:val="auto"/>
          <w:sz w:val="24"/>
          <w:szCs w:val="24"/>
          <w:lang w:val="en-GB" w:eastAsia="en-US"/>
        </w:rPr>
        <w:t>Some of the main final recommendations contained in the report are:</w:t>
      </w:r>
    </w:p>
    <w:p w14:paraId="22E03BD3" w14:textId="37E437A9" w:rsidR="00F42E7B" w:rsidRPr="002C5338" w:rsidRDefault="00F42E7B" w:rsidP="00F42E7B">
      <w:pPr>
        <w:widowControl/>
        <w:numPr>
          <w:ilvl w:val="0"/>
          <w:numId w:val="1"/>
        </w:numPr>
        <w:tabs>
          <w:tab w:val="left" w:pos="1418"/>
        </w:tabs>
        <w:adjustRightInd w:val="0"/>
        <w:snapToGrid w:val="0"/>
        <w:spacing w:line="360" w:lineRule="auto"/>
        <w:ind w:left="1418" w:hanging="698"/>
        <w:jc w:val="both"/>
        <w:rPr>
          <w:rFonts w:ascii="Arial" w:hAnsi="Arial" w:cs="Arial"/>
          <w:noProof w:val="0"/>
          <w:color w:val="auto"/>
          <w:kern w:val="2"/>
          <w:sz w:val="24"/>
          <w:szCs w:val="24"/>
          <w:lang w:val="en-GB"/>
        </w:rPr>
      </w:pPr>
      <w:r w:rsidRPr="002C5338">
        <w:rPr>
          <w:rFonts w:ascii="Arial" w:hAnsi="Arial" w:cs="Arial"/>
          <w:noProof w:val="0"/>
          <w:color w:val="auto"/>
          <w:kern w:val="2"/>
          <w:sz w:val="24"/>
          <w:szCs w:val="24"/>
          <w:lang w:val="en-GB"/>
        </w:rPr>
        <w:t xml:space="preserve">The </w:t>
      </w:r>
      <w:r w:rsidR="00057D65" w:rsidRPr="002C5338">
        <w:rPr>
          <w:rFonts w:ascii="Arial" w:hAnsi="Arial" w:cs="Arial"/>
          <w:noProof w:val="0"/>
          <w:color w:val="auto"/>
          <w:kern w:val="2"/>
          <w:sz w:val="24"/>
          <w:szCs w:val="24"/>
        </w:rPr>
        <w:t xml:space="preserve">court should be given, by way of legislation, the power to make PPOs in respect of damages for future pecuniary loss in personal injury cases. </w:t>
      </w:r>
      <w:r w:rsidR="00E701E6" w:rsidRPr="002C5338">
        <w:rPr>
          <w:rFonts w:ascii="Arial" w:hAnsi="Arial" w:cs="Arial"/>
          <w:noProof w:val="0"/>
          <w:color w:val="auto"/>
          <w:kern w:val="2"/>
          <w:sz w:val="24"/>
          <w:szCs w:val="24"/>
        </w:rPr>
        <w:t>The</w:t>
      </w:r>
      <w:r w:rsidR="00057D65" w:rsidRPr="002C5338">
        <w:rPr>
          <w:rFonts w:ascii="Arial" w:hAnsi="Arial" w:cs="Arial"/>
          <w:noProof w:val="0"/>
          <w:color w:val="auto"/>
          <w:kern w:val="2"/>
          <w:sz w:val="24"/>
          <w:szCs w:val="24"/>
        </w:rPr>
        <w:t xml:space="preserve"> new power vested in the court is not intended to affect the free will and power of a non-mentally incapacitated person to attain amicable settlement with the tortfeasor or relevant paying party.</w:t>
      </w:r>
    </w:p>
    <w:p w14:paraId="0F63BFDC" w14:textId="77777777" w:rsidR="00F42E7B" w:rsidRPr="002C5338" w:rsidRDefault="00F42E7B" w:rsidP="00F42E7B">
      <w:pPr>
        <w:widowControl/>
        <w:tabs>
          <w:tab w:val="left" w:pos="1418"/>
        </w:tabs>
        <w:adjustRightInd w:val="0"/>
        <w:snapToGrid w:val="0"/>
        <w:spacing w:line="360" w:lineRule="auto"/>
        <w:ind w:left="1418"/>
        <w:jc w:val="both"/>
        <w:rPr>
          <w:rFonts w:ascii="Arial" w:hAnsi="Arial" w:cs="Arial"/>
          <w:noProof w:val="0"/>
          <w:color w:val="auto"/>
          <w:kern w:val="2"/>
          <w:sz w:val="24"/>
          <w:szCs w:val="24"/>
          <w:lang w:val="en-GB"/>
        </w:rPr>
      </w:pPr>
    </w:p>
    <w:p w14:paraId="00C402DD" w14:textId="07DA1517" w:rsidR="00F42E7B" w:rsidRPr="002C5338" w:rsidRDefault="00F42E7B" w:rsidP="00F42E7B">
      <w:pPr>
        <w:widowControl/>
        <w:numPr>
          <w:ilvl w:val="0"/>
          <w:numId w:val="1"/>
        </w:numPr>
        <w:tabs>
          <w:tab w:val="left" w:pos="1418"/>
        </w:tabs>
        <w:adjustRightInd w:val="0"/>
        <w:snapToGrid w:val="0"/>
        <w:spacing w:line="360" w:lineRule="auto"/>
        <w:ind w:left="1418" w:hanging="698"/>
        <w:jc w:val="both"/>
        <w:rPr>
          <w:rFonts w:ascii="Arial" w:hAnsi="Arial" w:cs="Arial"/>
          <w:noProof w:val="0"/>
          <w:color w:val="auto"/>
          <w:kern w:val="2"/>
          <w:sz w:val="24"/>
          <w:szCs w:val="24"/>
          <w:lang w:val="en-GB"/>
        </w:rPr>
      </w:pPr>
      <w:r w:rsidRPr="002C5338">
        <w:rPr>
          <w:rFonts w:ascii="Arial" w:hAnsi="Arial" w:cs="Arial"/>
          <w:noProof w:val="0"/>
          <w:color w:val="auto"/>
          <w:kern w:val="2"/>
          <w:sz w:val="24"/>
          <w:szCs w:val="24"/>
          <w:lang w:val="en-GB"/>
        </w:rPr>
        <w:t xml:space="preserve">The </w:t>
      </w:r>
      <w:r w:rsidR="00057D65" w:rsidRPr="002C5338">
        <w:rPr>
          <w:rFonts w:ascii="Arial" w:hAnsi="Arial" w:cs="Arial"/>
          <w:noProof w:val="0"/>
          <w:color w:val="auto"/>
          <w:kern w:val="2"/>
          <w:sz w:val="24"/>
          <w:szCs w:val="24"/>
        </w:rPr>
        <w:t xml:space="preserve">Financial Secretary </w:t>
      </w:r>
      <w:r w:rsidR="00E773D2" w:rsidRPr="002C5338">
        <w:rPr>
          <w:rFonts w:ascii="Arial" w:hAnsi="Arial" w:cs="Arial"/>
          <w:noProof w:val="0"/>
          <w:color w:val="auto"/>
          <w:kern w:val="2"/>
          <w:sz w:val="24"/>
          <w:szCs w:val="24"/>
        </w:rPr>
        <w:t xml:space="preserve">(FS) </w:t>
      </w:r>
      <w:r w:rsidR="00057D65" w:rsidRPr="002C5338">
        <w:rPr>
          <w:rFonts w:ascii="Arial" w:hAnsi="Arial" w:cs="Arial"/>
          <w:noProof w:val="0"/>
          <w:color w:val="auto"/>
          <w:kern w:val="2"/>
          <w:sz w:val="24"/>
          <w:szCs w:val="24"/>
        </w:rPr>
        <w:t xml:space="preserve">should be the </w:t>
      </w:r>
      <w:r w:rsidR="00E773D2" w:rsidRPr="002C5338">
        <w:rPr>
          <w:rFonts w:ascii="Arial" w:hAnsi="Arial" w:cs="Arial"/>
          <w:noProof w:val="0"/>
          <w:color w:val="auto"/>
          <w:kern w:val="2"/>
          <w:sz w:val="24"/>
          <w:szCs w:val="24"/>
        </w:rPr>
        <w:t>a</w:t>
      </w:r>
      <w:r w:rsidR="00057D65" w:rsidRPr="002C5338">
        <w:rPr>
          <w:rFonts w:ascii="Arial" w:hAnsi="Arial" w:cs="Arial"/>
          <w:noProof w:val="0"/>
          <w:color w:val="auto"/>
          <w:kern w:val="2"/>
          <w:sz w:val="24"/>
          <w:szCs w:val="24"/>
        </w:rPr>
        <w:t xml:space="preserve">uthority empowered to formulate and promulgate the </w:t>
      </w:r>
      <w:r w:rsidR="00057D65" w:rsidRPr="002C5338">
        <w:rPr>
          <w:rFonts w:ascii="Arial" w:hAnsi="Arial" w:cs="Arial"/>
          <w:noProof w:val="0"/>
          <w:color w:val="auto"/>
          <w:kern w:val="2"/>
          <w:sz w:val="24"/>
          <w:szCs w:val="24"/>
          <w:lang w:val="en-GB"/>
        </w:rPr>
        <w:t>presumed net rate(s) of return on investment (Discount Rate)</w:t>
      </w:r>
      <w:r w:rsidR="00057D65" w:rsidRPr="002C5338">
        <w:rPr>
          <w:rFonts w:ascii="Arial" w:hAnsi="Arial" w:cs="Arial"/>
          <w:noProof w:val="0"/>
          <w:color w:val="auto"/>
          <w:kern w:val="2"/>
          <w:sz w:val="24"/>
          <w:szCs w:val="24"/>
        </w:rPr>
        <w:t>.</w:t>
      </w:r>
      <w:r w:rsidR="00E773D2" w:rsidRPr="002C5338">
        <w:rPr>
          <w:rFonts w:ascii="Arial" w:hAnsi="Arial" w:cs="Arial"/>
          <w:noProof w:val="0"/>
          <w:color w:val="auto"/>
          <w:kern w:val="2"/>
          <w:sz w:val="24"/>
          <w:szCs w:val="24"/>
        </w:rPr>
        <w:t xml:space="preserve"> The FS should consult an expert panel for each review of the Discount Rate. The Discount Rate should be subject to periodic review once every six years.</w:t>
      </w:r>
    </w:p>
    <w:p w14:paraId="7AAE84A4" w14:textId="77777777" w:rsidR="00F42E7B" w:rsidRPr="002C5338" w:rsidRDefault="00F42E7B" w:rsidP="00F42E7B">
      <w:pPr>
        <w:pStyle w:val="ListParagraph"/>
        <w:ind w:left="400"/>
        <w:rPr>
          <w:rFonts w:ascii="Arial" w:hAnsi="Arial" w:cs="Arial"/>
          <w:noProof w:val="0"/>
          <w:color w:val="auto"/>
          <w:kern w:val="2"/>
          <w:sz w:val="24"/>
          <w:szCs w:val="24"/>
          <w:lang w:val="en-GB"/>
        </w:rPr>
      </w:pPr>
    </w:p>
    <w:p w14:paraId="0089C168" w14:textId="77777777" w:rsidR="00B85006" w:rsidRDefault="00A0072C" w:rsidP="00F42E7B">
      <w:pPr>
        <w:widowControl/>
        <w:numPr>
          <w:ilvl w:val="0"/>
          <w:numId w:val="1"/>
        </w:numPr>
        <w:tabs>
          <w:tab w:val="left" w:pos="1418"/>
        </w:tabs>
        <w:adjustRightInd w:val="0"/>
        <w:snapToGrid w:val="0"/>
        <w:spacing w:line="360" w:lineRule="auto"/>
        <w:ind w:left="1418" w:hanging="698"/>
        <w:jc w:val="both"/>
        <w:rPr>
          <w:rFonts w:ascii="Arial" w:hAnsi="Arial" w:cs="Arial"/>
          <w:noProof w:val="0"/>
          <w:color w:val="auto"/>
          <w:kern w:val="2"/>
          <w:sz w:val="24"/>
          <w:szCs w:val="24"/>
          <w:lang w:val="en-GB"/>
        </w:rPr>
      </w:pPr>
      <w:r w:rsidRPr="002C5338">
        <w:rPr>
          <w:rFonts w:ascii="Arial" w:hAnsi="Arial" w:cs="Arial"/>
          <w:noProof w:val="0"/>
          <w:color w:val="auto"/>
          <w:kern w:val="2"/>
          <w:sz w:val="24"/>
          <w:szCs w:val="24"/>
          <w:lang w:val="en-GB"/>
        </w:rPr>
        <w:t>The power of the court to award periodical payments should,</w:t>
      </w:r>
    </w:p>
    <w:p w14:paraId="05936926" w14:textId="77777777" w:rsidR="00B85006" w:rsidRDefault="00E701E6" w:rsidP="00B85006">
      <w:pPr>
        <w:widowControl/>
        <w:numPr>
          <w:ilvl w:val="1"/>
          <w:numId w:val="1"/>
        </w:numPr>
        <w:tabs>
          <w:tab w:val="left" w:pos="1418"/>
        </w:tabs>
        <w:adjustRightInd w:val="0"/>
        <w:snapToGrid w:val="0"/>
        <w:spacing w:line="360" w:lineRule="auto"/>
        <w:ind w:left="1843"/>
        <w:jc w:val="both"/>
        <w:rPr>
          <w:rFonts w:ascii="Arial" w:hAnsi="Arial" w:cs="Arial"/>
          <w:noProof w:val="0"/>
          <w:color w:val="auto"/>
          <w:kern w:val="2"/>
          <w:sz w:val="24"/>
          <w:szCs w:val="24"/>
        </w:rPr>
      </w:pPr>
      <w:r w:rsidRPr="00B85006">
        <w:rPr>
          <w:rFonts w:ascii="Arial" w:hAnsi="Arial" w:cs="Arial"/>
          <w:noProof w:val="0"/>
          <w:color w:val="auto"/>
          <w:kern w:val="2"/>
          <w:sz w:val="24"/>
          <w:szCs w:val="24"/>
        </w:rPr>
        <w:t>irrespective of the consent of the parties to the proceedings in respect of future pecuniary loss, be referable to costs of care and accommodation</w:t>
      </w:r>
      <w:r w:rsidR="00B85006">
        <w:rPr>
          <w:rFonts w:ascii="Arial" w:hAnsi="Arial" w:cs="Arial"/>
          <w:noProof w:val="0"/>
          <w:color w:val="auto"/>
          <w:kern w:val="2"/>
          <w:sz w:val="24"/>
          <w:szCs w:val="24"/>
        </w:rPr>
        <w:t>;</w:t>
      </w:r>
    </w:p>
    <w:p w14:paraId="58A3F207" w14:textId="77777777" w:rsidR="00B85006" w:rsidRDefault="00E701E6" w:rsidP="00B85006">
      <w:pPr>
        <w:widowControl/>
        <w:numPr>
          <w:ilvl w:val="1"/>
          <w:numId w:val="1"/>
        </w:numPr>
        <w:tabs>
          <w:tab w:val="left" w:pos="1418"/>
        </w:tabs>
        <w:adjustRightInd w:val="0"/>
        <w:snapToGrid w:val="0"/>
        <w:spacing w:line="360" w:lineRule="auto"/>
        <w:ind w:left="1843"/>
        <w:jc w:val="both"/>
        <w:rPr>
          <w:rFonts w:ascii="Arial" w:hAnsi="Arial" w:cs="Arial"/>
          <w:noProof w:val="0"/>
          <w:color w:val="auto"/>
          <w:kern w:val="2"/>
          <w:sz w:val="24"/>
          <w:szCs w:val="24"/>
        </w:rPr>
      </w:pPr>
      <w:r w:rsidRPr="002C5338">
        <w:rPr>
          <w:rFonts w:ascii="Arial" w:hAnsi="Arial" w:cs="Arial"/>
          <w:noProof w:val="0"/>
          <w:color w:val="auto"/>
          <w:kern w:val="2"/>
          <w:sz w:val="24"/>
          <w:szCs w:val="24"/>
        </w:rPr>
        <w:t>b</w:t>
      </w:r>
      <w:r w:rsidR="00B85006">
        <w:rPr>
          <w:rFonts w:ascii="Arial" w:hAnsi="Arial" w:cs="Arial"/>
          <w:noProof w:val="0"/>
          <w:color w:val="auto"/>
          <w:kern w:val="2"/>
          <w:sz w:val="24"/>
          <w:szCs w:val="24"/>
        </w:rPr>
        <w:t>e limited to catastrophic cases; and</w:t>
      </w:r>
    </w:p>
    <w:p w14:paraId="142375CD" w14:textId="16DADE87" w:rsidR="00F42E7B" w:rsidRPr="00B85006" w:rsidRDefault="00B85006" w:rsidP="00B85006">
      <w:pPr>
        <w:widowControl/>
        <w:numPr>
          <w:ilvl w:val="1"/>
          <w:numId w:val="1"/>
        </w:numPr>
        <w:tabs>
          <w:tab w:val="left" w:pos="1418"/>
        </w:tabs>
        <w:adjustRightInd w:val="0"/>
        <w:snapToGrid w:val="0"/>
        <w:spacing w:line="360" w:lineRule="auto"/>
        <w:ind w:left="1843"/>
        <w:jc w:val="both"/>
        <w:rPr>
          <w:rFonts w:ascii="Arial" w:hAnsi="Arial" w:cs="Arial"/>
          <w:noProof w:val="0"/>
          <w:color w:val="auto"/>
          <w:kern w:val="2"/>
          <w:sz w:val="24"/>
          <w:szCs w:val="24"/>
        </w:rPr>
      </w:pPr>
      <w:r w:rsidRPr="00B85006">
        <w:rPr>
          <w:rFonts w:ascii="Arial" w:hAnsi="Arial" w:cs="Arial"/>
          <w:noProof w:val="0"/>
          <w:color w:val="auto"/>
          <w:kern w:val="2"/>
          <w:sz w:val="24"/>
          <w:szCs w:val="24"/>
        </w:rPr>
        <w:t>without prejudice to (a) above, cover all heads of future pecuniary loss subject to the consent of the parties to the proceedings.</w:t>
      </w:r>
    </w:p>
    <w:p w14:paraId="2F6AFFFB" w14:textId="77777777" w:rsidR="00F42E7B" w:rsidRPr="002C5338" w:rsidRDefault="00F42E7B" w:rsidP="00F42E7B">
      <w:pPr>
        <w:pStyle w:val="ListParagraph"/>
        <w:ind w:left="400"/>
        <w:rPr>
          <w:rFonts w:ascii="Arial" w:hAnsi="Arial" w:cs="Arial"/>
          <w:bCs/>
          <w:noProof w:val="0"/>
          <w:color w:val="auto"/>
          <w:kern w:val="2"/>
          <w:sz w:val="24"/>
          <w:szCs w:val="24"/>
          <w:lang w:val="en-GB"/>
        </w:rPr>
      </w:pPr>
    </w:p>
    <w:p w14:paraId="36EB171A" w14:textId="5F4E466B" w:rsidR="00F42E7B" w:rsidRPr="002C5338" w:rsidRDefault="00092EDE" w:rsidP="00F42E7B">
      <w:pPr>
        <w:widowControl/>
        <w:numPr>
          <w:ilvl w:val="0"/>
          <w:numId w:val="1"/>
        </w:numPr>
        <w:tabs>
          <w:tab w:val="left" w:pos="1418"/>
        </w:tabs>
        <w:adjustRightInd w:val="0"/>
        <w:snapToGrid w:val="0"/>
        <w:spacing w:line="360" w:lineRule="auto"/>
        <w:ind w:left="1440"/>
        <w:jc w:val="both"/>
        <w:rPr>
          <w:rFonts w:ascii="Arial" w:hAnsi="Arial" w:cs="Arial"/>
          <w:noProof w:val="0"/>
          <w:color w:val="auto"/>
          <w:kern w:val="2"/>
          <w:sz w:val="24"/>
          <w:szCs w:val="24"/>
          <w:lang w:val="en-GB"/>
        </w:rPr>
      </w:pPr>
      <w:r>
        <w:rPr>
          <w:rFonts w:ascii="Arial" w:hAnsi="Arial" w:cs="Arial"/>
          <w:bCs/>
          <w:noProof w:val="0"/>
          <w:color w:val="auto"/>
          <w:kern w:val="2"/>
          <w:sz w:val="24"/>
          <w:szCs w:val="24"/>
          <w:lang w:val="en-GB"/>
        </w:rPr>
        <w:t>The o</w:t>
      </w:r>
      <w:r w:rsidR="006A74A6" w:rsidRPr="002C5338">
        <w:rPr>
          <w:rFonts w:ascii="Arial" w:hAnsi="Arial" w:cs="Arial"/>
          <w:bCs/>
          <w:noProof w:val="0"/>
          <w:color w:val="auto"/>
          <w:kern w:val="2"/>
          <w:sz w:val="24"/>
          <w:szCs w:val="24"/>
          <w:lang w:val="en-GB"/>
        </w:rPr>
        <w:t>riginal</w:t>
      </w:r>
      <w:r w:rsidR="00007DC3" w:rsidRPr="002C5338">
        <w:rPr>
          <w:rFonts w:ascii="Arial" w:hAnsi="Arial" w:cs="Arial"/>
          <w:bCs/>
          <w:noProof w:val="0"/>
          <w:color w:val="auto"/>
          <w:kern w:val="2"/>
          <w:sz w:val="24"/>
          <w:szCs w:val="24"/>
        </w:rPr>
        <w:t xml:space="preserve"> PPOs should be open to review by the court under the following limited circumstances:</w:t>
      </w:r>
    </w:p>
    <w:p w14:paraId="73E20EE4" w14:textId="77777777" w:rsidR="00007DC3" w:rsidRPr="002C5338" w:rsidRDefault="00007DC3" w:rsidP="00007DC3">
      <w:pPr>
        <w:widowControl/>
        <w:numPr>
          <w:ilvl w:val="1"/>
          <w:numId w:val="1"/>
        </w:numPr>
        <w:tabs>
          <w:tab w:val="left" w:pos="1418"/>
        </w:tabs>
        <w:adjustRightInd w:val="0"/>
        <w:snapToGrid w:val="0"/>
        <w:spacing w:line="360" w:lineRule="auto"/>
        <w:ind w:left="1843"/>
        <w:jc w:val="both"/>
        <w:rPr>
          <w:rFonts w:ascii="Arial" w:hAnsi="Arial" w:cs="Arial"/>
          <w:noProof w:val="0"/>
          <w:color w:val="auto"/>
          <w:kern w:val="2"/>
          <w:sz w:val="24"/>
          <w:szCs w:val="24"/>
          <w:lang w:val="en-GB"/>
        </w:rPr>
      </w:pPr>
      <w:r w:rsidRPr="002C5338">
        <w:rPr>
          <w:rFonts w:ascii="Arial" w:hAnsi="Arial" w:cs="Arial"/>
          <w:noProof w:val="0"/>
          <w:color w:val="auto"/>
          <w:kern w:val="2"/>
          <w:sz w:val="24"/>
          <w:szCs w:val="24"/>
        </w:rPr>
        <w:t>changes in the need for and level of future care as a result of significant medical deterioration or improvement, which is foreseen at the time of the original order, with specific criteria pertinent to the nature of deterioration or improvement, as well as the duration during which a review can be applied for, being stipulated in that order; and</w:t>
      </w:r>
    </w:p>
    <w:p w14:paraId="426247D9" w14:textId="77777777" w:rsidR="00007DC3" w:rsidRPr="002C5338" w:rsidRDefault="00007DC3" w:rsidP="00007DC3">
      <w:pPr>
        <w:widowControl/>
        <w:numPr>
          <w:ilvl w:val="1"/>
          <w:numId w:val="1"/>
        </w:numPr>
        <w:tabs>
          <w:tab w:val="left" w:pos="1418"/>
        </w:tabs>
        <w:adjustRightInd w:val="0"/>
        <w:snapToGrid w:val="0"/>
        <w:spacing w:line="360" w:lineRule="auto"/>
        <w:ind w:left="1843"/>
        <w:jc w:val="both"/>
        <w:rPr>
          <w:rFonts w:ascii="Arial" w:hAnsi="Arial" w:cs="Arial"/>
          <w:noProof w:val="0"/>
          <w:color w:val="auto"/>
          <w:kern w:val="2"/>
          <w:sz w:val="24"/>
          <w:szCs w:val="24"/>
          <w:lang w:val="en-GB"/>
        </w:rPr>
      </w:pPr>
      <w:r w:rsidRPr="002C5338">
        <w:rPr>
          <w:rFonts w:ascii="Arial" w:hAnsi="Arial" w:cs="Arial"/>
          <w:noProof w:val="0"/>
          <w:color w:val="auto"/>
          <w:kern w:val="2"/>
          <w:sz w:val="24"/>
          <w:szCs w:val="24"/>
        </w:rPr>
        <w:lastRenderedPageBreak/>
        <w:t>the review should be restricted to only one application subject to extension of time for the application as the court may allow in appropriate circumstances.</w:t>
      </w:r>
    </w:p>
    <w:p w14:paraId="7F1F80A2" w14:textId="77777777" w:rsidR="00F42E7B" w:rsidRPr="002C5338" w:rsidRDefault="00F42E7B" w:rsidP="00F42E7B">
      <w:pPr>
        <w:pStyle w:val="ListParagraph"/>
        <w:ind w:left="400"/>
        <w:rPr>
          <w:rFonts w:ascii="Arial" w:hAnsi="Arial" w:cs="Arial"/>
          <w:noProof w:val="0"/>
          <w:color w:val="auto"/>
          <w:kern w:val="2"/>
          <w:sz w:val="24"/>
          <w:szCs w:val="24"/>
          <w:highlight w:val="yellow"/>
          <w:lang w:val="en-GB"/>
        </w:rPr>
      </w:pPr>
    </w:p>
    <w:p w14:paraId="7696B5E4" w14:textId="77777777" w:rsidR="00F42E7B" w:rsidRPr="002C5338" w:rsidRDefault="00F42E7B" w:rsidP="00F42E7B">
      <w:pPr>
        <w:widowControl/>
        <w:numPr>
          <w:ilvl w:val="0"/>
          <w:numId w:val="1"/>
        </w:numPr>
        <w:tabs>
          <w:tab w:val="left" w:pos="1418"/>
        </w:tabs>
        <w:adjustRightInd w:val="0"/>
        <w:snapToGrid w:val="0"/>
        <w:spacing w:line="360" w:lineRule="auto"/>
        <w:ind w:left="1440"/>
        <w:jc w:val="both"/>
        <w:rPr>
          <w:rFonts w:ascii="Arial" w:hAnsi="Arial" w:cs="Arial"/>
          <w:noProof w:val="0"/>
          <w:color w:val="auto"/>
          <w:kern w:val="2"/>
          <w:sz w:val="24"/>
          <w:szCs w:val="24"/>
          <w:lang w:val="en-GB"/>
        </w:rPr>
      </w:pPr>
      <w:r w:rsidRPr="002C5338">
        <w:rPr>
          <w:rFonts w:ascii="Arial" w:hAnsi="Arial" w:cs="Arial"/>
          <w:bCs/>
          <w:noProof w:val="0"/>
          <w:color w:val="auto"/>
          <w:kern w:val="2"/>
          <w:sz w:val="24"/>
          <w:szCs w:val="24"/>
        </w:rPr>
        <w:t xml:space="preserve">The </w:t>
      </w:r>
      <w:r w:rsidR="00007DC3" w:rsidRPr="002C5338">
        <w:rPr>
          <w:rFonts w:ascii="Arial" w:hAnsi="Arial" w:cs="Arial"/>
          <w:bCs/>
          <w:noProof w:val="0"/>
          <w:color w:val="auto"/>
          <w:kern w:val="2"/>
          <w:sz w:val="24"/>
          <w:szCs w:val="24"/>
          <w:lang w:val="en-GB"/>
        </w:rPr>
        <w:t xml:space="preserve">court should have a discretion to make a PPO after taking into account the security of the periodical payments to ensure the continuity of payments and </w:t>
      </w:r>
      <w:r w:rsidR="00007DC3" w:rsidRPr="002C5338">
        <w:rPr>
          <w:rFonts w:ascii="Arial" w:hAnsi="Arial" w:cs="Arial"/>
          <w:bCs/>
          <w:noProof w:val="0"/>
          <w:color w:val="auto"/>
          <w:kern w:val="2"/>
          <w:sz w:val="24"/>
          <w:szCs w:val="24"/>
        </w:rPr>
        <w:t>satisfying itself that a PPO is able to secure the full scope of the plaintiff's award.</w:t>
      </w:r>
    </w:p>
    <w:p w14:paraId="0ECCF387" w14:textId="77777777" w:rsidR="00007DC3" w:rsidRPr="002C5338" w:rsidRDefault="00007DC3" w:rsidP="00007DC3">
      <w:pPr>
        <w:pStyle w:val="ListParagraph"/>
        <w:ind w:left="400"/>
        <w:rPr>
          <w:rFonts w:ascii="Arial" w:hAnsi="Arial" w:cs="Arial"/>
          <w:noProof w:val="0"/>
          <w:color w:val="auto"/>
          <w:kern w:val="2"/>
          <w:sz w:val="24"/>
          <w:szCs w:val="24"/>
          <w:lang w:val="en-GB"/>
        </w:rPr>
      </w:pPr>
    </w:p>
    <w:p w14:paraId="67A733B8" w14:textId="77777777" w:rsidR="00007DC3" w:rsidRPr="002C5338" w:rsidRDefault="00007DC3" w:rsidP="00F42E7B">
      <w:pPr>
        <w:widowControl/>
        <w:numPr>
          <w:ilvl w:val="0"/>
          <w:numId w:val="1"/>
        </w:numPr>
        <w:tabs>
          <w:tab w:val="left" w:pos="1418"/>
        </w:tabs>
        <w:adjustRightInd w:val="0"/>
        <w:snapToGrid w:val="0"/>
        <w:spacing w:line="360" w:lineRule="auto"/>
        <w:ind w:left="1440"/>
        <w:jc w:val="both"/>
        <w:rPr>
          <w:rFonts w:ascii="Arial" w:hAnsi="Arial" w:cs="Arial"/>
          <w:noProof w:val="0"/>
          <w:color w:val="auto"/>
          <w:kern w:val="2"/>
          <w:sz w:val="24"/>
          <w:szCs w:val="24"/>
          <w:lang w:val="en-GB"/>
        </w:rPr>
      </w:pPr>
      <w:r w:rsidRPr="002C5338">
        <w:rPr>
          <w:rFonts w:ascii="Arial" w:hAnsi="Arial" w:cs="Arial"/>
          <w:noProof w:val="0"/>
          <w:color w:val="auto"/>
          <w:kern w:val="2"/>
          <w:sz w:val="24"/>
          <w:szCs w:val="24"/>
        </w:rPr>
        <w:t>PPOs ought to be introduced by way of legislation as soon as practicable and further refinement can be made along the way after implementation for stakeholders to build readiness for PPOs.</w:t>
      </w:r>
    </w:p>
    <w:p w14:paraId="14780418" w14:textId="77777777" w:rsidR="00F42E7B" w:rsidRPr="00007DC3" w:rsidRDefault="00F42E7B" w:rsidP="00F42E7B">
      <w:pPr>
        <w:tabs>
          <w:tab w:val="left" w:pos="1276"/>
        </w:tabs>
        <w:adjustRightInd w:val="0"/>
        <w:snapToGrid w:val="0"/>
        <w:spacing w:line="360" w:lineRule="auto"/>
        <w:ind w:left="1276"/>
        <w:jc w:val="both"/>
        <w:rPr>
          <w:rFonts w:ascii="Arial" w:hAnsi="Arial" w:cs="Arial"/>
          <w:noProof w:val="0"/>
          <w:sz w:val="24"/>
          <w:szCs w:val="24"/>
          <w:lang w:val="en-GB" w:eastAsia="en-US"/>
        </w:rPr>
      </w:pPr>
    </w:p>
    <w:p w14:paraId="5B41D5EC" w14:textId="77777777" w:rsidR="00F42E7B" w:rsidRPr="006E56F7" w:rsidRDefault="00F42E7B" w:rsidP="00F42E7B">
      <w:pPr>
        <w:tabs>
          <w:tab w:val="left" w:pos="1276"/>
        </w:tabs>
        <w:adjustRightInd w:val="0"/>
        <w:snapToGrid w:val="0"/>
        <w:spacing w:line="360" w:lineRule="auto"/>
        <w:ind w:left="1276"/>
        <w:jc w:val="both"/>
        <w:rPr>
          <w:rFonts w:ascii="Arial" w:hAnsi="Arial" w:cs="Arial"/>
          <w:noProof w:val="0"/>
          <w:sz w:val="24"/>
          <w:szCs w:val="24"/>
          <w:lang w:val="en-GB" w:eastAsia="en-US"/>
        </w:rPr>
      </w:pPr>
    </w:p>
    <w:p w14:paraId="07B8AA56" w14:textId="604BE919" w:rsidR="00F42E7B" w:rsidRPr="004A4DB7" w:rsidRDefault="00163934" w:rsidP="00851E30">
      <w:pPr>
        <w:adjustRightInd w:val="0"/>
        <w:snapToGrid w:val="0"/>
        <w:spacing w:line="360" w:lineRule="auto"/>
        <w:jc w:val="both"/>
        <w:rPr>
          <w:rFonts w:ascii="Arial" w:hAnsi="Arial" w:cs="Arial"/>
          <w:noProof w:val="0"/>
          <w:sz w:val="24"/>
          <w:szCs w:val="24"/>
          <w:lang w:eastAsia="en-US"/>
        </w:rPr>
      </w:pPr>
      <w:r>
        <w:rPr>
          <w:rFonts w:ascii="Arial" w:hAnsi="Arial" w:cs="Arial"/>
          <w:sz w:val="24"/>
          <w:szCs w:val="24"/>
          <w:lang w:val="en-GB"/>
        </w:rPr>
        <w:t xml:space="preserve">     </w:t>
      </w:r>
      <w:r w:rsidR="00F42E7B">
        <w:rPr>
          <w:rFonts w:ascii="Arial" w:hAnsi="Arial" w:cs="Arial"/>
          <w:sz w:val="24"/>
          <w:szCs w:val="24"/>
          <w:lang w:val="en-GB"/>
        </w:rPr>
        <w:t>T</w:t>
      </w:r>
      <w:r w:rsidR="00F42E7B" w:rsidRPr="00BD44FC">
        <w:rPr>
          <w:rFonts w:ascii="Arial" w:hAnsi="Arial" w:cs="Arial"/>
          <w:sz w:val="24"/>
          <w:szCs w:val="24"/>
          <w:lang w:val="en-GB"/>
        </w:rPr>
        <w:t xml:space="preserve">he </w:t>
      </w:r>
      <w:r w:rsidR="00F42E7B">
        <w:rPr>
          <w:rFonts w:ascii="Arial" w:hAnsi="Arial" w:cs="Arial"/>
          <w:sz w:val="24"/>
          <w:szCs w:val="24"/>
          <w:lang w:val="en-GB"/>
        </w:rPr>
        <w:t>report</w:t>
      </w:r>
      <w:r w:rsidR="00F42E7B" w:rsidRPr="00BD44FC">
        <w:rPr>
          <w:rFonts w:ascii="Arial" w:hAnsi="Arial" w:cs="Arial"/>
          <w:sz w:val="24"/>
          <w:szCs w:val="24"/>
          <w:lang w:val="en-GB"/>
        </w:rPr>
        <w:t xml:space="preserve"> </w:t>
      </w:r>
      <w:r w:rsidR="00F42E7B">
        <w:rPr>
          <w:rFonts w:ascii="Arial" w:hAnsi="Arial" w:cs="Arial"/>
          <w:sz w:val="24"/>
          <w:szCs w:val="24"/>
          <w:lang w:val="en-GB"/>
        </w:rPr>
        <w:t xml:space="preserve">and </w:t>
      </w:r>
      <w:r w:rsidR="00E9389B">
        <w:rPr>
          <w:rFonts w:ascii="Arial" w:hAnsi="Arial" w:cs="Arial"/>
          <w:sz w:val="24"/>
          <w:szCs w:val="24"/>
          <w:lang w:val="en-GB"/>
        </w:rPr>
        <w:t>i</w:t>
      </w:r>
      <w:r w:rsidR="00F42E7B">
        <w:rPr>
          <w:rFonts w:ascii="Arial" w:hAnsi="Arial" w:cs="Arial"/>
          <w:sz w:val="24"/>
          <w:szCs w:val="24"/>
          <w:lang w:val="en-GB"/>
        </w:rPr>
        <w:t>t</w:t>
      </w:r>
      <w:r w:rsidR="00E9389B">
        <w:rPr>
          <w:rFonts w:ascii="Arial" w:hAnsi="Arial" w:cs="Arial"/>
          <w:sz w:val="24"/>
          <w:szCs w:val="24"/>
          <w:lang w:val="en-GB"/>
        </w:rPr>
        <w:t>s</w:t>
      </w:r>
      <w:r w:rsidR="00F42E7B">
        <w:rPr>
          <w:rFonts w:ascii="Arial" w:hAnsi="Arial" w:cs="Arial"/>
          <w:sz w:val="24"/>
          <w:szCs w:val="24"/>
          <w:lang w:val="en-GB"/>
        </w:rPr>
        <w:t xml:space="preserve"> executive summary </w:t>
      </w:r>
      <w:r w:rsidR="00F42E7B" w:rsidRPr="004E6B15">
        <w:rPr>
          <w:rFonts w:ascii="Arial" w:hAnsi="Arial" w:cs="Arial"/>
          <w:sz w:val="24"/>
          <w:szCs w:val="24"/>
        </w:rPr>
        <w:t xml:space="preserve">can be accessed on the website of the LRC at </w:t>
      </w:r>
      <w:hyperlink r:id="rId8" w:history="1">
        <w:r w:rsidR="00F42E7B" w:rsidRPr="00FE3C3B">
          <w:rPr>
            <w:rStyle w:val="Hyperlink"/>
            <w:rFonts w:ascii="Arial" w:hAnsi="Arial" w:cs="Arial"/>
            <w:sz w:val="24"/>
            <w:szCs w:val="24"/>
          </w:rPr>
          <w:t>www.hkreform.gov.hk</w:t>
        </w:r>
      </w:hyperlink>
      <w:r w:rsidR="00F42E7B" w:rsidRPr="004E6B15">
        <w:rPr>
          <w:rFonts w:ascii="Arial" w:hAnsi="Arial" w:cs="Arial"/>
          <w:sz w:val="24"/>
          <w:szCs w:val="24"/>
        </w:rPr>
        <w:t>.</w:t>
      </w:r>
      <w:r w:rsidR="00F42E7B">
        <w:rPr>
          <w:rFonts w:ascii="Arial" w:hAnsi="Arial" w:cs="Arial"/>
          <w:sz w:val="24"/>
          <w:szCs w:val="24"/>
        </w:rPr>
        <w:t xml:space="preserve"> </w:t>
      </w:r>
      <w:r w:rsidR="00F42E7B" w:rsidRPr="004E6B15">
        <w:rPr>
          <w:rFonts w:ascii="Arial" w:hAnsi="Arial" w:cs="Arial"/>
          <w:sz w:val="24"/>
          <w:szCs w:val="24"/>
        </w:rPr>
        <w:t>Hard copies are also available on request from the Secretariat of the LRC at 4/F, East Wing, Justice Place, 18 Lower Albert Road, Central, Hong Kong.</w:t>
      </w:r>
      <w:r w:rsidR="00F42E7B" w:rsidRPr="004E6B15">
        <w:rPr>
          <w:rFonts w:ascii="Arial" w:hAnsi="Arial" w:cs="Arial"/>
          <w:sz w:val="24"/>
          <w:szCs w:val="24"/>
          <w:lang w:val="en-GB"/>
        </w:rPr>
        <w:t xml:space="preserve"> </w:t>
      </w:r>
    </w:p>
    <w:p w14:paraId="526B526C" w14:textId="77777777" w:rsidR="00F42E7B" w:rsidRPr="00BD44FC" w:rsidRDefault="00F42E7B" w:rsidP="00F42E7B">
      <w:pPr>
        <w:adjustRightInd w:val="0"/>
        <w:snapToGrid w:val="0"/>
        <w:spacing w:line="360" w:lineRule="auto"/>
        <w:jc w:val="both"/>
        <w:rPr>
          <w:rFonts w:ascii="Arial" w:hAnsi="Arial" w:cs="Arial"/>
          <w:sz w:val="24"/>
          <w:szCs w:val="24"/>
          <w:lang w:val="en-GB"/>
        </w:rPr>
      </w:pPr>
    </w:p>
    <w:p w14:paraId="7A45E760" w14:textId="77777777" w:rsidR="00F42E7B" w:rsidRPr="00BD44FC" w:rsidRDefault="00F42E7B" w:rsidP="00F42E7B">
      <w:pPr>
        <w:adjustRightInd w:val="0"/>
        <w:snapToGrid w:val="0"/>
        <w:spacing w:line="360" w:lineRule="auto"/>
        <w:jc w:val="both"/>
        <w:rPr>
          <w:rFonts w:ascii="Arial" w:hAnsi="Arial" w:cs="Arial"/>
          <w:noProof w:val="0"/>
          <w:sz w:val="24"/>
          <w:szCs w:val="24"/>
          <w:lang w:eastAsia="en-US"/>
        </w:rPr>
      </w:pPr>
    </w:p>
    <w:p w14:paraId="66CA4E86" w14:textId="77777777" w:rsidR="00F42E7B" w:rsidRDefault="00F42E7B" w:rsidP="00F42E7B">
      <w:pPr>
        <w:adjustRightInd w:val="0"/>
        <w:snapToGrid w:val="0"/>
        <w:spacing w:line="360" w:lineRule="auto"/>
        <w:jc w:val="both"/>
        <w:rPr>
          <w:rFonts w:ascii="Arial" w:hAnsi="Arial" w:cs="Arial"/>
          <w:noProof w:val="0"/>
          <w:sz w:val="24"/>
          <w:szCs w:val="24"/>
          <w:lang w:eastAsia="en-US"/>
        </w:rPr>
      </w:pPr>
    </w:p>
    <w:p w14:paraId="186FEB25" w14:textId="77777777" w:rsidR="00406BE0" w:rsidRDefault="00406BE0" w:rsidP="00F42E7B">
      <w:pPr>
        <w:adjustRightInd w:val="0"/>
        <w:snapToGrid w:val="0"/>
        <w:spacing w:line="360" w:lineRule="auto"/>
        <w:jc w:val="both"/>
        <w:rPr>
          <w:rFonts w:ascii="Arial" w:hAnsi="Arial" w:cs="Arial"/>
          <w:noProof w:val="0"/>
          <w:sz w:val="24"/>
          <w:szCs w:val="24"/>
          <w:lang w:eastAsia="en-US"/>
        </w:rPr>
      </w:pPr>
      <w:r>
        <w:rPr>
          <w:rFonts w:ascii="Arial" w:hAnsi="Arial" w:cs="Arial"/>
          <w:noProof w:val="0"/>
          <w:sz w:val="24"/>
          <w:szCs w:val="24"/>
          <w:lang w:eastAsia="en-US"/>
        </w:rPr>
        <w:t xml:space="preserve">Ends </w:t>
      </w:r>
    </w:p>
    <w:p w14:paraId="4C96A434" w14:textId="77777777" w:rsidR="00406BE0" w:rsidRDefault="00406BE0" w:rsidP="00F42E7B">
      <w:pPr>
        <w:adjustRightInd w:val="0"/>
        <w:snapToGrid w:val="0"/>
        <w:spacing w:line="360" w:lineRule="auto"/>
        <w:jc w:val="both"/>
        <w:rPr>
          <w:rFonts w:ascii="Arial" w:hAnsi="Arial" w:cs="Arial"/>
          <w:noProof w:val="0"/>
          <w:sz w:val="24"/>
          <w:szCs w:val="24"/>
          <w:lang w:eastAsia="en-US"/>
        </w:rPr>
      </w:pPr>
    </w:p>
    <w:p w14:paraId="7A33663C" w14:textId="189CA5F0" w:rsidR="00F42E7B" w:rsidRDefault="000F0C36" w:rsidP="00F42E7B">
      <w:pPr>
        <w:adjustRightInd w:val="0"/>
        <w:snapToGrid w:val="0"/>
        <w:spacing w:line="360" w:lineRule="auto"/>
        <w:jc w:val="both"/>
        <w:rPr>
          <w:rFonts w:ascii="Arial" w:hAnsi="Arial" w:cs="Arial"/>
          <w:noProof w:val="0"/>
          <w:sz w:val="24"/>
          <w:szCs w:val="24"/>
          <w:lang w:eastAsia="en-US"/>
        </w:rPr>
      </w:pPr>
      <w:r>
        <w:rPr>
          <w:rFonts w:ascii="Arial" w:hAnsi="Arial" w:cs="Arial"/>
          <w:noProof w:val="0"/>
          <w:sz w:val="24"/>
          <w:szCs w:val="24"/>
          <w:lang w:eastAsia="en-US"/>
        </w:rPr>
        <w:t>Thursday</w:t>
      </w:r>
      <w:r w:rsidR="00B0376D">
        <w:rPr>
          <w:rFonts w:ascii="Arial" w:hAnsi="Arial" w:cs="Arial"/>
          <w:noProof w:val="0"/>
          <w:sz w:val="24"/>
          <w:szCs w:val="24"/>
          <w:lang w:eastAsia="en-US"/>
        </w:rPr>
        <w:t>,</w:t>
      </w:r>
      <w:r>
        <w:rPr>
          <w:rFonts w:ascii="Arial" w:hAnsi="Arial" w:cs="Arial"/>
          <w:noProof w:val="0"/>
          <w:sz w:val="24"/>
          <w:szCs w:val="24"/>
          <w:lang w:eastAsia="en-US"/>
        </w:rPr>
        <w:t xml:space="preserve"> </w:t>
      </w:r>
      <w:r w:rsidR="008317B5">
        <w:rPr>
          <w:rFonts w:ascii="Arial" w:hAnsi="Arial" w:cs="Arial"/>
          <w:noProof w:val="0"/>
          <w:sz w:val="24"/>
          <w:szCs w:val="24"/>
          <w:lang w:eastAsia="en-US"/>
        </w:rPr>
        <w:t>January</w:t>
      </w:r>
      <w:r w:rsidR="00B0376D">
        <w:rPr>
          <w:rFonts w:ascii="Arial" w:hAnsi="Arial" w:cs="Arial"/>
          <w:noProof w:val="0"/>
          <w:sz w:val="24"/>
          <w:szCs w:val="24"/>
          <w:lang w:eastAsia="en-US"/>
        </w:rPr>
        <w:t xml:space="preserve"> 19, </w:t>
      </w:r>
      <w:r w:rsidR="008317B5">
        <w:rPr>
          <w:rFonts w:ascii="Arial" w:hAnsi="Arial" w:cs="Arial"/>
          <w:noProof w:val="0"/>
          <w:sz w:val="24"/>
          <w:szCs w:val="24"/>
          <w:lang w:eastAsia="en-US"/>
        </w:rPr>
        <w:t>2023</w:t>
      </w:r>
    </w:p>
    <w:p w14:paraId="5832161D" w14:textId="77777777" w:rsidR="00B85006" w:rsidRDefault="00B85006" w:rsidP="00F42E7B">
      <w:pPr>
        <w:adjustRightInd w:val="0"/>
        <w:snapToGrid w:val="0"/>
        <w:spacing w:line="360" w:lineRule="auto"/>
        <w:jc w:val="both"/>
        <w:rPr>
          <w:rFonts w:ascii="Arial" w:hAnsi="Arial" w:cs="Arial"/>
          <w:noProof w:val="0"/>
          <w:sz w:val="24"/>
          <w:szCs w:val="24"/>
          <w:lang w:eastAsia="en-US"/>
        </w:rPr>
      </w:pPr>
      <w:bookmarkStart w:id="0" w:name="_GoBack"/>
      <w:bookmarkEnd w:id="0"/>
    </w:p>
    <w:sectPr w:rsidR="00B850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F0460" w14:textId="77777777" w:rsidR="00E45080" w:rsidRDefault="00E45080" w:rsidP="00F42E7B">
      <w:r>
        <w:separator/>
      </w:r>
    </w:p>
  </w:endnote>
  <w:endnote w:type="continuationSeparator" w:id="0">
    <w:p w14:paraId="78531D98" w14:textId="77777777" w:rsidR="00E45080" w:rsidRDefault="00E45080" w:rsidP="00F4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E0A40" w14:textId="77777777" w:rsidR="00E45080" w:rsidRDefault="00E45080" w:rsidP="00F42E7B">
      <w:r>
        <w:separator/>
      </w:r>
    </w:p>
  </w:footnote>
  <w:footnote w:type="continuationSeparator" w:id="0">
    <w:p w14:paraId="6809DD34" w14:textId="77777777" w:rsidR="00E45080" w:rsidRDefault="00E45080" w:rsidP="00F42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86008"/>
    <w:multiLevelType w:val="hybridMultilevel"/>
    <w:tmpl w:val="A65EFB7A"/>
    <w:lvl w:ilvl="0" w:tplc="6C464D2A">
      <w:start w:val="1"/>
      <w:numFmt w:val="decimal"/>
      <w:lvlText w:val="(%1)"/>
      <w:lvlJc w:val="left"/>
      <w:pPr>
        <w:ind w:left="2891" w:hanging="720"/>
      </w:pPr>
      <w:rPr>
        <w:rFonts w:hint="default"/>
      </w:rPr>
    </w:lvl>
    <w:lvl w:ilvl="1" w:tplc="CE2A991C">
      <w:start w:val="1"/>
      <w:numFmt w:val="lowerLetter"/>
      <w:lvlText w:val="(%2)"/>
      <w:lvlJc w:val="left"/>
      <w:pPr>
        <w:ind w:left="3131" w:hanging="480"/>
      </w:pPr>
      <w:rPr>
        <w:rFonts w:ascii="Arial" w:hAnsi="Arial" w:cs="Arial" w:hint="default"/>
      </w:rPr>
    </w:lvl>
    <w:lvl w:ilvl="2" w:tplc="0409001B" w:tentative="1">
      <w:start w:val="1"/>
      <w:numFmt w:val="lowerRoman"/>
      <w:lvlText w:val="%3."/>
      <w:lvlJc w:val="right"/>
      <w:pPr>
        <w:ind w:left="3611" w:hanging="480"/>
      </w:pPr>
    </w:lvl>
    <w:lvl w:ilvl="3" w:tplc="0409000F" w:tentative="1">
      <w:start w:val="1"/>
      <w:numFmt w:val="decimal"/>
      <w:lvlText w:val="%4."/>
      <w:lvlJc w:val="left"/>
      <w:pPr>
        <w:ind w:left="4091" w:hanging="480"/>
      </w:pPr>
    </w:lvl>
    <w:lvl w:ilvl="4" w:tplc="04090019" w:tentative="1">
      <w:start w:val="1"/>
      <w:numFmt w:val="ideographTraditional"/>
      <w:lvlText w:val="%5、"/>
      <w:lvlJc w:val="left"/>
      <w:pPr>
        <w:ind w:left="4571" w:hanging="480"/>
      </w:pPr>
    </w:lvl>
    <w:lvl w:ilvl="5" w:tplc="0409001B" w:tentative="1">
      <w:start w:val="1"/>
      <w:numFmt w:val="lowerRoman"/>
      <w:lvlText w:val="%6."/>
      <w:lvlJc w:val="right"/>
      <w:pPr>
        <w:ind w:left="5051" w:hanging="480"/>
      </w:pPr>
    </w:lvl>
    <w:lvl w:ilvl="6" w:tplc="0409000F" w:tentative="1">
      <w:start w:val="1"/>
      <w:numFmt w:val="decimal"/>
      <w:lvlText w:val="%7."/>
      <w:lvlJc w:val="left"/>
      <w:pPr>
        <w:ind w:left="5531" w:hanging="480"/>
      </w:pPr>
    </w:lvl>
    <w:lvl w:ilvl="7" w:tplc="04090019" w:tentative="1">
      <w:start w:val="1"/>
      <w:numFmt w:val="ideographTraditional"/>
      <w:lvlText w:val="%8、"/>
      <w:lvlJc w:val="left"/>
      <w:pPr>
        <w:ind w:left="6011" w:hanging="480"/>
      </w:pPr>
    </w:lvl>
    <w:lvl w:ilvl="8" w:tplc="0409001B" w:tentative="1">
      <w:start w:val="1"/>
      <w:numFmt w:val="lowerRoman"/>
      <w:lvlText w:val="%9."/>
      <w:lvlJc w:val="right"/>
      <w:pPr>
        <w:ind w:left="6491"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E7B"/>
    <w:rsid w:val="00007DC3"/>
    <w:rsid w:val="00045C9C"/>
    <w:rsid w:val="000509C4"/>
    <w:rsid w:val="00057D65"/>
    <w:rsid w:val="00092EDE"/>
    <w:rsid w:val="000C1077"/>
    <w:rsid w:val="000C3A52"/>
    <w:rsid w:val="000F0C36"/>
    <w:rsid w:val="0011022C"/>
    <w:rsid w:val="00137293"/>
    <w:rsid w:val="00163934"/>
    <w:rsid w:val="001B2101"/>
    <w:rsid w:val="002827A3"/>
    <w:rsid w:val="002C5338"/>
    <w:rsid w:val="002C6D07"/>
    <w:rsid w:val="002C7993"/>
    <w:rsid w:val="00327643"/>
    <w:rsid w:val="00361B73"/>
    <w:rsid w:val="003947F2"/>
    <w:rsid w:val="003F7553"/>
    <w:rsid w:val="00406BE0"/>
    <w:rsid w:val="0042229A"/>
    <w:rsid w:val="004A031B"/>
    <w:rsid w:val="004E7E8D"/>
    <w:rsid w:val="00524DA8"/>
    <w:rsid w:val="00535FC0"/>
    <w:rsid w:val="006A74A6"/>
    <w:rsid w:val="006B7D0C"/>
    <w:rsid w:val="006E565E"/>
    <w:rsid w:val="007401A5"/>
    <w:rsid w:val="0074061D"/>
    <w:rsid w:val="00823C16"/>
    <w:rsid w:val="008317B5"/>
    <w:rsid w:val="00833C38"/>
    <w:rsid w:val="00851E30"/>
    <w:rsid w:val="008C5137"/>
    <w:rsid w:val="00A0072C"/>
    <w:rsid w:val="00A21567"/>
    <w:rsid w:val="00A65BB5"/>
    <w:rsid w:val="00AF475A"/>
    <w:rsid w:val="00B0376D"/>
    <w:rsid w:val="00B85006"/>
    <w:rsid w:val="00BD1E90"/>
    <w:rsid w:val="00BE0BEC"/>
    <w:rsid w:val="00BF0C27"/>
    <w:rsid w:val="00C61823"/>
    <w:rsid w:val="00CB06E3"/>
    <w:rsid w:val="00D34511"/>
    <w:rsid w:val="00DA6FB1"/>
    <w:rsid w:val="00E45080"/>
    <w:rsid w:val="00E701E6"/>
    <w:rsid w:val="00E773D2"/>
    <w:rsid w:val="00E9389B"/>
    <w:rsid w:val="00EA6CA6"/>
    <w:rsid w:val="00EB7570"/>
    <w:rsid w:val="00EF46F0"/>
    <w:rsid w:val="00F42E7B"/>
    <w:rsid w:val="00FA1F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9195549"/>
  <w15:chartTrackingRefBased/>
  <w15:docId w15:val="{3914BE25-5250-420E-AFC4-F598B5FD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E7B"/>
    <w:pPr>
      <w:widowControl w:val="0"/>
    </w:pPr>
    <w:rPr>
      <w:rFonts w:ascii="Times New Roman" w:eastAsia="新細明體" w:hAnsi="Times New Roman" w:cs="Times New Roman"/>
      <w:noProof/>
      <w:color w:val="000000"/>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2E7B"/>
    <w:rPr>
      <w:color w:val="0000FF"/>
      <w:u w:val="single"/>
    </w:rPr>
  </w:style>
  <w:style w:type="paragraph" w:styleId="ListParagraph">
    <w:name w:val="List Paragraph"/>
    <w:basedOn w:val="Normal"/>
    <w:uiPriority w:val="34"/>
    <w:qFormat/>
    <w:rsid w:val="00F42E7B"/>
    <w:pPr>
      <w:ind w:leftChars="200" w:left="480"/>
    </w:pPr>
  </w:style>
  <w:style w:type="paragraph" w:styleId="Header">
    <w:name w:val="header"/>
    <w:basedOn w:val="Normal"/>
    <w:link w:val="HeaderChar"/>
    <w:uiPriority w:val="99"/>
    <w:unhideWhenUsed/>
    <w:rsid w:val="00F42E7B"/>
    <w:pPr>
      <w:tabs>
        <w:tab w:val="center" w:pos="4153"/>
        <w:tab w:val="right" w:pos="8306"/>
      </w:tabs>
      <w:snapToGrid w:val="0"/>
    </w:pPr>
  </w:style>
  <w:style w:type="character" w:customStyle="1" w:styleId="HeaderChar">
    <w:name w:val="Header Char"/>
    <w:basedOn w:val="DefaultParagraphFont"/>
    <w:link w:val="Header"/>
    <w:uiPriority w:val="99"/>
    <w:rsid w:val="00F42E7B"/>
    <w:rPr>
      <w:rFonts w:ascii="Times New Roman" w:eastAsia="新細明體" w:hAnsi="Times New Roman" w:cs="Times New Roman"/>
      <w:noProof/>
      <w:color w:val="000000"/>
      <w:kern w:val="0"/>
      <w:sz w:val="20"/>
      <w:szCs w:val="20"/>
    </w:rPr>
  </w:style>
  <w:style w:type="paragraph" w:styleId="Footer">
    <w:name w:val="footer"/>
    <w:basedOn w:val="Normal"/>
    <w:link w:val="FooterChar"/>
    <w:uiPriority w:val="99"/>
    <w:unhideWhenUsed/>
    <w:rsid w:val="00F42E7B"/>
    <w:pPr>
      <w:tabs>
        <w:tab w:val="center" w:pos="4153"/>
        <w:tab w:val="right" w:pos="8306"/>
      </w:tabs>
      <w:snapToGrid w:val="0"/>
    </w:pPr>
  </w:style>
  <w:style w:type="character" w:customStyle="1" w:styleId="FooterChar">
    <w:name w:val="Footer Char"/>
    <w:basedOn w:val="DefaultParagraphFont"/>
    <w:link w:val="Footer"/>
    <w:uiPriority w:val="99"/>
    <w:rsid w:val="00F42E7B"/>
    <w:rPr>
      <w:rFonts w:ascii="Times New Roman" w:eastAsia="新細明體" w:hAnsi="Times New Roman" w:cs="Times New Roman"/>
      <w:noProof/>
      <w:color w:val="000000"/>
      <w:kern w:val="0"/>
      <w:sz w:val="20"/>
      <w:szCs w:val="20"/>
    </w:rPr>
  </w:style>
  <w:style w:type="character" w:styleId="CommentReference">
    <w:name w:val="annotation reference"/>
    <w:basedOn w:val="DefaultParagraphFont"/>
    <w:uiPriority w:val="99"/>
    <w:semiHidden/>
    <w:unhideWhenUsed/>
    <w:rsid w:val="004A031B"/>
    <w:rPr>
      <w:sz w:val="18"/>
      <w:szCs w:val="18"/>
    </w:rPr>
  </w:style>
  <w:style w:type="paragraph" w:styleId="CommentText">
    <w:name w:val="annotation text"/>
    <w:basedOn w:val="Normal"/>
    <w:link w:val="CommentTextChar"/>
    <w:uiPriority w:val="99"/>
    <w:semiHidden/>
    <w:unhideWhenUsed/>
    <w:rsid w:val="004A031B"/>
  </w:style>
  <w:style w:type="character" w:customStyle="1" w:styleId="CommentTextChar">
    <w:name w:val="Comment Text Char"/>
    <w:basedOn w:val="DefaultParagraphFont"/>
    <w:link w:val="CommentText"/>
    <w:uiPriority w:val="99"/>
    <w:semiHidden/>
    <w:rsid w:val="004A031B"/>
    <w:rPr>
      <w:rFonts w:ascii="Times New Roman" w:eastAsia="新細明體" w:hAnsi="Times New Roman" w:cs="Times New Roman"/>
      <w:noProof/>
      <w:color w:val="000000"/>
      <w:kern w:val="0"/>
      <w:sz w:val="20"/>
      <w:szCs w:val="20"/>
    </w:rPr>
  </w:style>
  <w:style w:type="paragraph" w:styleId="CommentSubject">
    <w:name w:val="annotation subject"/>
    <w:basedOn w:val="CommentText"/>
    <w:next w:val="CommentText"/>
    <w:link w:val="CommentSubjectChar"/>
    <w:uiPriority w:val="99"/>
    <w:semiHidden/>
    <w:unhideWhenUsed/>
    <w:rsid w:val="004A031B"/>
    <w:rPr>
      <w:b/>
      <w:bCs/>
    </w:rPr>
  </w:style>
  <w:style w:type="character" w:customStyle="1" w:styleId="CommentSubjectChar">
    <w:name w:val="Comment Subject Char"/>
    <w:basedOn w:val="CommentTextChar"/>
    <w:link w:val="CommentSubject"/>
    <w:uiPriority w:val="99"/>
    <w:semiHidden/>
    <w:rsid w:val="004A031B"/>
    <w:rPr>
      <w:rFonts w:ascii="Times New Roman" w:eastAsia="新細明體" w:hAnsi="Times New Roman" w:cs="Times New Roman"/>
      <w:b/>
      <w:bCs/>
      <w:noProof/>
      <w:color w:val="000000"/>
      <w:kern w:val="0"/>
      <w:sz w:val="20"/>
      <w:szCs w:val="20"/>
    </w:rPr>
  </w:style>
  <w:style w:type="paragraph" w:styleId="Revision">
    <w:name w:val="Revision"/>
    <w:hidden/>
    <w:uiPriority w:val="99"/>
    <w:semiHidden/>
    <w:rsid w:val="004A031B"/>
    <w:rPr>
      <w:rFonts w:ascii="Times New Roman" w:eastAsia="新細明體" w:hAnsi="Times New Roman" w:cs="Times New Roman"/>
      <w:noProof/>
      <w:color w:val="000000"/>
      <w:kern w:val="0"/>
      <w:sz w:val="20"/>
      <w:szCs w:val="20"/>
    </w:rPr>
  </w:style>
  <w:style w:type="paragraph" w:styleId="BalloonText">
    <w:name w:val="Balloon Text"/>
    <w:basedOn w:val="Normal"/>
    <w:link w:val="BalloonTextChar"/>
    <w:uiPriority w:val="99"/>
    <w:semiHidden/>
    <w:unhideWhenUsed/>
    <w:rsid w:val="004A031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A031B"/>
    <w:rPr>
      <w:rFonts w:asciiTheme="majorHAnsi" w:eastAsiaTheme="majorEastAsia" w:hAnsiTheme="majorHAnsi" w:cstheme="majorBidi"/>
      <w:noProof/>
      <w:color w:val="000000"/>
      <w:kern w:val="0"/>
      <w:sz w:val="18"/>
      <w:szCs w:val="18"/>
    </w:rPr>
  </w:style>
  <w:style w:type="paragraph" w:styleId="FootnoteText">
    <w:name w:val="footnote text"/>
    <w:basedOn w:val="Normal"/>
    <w:link w:val="FootnoteTextChar"/>
    <w:uiPriority w:val="99"/>
    <w:unhideWhenUsed/>
    <w:rsid w:val="00BF0C27"/>
    <w:pPr>
      <w:snapToGrid w:val="0"/>
    </w:pPr>
  </w:style>
  <w:style w:type="character" w:customStyle="1" w:styleId="FootnoteTextChar">
    <w:name w:val="Footnote Text Char"/>
    <w:basedOn w:val="DefaultParagraphFont"/>
    <w:link w:val="FootnoteText"/>
    <w:uiPriority w:val="99"/>
    <w:rsid w:val="00BF0C27"/>
    <w:rPr>
      <w:rFonts w:ascii="Times New Roman" w:eastAsia="新細明體" w:hAnsi="Times New Roman" w:cs="Times New Roman"/>
      <w:noProof/>
      <w:color w:val="000000"/>
      <w:kern w:val="0"/>
      <w:sz w:val="20"/>
      <w:szCs w:val="20"/>
    </w:rPr>
  </w:style>
  <w:style w:type="character" w:styleId="FootnoteReference">
    <w:name w:val="footnote reference"/>
    <w:uiPriority w:val="99"/>
    <w:rsid w:val="00BF0C27"/>
    <w:rPr>
      <w:rFonts w:ascii="Arial" w:eastAsia="新細明體" w:hAnsi="Arial"/>
      <w:dstrike w:val="0"/>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reform.gov.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E8CA-2862-4593-9E66-6E59587B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Vincent YL</dc:creator>
  <cp:keywords/>
  <dc:description/>
  <cp:lastModifiedBy>YAU , MY</cp:lastModifiedBy>
  <cp:revision>3</cp:revision>
  <cp:lastPrinted>2022-12-19T03:04:00Z</cp:lastPrinted>
  <dcterms:created xsi:type="dcterms:W3CDTF">2023-01-17T11:34:00Z</dcterms:created>
  <dcterms:modified xsi:type="dcterms:W3CDTF">2023-01-18T03:15:00Z</dcterms:modified>
</cp:coreProperties>
</file>