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18AEB6F" w14:textId="77777777" w:rsidR="00382F9F" w:rsidRPr="00C3671B" w:rsidRDefault="002D5A41" w:rsidP="001C1B35">
      <w:pPr>
        <w:spacing w:after="120" w:line="0" w:lineRule="atLeast"/>
        <w:jc w:val="center"/>
        <w:rPr>
          <w:rFonts w:ascii="Arial Bold" w:hAnsi="Arial Bold" w:cs="Arial"/>
          <w:b/>
          <w:smallCaps/>
          <w:sz w:val="28"/>
          <w:szCs w:val="28"/>
          <w:lang w:val="en-US"/>
        </w:rPr>
      </w:pPr>
      <w:r w:rsidRPr="00C3671B">
        <w:rPr>
          <w:rFonts w:ascii="Arial Bold" w:hAnsi="Arial Bold" w:cs="Arial"/>
          <w:b/>
          <w:smallCaps/>
          <w:sz w:val="28"/>
          <w:szCs w:val="28"/>
          <w:lang w:val="en-US"/>
        </w:rPr>
        <w:t>The</w:t>
      </w:r>
      <w:r w:rsidR="00382F9F" w:rsidRPr="00C3671B">
        <w:rPr>
          <w:rFonts w:ascii="Arial Bold" w:hAnsi="Arial Bold" w:cs="Arial"/>
          <w:b/>
          <w:smallCaps/>
          <w:sz w:val="28"/>
          <w:szCs w:val="28"/>
          <w:lang w:val="en-US"/>
        </w:rPr>
        <w:t xml:space="preserve"> </w:t>
      </w:r>
      <w:r w:rsidRPr="00C3671B">
        <w:rPr>
          <w:rFonts w:ascii="Arial Bold" w:hAnsi="Arial Bold" w:cs="Arial"/>
          <w:b/>
          <w:smallCaps/>
          <w:sz w:val="28"/>
          <w:szCs w:val="28"/>
          <w:lang w:val="en-US"/>
        </w:rPr>
        <w:t>Law</w:t>
      </w:r>
      <w:r w:rsidR="00382F9F" w:rsidRPr="00C3671B">
        <w:rPr>
          <w:rFonts w:ascii="Arial Bold" w:hAnsi="Arial Bold" w:cs="Arial"/>
          <w:b/>
          <w:smallCaps/>
          <w:sz w:val="28"/>
          <w:szCs w:val="28"/>
          <w:lang w:val="en-US"/>
        </w:rPr>
        <w:t xml:space="preserve"> R</w:t>
      </w:r>
      <w:r w:rsidRPr="00C3671B">
        <w:rPr>
          <w:rFonts w:ascii="Arial Bold" w:hAnsi="Arial Bold" w:cs="Arial"/>
          <w:b/>
          <w:smallCaps/>
          <w:sz w:val="28"/>
          <w:szCs w:val="28"/>
          <w:lang w:val="en-US"/>
        </w:rPr>
        <w:t>eform Commission</w:t>
      </w:r>
      <w:r w:rsidR="00382F9F" w:rsidRPr="00C3671B">
        <w:rPr>
          <w:rFonts w:ascii="Arial Bold" w:hAnsi="Arial Bold" w:cs="Arial"/>
          <w:b/>
          <w:smallCaps/>
          <w:sz w:val="28"/>
          <w:szCs w:val="28"/>
          <w:lang w:val="en-US"/>
        </w:rPr>
        <w:t xml:space="preserve"> </w:t>
      </w:r>
      <w:r w:rsidRPr="00C3671B">
        <w:rPr>
          <w:rFonts w:ascii="Arial Bold" w:hAnsi="Arial Bold" w:cs="Arial"/>
          <w:b/>
          <w:smallCaps/>
          <w:sz w:val="28"/>
          <w:szCs w:val="28"/>
          <w:lang w:val="en-US"/>
        </w:rPr>
        <w:t>of</w:t>
      </w:r>
      <w:r w:rsidR="00382F9F" w:rsidRPr="00C3671B">
        <w:rPr>
          <w:rFonts w:ascii="Arial Bold" w:hAnsi="Arial Bold" w:cs="Arial"/>
          <w:b/>
          <w:smallCaps/>
          <w:sz w:val="28"/>
          <w:szCs w:val="28"/>
          <w:lang w:val="en-US"/>
        </w:rPr>
        <w:t xml:space="preserve"> H</w:t>
      </w:r>
      <w:r w:rsidRPr="00C3671B">
        <w:rPr>
          <w:rFonts w:ascii="Arial Bold" w:hAnsi="Arial Bold" w:cs="Arial"/>
          <w:b/>
          <w:smallCaps/>
          <w:sz w:val="28"/>
          <w:szCs w:val="28"/>
          <w:lang w:val="en-US"/>
        </w:rPr>
        <w:t>ong</w:t>
      </w:r>
      <w:r w:rsidR="00382F9F" w:rsidRPr="00C3671B">
        <w:rPr>
          <w:rFonts w:ascii="Arial Bold" w:hAnsi="Arial Bold" w:cs="Arial"/>
          <w:b/>
          <w:smallCaps/>
          <w:sz w:val="28"/>
          <w:szCs w:val="28"/>
          <w:lang w:val="en-US"/>
        </w:rPr>
        <w:t xml:space="preserve"> K</w:t>
      </w:r>
      <w:r w:rsidRPr="00C3671B">
        <w:rPr>
          <w:rFonts w:ascii="Arial Bold" w:hAnsi="Arial Bold" w:cs="Arial"/>
          <w:b/>
          <w:smallCaps/>
          <w:sz w:val="28"/>
          <w:szCs w:val="28"/>
          <w:lang w:val="en-US"/>
        </w:rPr>
        <w:t>ong</w:t>
      </w:r>
    </w:p>
    <w:p w14:paraId="7976F2C3" w14:textId="317C9343" w:rsidR="00967411" w:rsidRPr="00C3671B" w:rsidRDefault="00967411" w:rsidP="001C1B35">
      <w:pPr>
        <w:tabs>
          <w:tab w:val="clear" w:pos="1418"/>
          <w:tab w:val="left" w:pos="1440"/>
        </w:tabs>
        <w:spacing w:after="120"/>
        <w:jc w:val="center"/>
        <w:rPr>
          <w:rFonts w:ascii="Arial Bold" w:hAnsi="Arial Bold" w:cs="Arial"/>
          <w:smallCaps/>
          <w:lang w:val="en-US"/>
        </w:rPr>
      </w:pPr>
    </w:p>
    <w:p w14:paraId="7AF4AE39" w14:textId="2E485B43" w:rsidR="00A55F12" w:rsidRPr="00C3671B" w:rsidRDefault="002D5A41" w:rsidP="001C1B35">
      <w:pPr>
        <w:spacing w:after="120"/>
        <w:jc w:val="center"/>
        <w:rPr>
          <w:rFonts w:ascii="Arial Bold" w:hAnsi="Arial Bold" w:cs="Arial"/>
          <w:b/>
          <w:smallCaps/>
          <w:sz w:val="32"/>
          <w:szCs w:val="32"/>
          <w:lang w:val="en-US"/>
        </w:rPr>
      </w:pPr>
      <w:r w:rsidRPr="00C3671B">
        <w:rPr>
          <w:rFonts w:ascii="Arial Bold" w:hAnsi="Arial Bold" w:cs="Arial"/>
          <w:b/>
          <w:smallCaps/>
          <w:sz w:val="32"/>
          <w:szCs w:val="32"/>
          <w:lang w:val="en-US"/>
        </w:rPr>
        <w:t>Report</w:t>
      </w:r>
    </w:p>
    <w:p w14:paraId="23932DAB" w14:textId="77777777" w:rsidR="00DC639D" w:rsidRPr="00C3671B" w:rsidRDefault="00DC639D" w:rsidP="001C1B35">
      <w:pPr>
        <w:spacing w:after="120"/>
        <w:jc w:val="center"/>
        <w:rPr>
          <w:rFonts w:ascii="Arial Bold" w:hAnsi="Arial Bold" w:cs="Arial"/>
          <w:b/>
          <w:smallCaps/>
          <w:lang w:val="en-US"/>
        </w:rPr>
      </w:pPr>
    </w:p>
    <w:p w14:paraId="1F1985C4" w14:textId="06BB4AD4" w:rsidR="00CC084A" w:rsidRPr="00C3671B" w:rsidRDefault="00CF3AC2" w:rsidP="001C1B35">
      <w:pPr>
        <w:spacing w:after="120" w:line="0" w:lineRule="atLeast"/>
        <w:jc w:val="center"/>
        <w:rPr>
          <w:rFonts w:ascii="Arial Bold" w:hAnsi="Arial Bold" w:cs="Arial"/>
          <w:b/>
          <w:smallCaps/>
          <w:sz w:val="32"/>
          <w:szCs w:val="32"/>
          <w:lang w:val="en-US"/>
        </w:rPr>
      </w:pPr>
      <w:r w:rsidRPr="00C3671B">
        <w:rPr>
          <w:rFonts w:ascii="Arial Bold" w:hAnsi="Arial Bold" w:cs="Arial"/>
          <w:b/>
          <w:smallCaps/>
          <w:sz w:val="32"/>
          <w:szCs w:val="32"/>
          <w:lang w:val="en-US"/>
        </w:rPr>
        <w:t>Outcome Related Fee Structures for Arbitration</w:t>
      </w:r>
    </w:p>
    <w:p w14:paraId="6EC4483F" w14:textId="77777777" w:rsidR="00A55F12" w:rsidRPr="00C3671B" w:rsidRDefault="00A55F12" w:rsidP="001C1B35">
      <w:pPr>
        <w:spacing w:after="120" w:line="0" w:lineRule="atLeast"/>
        <w:jc w:val="center"/>
        <w:rPr>
          <w:rFonts w:ascii="Arial Bold" w:hAnsi="Arial Bold" w:cs="Arial"/>
          <w:b/>
          <w:smallCaps/>
          <w:lang w:val="en-US"/>
        </w:rPr>
      </w:pPr>
    </w:p>
    <w:p w14:paraId="7B1494E4" w14:textId="77777777" w:rsidR="00967411" w:rsidRPr="00C3671B" w:rsidRDefault="00186831" w:rsidP="001C1B35">
      <w:pPr>
        <w:spacing w:after="120" w:line="0" w:lineRule="atLeast"/>
        <w:jc w:val="center"/>
        <w:rPr>
          <w:rFonts w:ascii="Arial Bold" w:hAnsi="Arial Bold" w:cs="Arial"/>
          <w:b/>
          <w:smallCaps/>
          <w:sz w:val="28"/>
          <w:szCs w:val="28"/>
          <w:lang w:val="en-US"/>
        </w:rPr>
      </w:pPr>
      <w:r w:rsidRPr="00C3671B">
        <w:rPr>
          <w:rFonts w:ascii="Arial Bold" w:hAnsi="Arial Bold" w:cs="Arial"/>
          <w:b/>
          <w:smallCaps/>
          <w:sz w:val="28"/>
          <w:szCs w:val="28"/>
          <w:lang w:val="en-US"/>
        </w:rPr>
        <w:t>E</w:t>
      </w:r>
      <w:r w:rsidR="002D5A41" w:rsidRPr="00C3671B">
        <w:rPr>
          <w:rFonts w:ascii="Arial Bold" w:hAnsi="Arial Bold" w:cs="Arial"/>
          <w:b/>
          <w:smallCaps/>
          <w:sz w:val="28"/>
          <w:szCs w:val="28"/>
          <w:lang w:val="en-US"/>
        </w:rPr>
        <w:t>xecutive</w:t>
      </w:r>
      <w:r w:rsidRPr="00C3671B">
        <w:rPr>
          <w:rFonts w:ascii="Arial Bold" w:hAnsi="Arial Bold" w:cs="Arial"/>
          <w:b/>
          <w:smallCaps/>
          <w:sz w:val="28"/>
          <w:szCs w:val="28"/>
          <w:lang w:val="en-US"/>
        </w:rPr>
        <w:t xml:space="preserve"> S</w:t>
      </w:r>
      <w:r w:rsidR="002D5A41" w:rsidRPr="00C3671B">
        <w:rPr>
          <w:rFonts w:ascii="Arial Bold" w:hAnsi="Arial Bold" w:cs="Arial"/>
          <w:b/>
          <w:smallCaps/>
          <w:sz w:val="28"/>
          <w:szCs w:val="28"/>
          <w:lang w:val="en-US"/>
        </w:rPr>
        <w:t>ummary</w:t>
      </w:r>
    </w:p>
    <w:p w14:paraId="5FA0E058" w14:textId="77777777" w:rsidR="00186831" w:rsidRPr="00C3671B" w:rsidRDefault="00186831" w:rsidP="00E80748">
      <w:pPr>
        <w:spacing w:line="0" w:lineRule="atLeast"/>
        <w:jc w:val="center"/>
        <w:rPr>
          <w:rFonts w:cs="Arial"/>
          <w:b/>
          <w:smallCaps/>
          <w:lang w:val="en-US"/>
        </w:rPr>
      </w:pPr>
    </w:p>
    <w:p w14:paraId="4CBAEF75" w14:textId="77777777" w:rsidR="00BF1355" w:rsidRPr="00C3671B" w:rsidRDefault="00BF1355" w:rsidP="00E80748">
      <w:pPr>
        <w:spacing w:line="0" w:lineRule="atLeast"/>
        <w:jc w:val="center"/>
        <w:rPr>
          <w:b/>
          <w:smallCaps/>
        </w:rPr>
      </w:pPr>
    </w:p>
    <w:p w14:paraId="3A8128E8" w14:textId="77777777" w:rsidR="00931B59" w:rsidRPr="00C3671B" w:rsidRDefault="00931B59" w:rsidP="00E80748">
      <w:pPr>
        <w:spacing w:line="0" w:lineRule="atLeast"/>
        <w:jc w:val="center"/>
        <w:rPr>
          <w:b/>
          <w:smallCaps/>
        </w:rPr>
      </w:pPr>
    </w:p>
    <w:p w14:paraId="080B181D" w14:textId="7F407D42" w:rsidR="00F30553" w:rsidRPr="00C3671B" w:rsidRDefault="00634857" w:rsidP="00634857">
      <w:pPr>
        <w:rPr>
          <w:rFonts w:cs="Arial"/>
        </w:rPr>
      </w:pPr>
      <w:r w:rsidRPr="00C3671B">
        <w:rPr>
          <w:rFonts w:cs="Arial"/>
          <w:i/>
          <w:sz w:val="22"/>
        </w:rPr>
        <w:t>(This executive summary is an outline of the Report.  Copies of the full Report can be downloaded from the Commission</w:t>
      </w:r>
      <w:r w:rsidR="006B0C50" w:rsidRPr="00C3671B">
        <w:rPr>
          <w:rFonts w:cs="Arial"/>
          <w:i/>
          <w:sz w:val="22"/>
        </w:rPr>
        <w:t>'</w:t>
      </w:r>
      <w:r w:rsidRPr="00C3671B">
        <w:rPr>
          <w:rFonts w:cs="Arial"/>
          <w:i/>
          <w:sz w:val="22"/>
        </w:rPr>
        <w:t xml:space="preserve">s website at: </w:t>
      </w:r>
      <w:hyperlink r:id="rId8" w:history="1">
        <w:r w:rsidRPr="00C3671B">
          <w:rPr>
            <w:rStyle w:val="Hyperlink"/>
            <w:rFonts w:cs="Arial"/>
            <w:i/>
            <w:color w:val="auto"/>
            <w:sz w:val="22"/>
          </w:rPr>
          <w:t>http://www.hkreform.gov.hk</w:t>
        </w:r>
      </w:hyperlink>
      <w:r w:rsidRPr="00C3671B">
        <w:rPr>
          <w:rFonts w:cs="Arial"/>
          <w:i/>
          <w:sz w:val="22"/>
        </w:rPr>
        <w:t xml:space="preserve"> or </w:t>
      </w:r>
      <w:proofErr w:type="gramStart"/>
      <w:r w:rsidRPr="00C3671B">
        <w:rPr>
          <w:rFonts w:cs="Arial"/>
          <w:i/>
          <w:sz w:val="22"/>
        </w:rPr>
        <w:t>obtained</w:t>
      </w:r>
      <w:proofErr w:type="gramEnd"/>
      <w:r w:rsidRPr="00C3671B">
        <w:rPr>
          <w:rFonts w:cs="Arial"/>
          <w:i/>
          <w:sz w:val="22"/>
        </w:rPr>
        <w:t xml:space="preserve"> from the Secretariat of the Law Reform Commission, 4th Floor, East Wing, Justice Place, 18 Lower Albert Road, Central, Hong Kong.) </w:t>
      </w:r>
    </w:p>
    <w:p w14:paraId="2CA8BD1E" w14:textId="77777777" w:rsidR="009D24AE" w:rsidRPr="00C3671B" w:rsidRDefault="009D24AE" w:rsidP="009D24AE">
      <w:pPr>
        <w:snapToGrid/>
        <w:spacing w:line="0" w:lineRule="atLeast"/>
        <w:rPr>
          <w:lang w:val="en-US"/>
        </w:rPr>
      </w:pPr>
    </w:p>
    <w:p w14:paraId="2AFB9C4A" w14:textId="77777777" w:rsidR="00534954" w:rsidRPr="00C3671B" w:rsidRDefault="00534954" w:rsidP="009D24AE">
      <w:pPr>
        <w:snapToGrid/>
        <w:spacing w:line="0" w:lineRule="atLeast"/>
        <w:rPr>
          <w:lang w:val="en-US"/>
        </w:rPr>
      </w:pPr>
    </w:p>
    <w:p w14:paraId="11A79502" w14:textId="52D091F5" w:rsidR="00330B5C" w:rsidRPr="00C3671B" w:rsidRDefault="00C33CBC" w:rsidP="009D24AE">
      <w:pPr>
        <w:snapToGrid/>
        <w:spacing w:line="0" w:lineRule="atLeast"/>
        <w:rPr>
          <w:b/>
          <w:sz w:val="28"/>
          <w:szCs w:val="28"/>
          <w:lang w:val="en-US"/>
        </w:rPr>
      </w:pPr>
      <w:r w:rsidRPr="00C3671B">
        <w:rPr>
          <w:b/>
          <w:sz w:val="28"/>
          <w:szCs w:val="28"/>
          <w:lang w:val="en-US"/>
        </w:rPr>
        <w:t xml:space="preserve">Consultation </w:t>
      </w:r>
      <w:r w:rsidR="00282C25" w:rsidRPr="00C3671B">
        <w:rPr>
          <w:b/>
          <w:sz w:val="28"/>
          <w:szCs w:val="28"/>
          <w:lang w:val="en-US"/>
        </w:rPr>
        <w:t>process</w:t>
      </w:r>
    </w:p>
    <w:p w14:paraId="650C2433" w14:textId="77777777" w:rsidR="002532AD" w:rsidRPr="00C3671B" w:rsidRDefault="002532AD" w:rsidP="002532AD">
      <w:pPr>
        <w:widowControl/>
        <w:tabs>
          <w:tab w:val="clear" w:pos="1418"/>
        </w:tabs>
        <w:adjustRightInd/>
        <w:rPr>
          <w:szCs w:val="20"/>
        </w:rPr>
      </w:pPr>
    </w:p>
    <w:p w14:paraId="1DD59464" w14:textId="00CC6C98" w:rsidR="002532AD" w:rsidRPr="00C3671B" w:rsidRDefault="005E4008" w:rsidP="002532AD">
      <w:pPr>
        <w:widowControl/>
        <w:tabs>
          <w:tab w:val="clear" w:pos="1418"/>
        </w:tabs>
        <w:adjustRightInd/>
        <w:rPr>
          <w:szCs w:val="20"/>
        </w:rPr>
      </w:pPr>
      <w:r w:rsidRPr="00C3671B">
        <w:rPr>
          <w:szCs w:val="20"/>
        </w:rPr>
        <w:t>1</w:t>
      </w:r>
      <w:r w:rsidR="00DE5F03" w:rsidRPr="00C3671B">
        <w:rPr>
          <w:szCs w:val="20"/>
        </w:rPr>
        <w:t>.</w:t>
      </w:r>
      <w:r w:rsidR="002532AD" w:rsidRPr="00C3671B">
        <w:rPr>
          <w:szCs w:val="20"/>
        </w:rPr>
        <w:tab/>
      </w:r>
      <w:r w:rsidR="002532AD" w:rsidRPr="00C3671B">
        <w:rPr>
          <w:szCs w:val="20"/>
        </w:rPr>
        <w:tab/>
      </w:r>
      <w:r w:rsidR="00A82C76" w:rsidRPr="00C3671B">
        <w:rPr>
          <w:szCs w:val="20"/>
        </w:rPr>
        <w:t xml:space="preserve">In </w:t>
      </w:r>
      <w:r w:rsidR="00CF3AC2" w:rsidRPr="00C3671B">
        <w:rPr>
          <w:szCs w:val="20"/>
        </w:rPr>
        <w:t>December 2020</w:t>
      </w:r>
      <w:r w:rsidR="00A82C76" w:rsidRPr="00C3671B">
        <w:rPr>
          <w:szCs w:val="20"/>
        </w:rPr>
        <w:t>, the Law Reform Commission</w:t>
      </w:r>
      <w:r w:rsidR="006B0C50" w:rsidRPr="00C3671B">
        <w:rPr>
          <w:szCs w:val="20"/>
        </w:rPr>
        <w:t>'</w:t>
      </w:r>
      <w:r w:rsidR="00A82C76" w:rsidRPr="00C3671B">
        <w:rPr>
          <w:szCs w:val="20"/>
        </w:rPr>
        <w:t xml:space="preserve">s </w:t>
      </w:r>
      <w:r w:rsidR="00CF3AC2" w:rsidRPr="00C3671B">
        <w:rPr>
          <w:szCs w:val="20"/>
        </w:rPr>
        <w:t>Outcome Related Fee Structures for Arbitration</w:t>
      </w:r>
      <w:r w:rsidR="00A82C76" w:rsidRPr="00C3671B">
        <w:rPr>
          <w:szCs w:val="20"/>
        </w:rPr>
        <w:t xml:space="preserve"> Sub-committee </w:t>
      </w:r>
      <w:r w:rsidR="00846688" w:rsidRPr="00C3671B">
        <w:rPr>
          <w:szCs w:val="20"/>
        </w:rPr>
        <w:t>("</w:t>
      </w:r>
      <w:r w:rsidR="00846688" w:rsidRPr="00C3671B">
        <w:rPr>
          <w:b/>
          <w:szCs w:val="20"/>
        </w:rPr>
        <w:t>Sub-committee</w:t>
      </w:r>
      <w:r w:rsidR="00846688" w:rsidRPr="00C3671B">
        <w:rPr>
          <w:szCs w:val="20"/>
        </w:rPr>
        <w:t xml:space="preserve">") </w:t>
      </w:r>
      <w:r w:rsidR="00A82C76" w:rsidRPr="00C3671B">
        <w:rPr>
          <w:szCs w:val="20"/>
        </w:rPr>
        <w:t xml:space="preserve">published the Consultation Paper on </w:t>
      </w:r>
      <w:r w:rsidR="00CF3AC2" w:rsidRPr="00C3671B">
        <w:rPr>
          <w:szCs w:val="20"/>
        </w:rPr>
        <w:t>Outcome Related Fee Structures for Arbitration</w:t>
      </w:r>
      <w:r w:rsidR="006F0DBF" w:rsidRPr="00C3671B">
        <w:rPr>
          <w:szCs w:val="20"/>
        </w:rPr>
        <w:t xml:space="preserve"> (</w:t>
      </w:r>
      <w:r w:rsidR="006B0C50" w:rsidRPr="00C3671B">
        <w:rPr>
          <w:szCs w:val="20"/>
        </w:rPr>
        <w:t>"</w:t>
      </w:r>
      <w:r w:rsidR="006F0DBF" w:rsidRPr="00C3671B">
        <w:rPr>
          <w:b/>
          <w:szCs w:val="20"/>
        </w:rPr>
        <w:t>CP</w:t>
      </w:r>
      <w:r w:rsidR="006B0C50" w:rsidRPr="00C3671B">
        <w:rPr>
          <w:szCs w:val="20"/>
        </w:rPr>
        <w:t>"</w:t>
      </w:r>
      <w:r w:rsidR="006F0DBF" w:rsidRPr="00C3671B">
        <w:rPr>
          <w:szCs w:val="20"/>
        </w:rPr>
        <w:t>)</w:t>
      </w:r>
      <w:r w:rsidR="00B97CF5" w:rsidRPr="00C3671B">
        <w:rPr>
          <w:szCs w:val="20"/>
        </w:rPr>
        <w:t xml:space="preserve">, pursuant to the </w:t>
      </w:r>
      <w:r w:rsidR="004B0C04" w:rsidRPr="00C3671B">
        <w:rPr>
          <w:szCs w:val="20"/>
        </w:rPr>
        <w:t xml:space="preserve">following </w:t>
      </w:r>
      <w:r w:rsidR="00F3679D" w:rsidRPr="00C3671B">
        <w:rPr>
          <w:szCs w:val="20"/>
        </w:rPr>
        <w:t>terms of reference</w:t>
      </w:r>
      <w:r w:rsidR="002532AD" w:rsidRPr="00C3671B">
        <w:rPr>
          <w:szCs w:val="20"/>
        </w:rPr>
        <w:t>:</w:t>
      </w:r>
    </w:p>
    <w:p w14:paraId="25AA8E55" w14:textId="77777777" w:rsidR="002532AD" w:rsidRPr="00C3671B" w:rsidRDefault="002532AD" w:rsidP="002532AD">
      <w:pPr>
        <w:widowControl/>
        <w:tabs>
          <w:tab w:val="clear" w:pos="1418"/>
        </w:tabs>
        <w:adjustRightInd/>
        <w:rPr>
          <w:szCs w:val="20"/>
        </w:rPr>
      </w:pPr>
    </w:p>
    <w:p w14:paraId="176CF979" w14:textId="1A46A9A1" w:rsidR="00ED7BBA" w:rsidRPr="00C3671B" w:rsidRDefault="006B0C50" w:rsidP="006B0C50">
      <w:pPr>
        <w:widowControl/>
        <w:tabs>
          <w:tab w:val="clear" w:pos="1418"/>
        </w:tabs>
        <w:adjustRightInd/>
        <w:ind w:left="720" w:right="720"/>
        <w:rPr>
          <w:rFonts w:cs="Arial"/>
          <w:i/>
          <w:szCs w:val="20"/>
        </w:rPr>
      </w:pPr>
      <w:r w:rsidRPr="00C3671B">
        <w:rPr>
          <w:rFonts w:cs="Arial"/>
          <w:i/>
          <w:szCs w:val="20"/>
        </w:rPr>
        <w:t>"</w:t>
      </w:r>
      <w:r w:rsidR="00CF3AC2" w:rsidRPr="00C3671B">
        <w:rPr>
          <w:i/>
        </w:rPr>
        <w:t>To review the current position relating to outcome related fee structures for arbitration, to consider whether reform is needed to the relevant law and regulatory framework and, if so, to make such recommendations for reform as appropriate.</w:t>
      </w:r>
      <w:r w:rsidRPr="00C3671B">
        <w:rPr>
          <w:rFonts w:cs="Arial"/>
          <w:i/>
          <w:szCs w:val="20"/>
        </w:rPr>
        <w:t>"</w:t>
      </w:r>
    </w:p>
    <w:p w14:paraId="2A38FCEA" w14:textId="77777777" w:rsidR="00CE2046" w:rsidRPr="00C3671B" w:rsidRDefault="00CE2046" w:rsidP="006B0C50">
      <w:pPr>
        <w:widowControl/>
        <w:tabs>
          <w:tab w:val="clear" w:pos="1418"/>
        </w:tabs>
        <w:adjustRightInd/>
        <w:ind w:left="720" w:right="720"/>
        <w:rPr>
          <w:rFonts w:cs="Arial"/>
          <w:i/>
          <w:szCs w:val="20"/>
        </w:rPr>
      </w:pPr>
    </w:p>
    <w:p w14:paraId="6910F0DB" w14:textId="0A77DA48" w:rsidR="003C27FF" w:rsidRPr="00C3671B" w:rsidRDefault="006F0DBF" w:rsidP="003C27FF">
      <w:pPr>
        <w:widowControl/>
        <w:tabs>
          <w:tab w:val="clear" w:pos="1418"/>
          <w:tab w:val="left" w:pos="1440"/>
        </w:tabs>
      </w:pPr>
      <w:r w:rsidRPr="00C3671B">
        <w:rPr>
          <w:szCs w:val="20"/>
        </w:rPr>
        <w:t>2.</w:t>
      </w:r>
      <w:r w:rsidRPr="00C3671B">
        <w:rPr>
          <w:szCs w:val="20"/>
        </w:rPr>
        <w:tab/>
      </w:r>
      <w:r w:rsidRPr="00C3671B">
        <w:rPr>
          <w:szCs w:val="20"/>
        </w:rPr>
        <w:tab/>
        <w:t>The Sub-committee recommend</w:t>
      </w:r>
      <w:r w:rsidR="00BB20FF" w:rsidRPr="00C3671B">
        <w:rPr>
          <w:szCs w:val="20"/>
        </w:rPr>
        <w:t>s</w:t>
      </w:r>
      <w:r w:rsidR="00CF3AC2" w:rsidRPr="00C3671B">
        <w:rPr>
          <w:szCs w:val="20"/>
        </w:rPr>
        <w:t xml:space="preserve"> </w:t>
      </w:r>
      <w:r w:rsidR="009B4C21" w:rsidRPr="00C3671B">
        <w:rPr>
          <w:szCs w:val="20"/>
        </w:rPr>
        <w:t xml:space="preserve">in the CP </w:t>
      </w:r>
      <w:r w:rsidR="00CF3AC2" w:rsidRPr="00C3671B">
        <w:rPr>
          <w:szCs w:val="20"/>
        </w:rPr>
        <w:t xml:space="preserve">that prohibitions on the use of </w:t>
      </w:r>
      <w:r w:rsidR="00CF3AC2" w:rsidRPr="00C3671B">
        <w:rPr>
          <w:rFonts w:hint="eastAsia"/>
          <w:szCs w:val="20"/>
          <w:lang w:eastAsia="zh-HK"/>
        </w:rPr>
        <w:t>outcome relate</w:t>
      </w:r>
      <w:r w:rsidR="00412BC2" w:rsidRPr="00C3671B">
        <w:rPr>
          <w:rFonts w:hint="eastAsia"/>
          <w:szCs w:val="20"/>
          <w:lang w:eastAsia="zh-HK"/>
        </w:rPr>
        <w:t>d fee structure</w:t>
      </w:r>
      <w:r w:rsidR="0019292D" w:rsidRPr="00C3671B">
        <w:rPr>
          <w:szCs w:val="20"/>
          <w:lang w:eastAsia="zh-HK"/>
        </w:rPr>
        <w:t>s</w:t>
      </w:r>
      <w:r w:rsidR="00163B0C" w:rsidRPr="00C3671B">
        <w:rPr>
          <w:rStyle w:val="FootnoteReference"/>
          <w:sz w:val="24"/>
          <w:lang w:eastAsia="zh-HK"/>
        </w:rPr>
        <w:footnoteReference w:id="1"/>
      </w:r>
      <w:r w:rsidR="00CF3AC2" w:rsidRPr="00C3671B">
        <w:rPr>
          <w:szCs w:val="20"/>
          <w:lang w:eastAsia="zh-HK"/>
        </w:rPr>
        <w:t xml:space="preserve"> </w:t>
      </w:r>
      <w:r w:rsidR="00CF3AC2" w:rsidRPr="00C3671B">
        <w:rPr>
          <w:rFonts w:hint="eastAsia"/>
          <w:szCs w:val="20"/>
          <w:lang w:eastAsia="zh-HK"/>
        </w:rPr>
        <w:t>by Lawyers</w:t>
      </w:r>
      <w:r w:rsidR="00163B0C" w:rsidRPr="00C3671B">
        <w:rPr>
          <w:rStyle w:val="FootnoteReference"/>
          <w:sz w:val="24"/>
          <w:lang w:eastAsia="zh-HK"/>
        </w:rPr>
        <w:footnoteReference w:id="2"/>
      </w:r>
      <w:r w:rsidR="00CF3AC2" w:rsidRPr="00C3671B">
        <w:rPr>
          <w:rFonts w:hint="eastAsia"/>
          <w:szCs w:val="20"/>
          <w:lang w:eastAsia="zh-HK"/>
        </w:rPr>
        <w:t xml:space="preserve"> in Arbitration</w:t>
      </w:r>
      <w:r w:rsidR="00163B0C" w:rsidRPr="00C3671B">
        <w:rPr>
          <w:rStyle w:val="FootnoteReference"/>
          <w:sz w:val="24"/>
          <w:lang w:eastAsia="zh-HK"/>
        </w:rPr>
        <w:footnoteReference w:id="3"/>
      </w:r>
      <w:r w:rsidR="00CF3AC2" w:rsidRPr="00C3671B">
        <w:rPr>
          <w:szCs w:val="20"/>
          <w:lang w:eastAsia="zh-HK"/>
        </w:rPr>
        <w:t xml:space="preserve"> should be lifted</w:t>
      </w:r>
      <w:r w:rsidR="00EF4792" w:rsidRPr="00C3671B">
        <w:rPr>
          <w:szCs w:val="20"/>
          <w:lang w:eastAsia="zh-HK"/>
        </w:rPr>
        <w:t xml:space="preserve">.  </w:t>
      </w:r>
      <w:r w:rsidR="009B4C21" w:rsidRPr="00C3671B">
        <w:rPr>
          <w:szCs w:val="20"/>
          <w:lang w:eastAsia="zh-HK"/>
        </w:rPr>
        <w:t>Under</w:t>
      </w:r>
      <w:r w:rsidR="003C27FF" w:rsidRPr="00C3671B">
        <w:t xml:space="preserve"> </w:t>
      </w:r>
      <w:r w:rsidR="004B0C04" w:rsidRPr="00C3671B">
        <w:t xml:space="preserve">the </w:t>
      </w:r>
      <w:r w:rsidR="009B4C21" w:rsidRPr="00C3671B">
        <w:t>current law,</w:t>
      </w:r>
      <w:r w:rsidR="003C27FF" w:rsidRPr="00C3671B">
        <w:t xml:space="preserve"> Lawyer</w:t>
      </w:r>
      <w:r w:rsidR="004B0C04" w:rsidRPr="00C3671B">
        <w:t>s are</w:t>
      </w:r>
      <w:r w:rsidR="009B4C21" w:rsidRPr="00C3671B">
        <w:t xml:space="preserve"> prohibited </w:t>
      </w:r>
      <w:r w:rsidR="003C27FF" w:rsidRPr="00C3671B">
        <w:t xml:space="preserve">from providing </w:t>
      </w:r>
      <w:r w:rsidR="006B0C50" w:rsidRPr="00C3671B">
        <w:t>"</w:t>
      </w:r>
      <w:r w:rsidR="003C27FF" w:rsidRPr="00C3671B">
        <w:t>arbitration funding</w:t>
      </w:r>
      <w:r w:rsidR="006B0C50" w:rsidRPr="00C3671B">
        <w:t>"</w:t>
      </w:r>
      <w:r w:rsidR="009B4C21" w:rsidRPr="00C3671B">
        <w:rPr>
          <w:rStyle w:val="FootnoteReference"/>
          <w:sz w:val="24"/>
        </w:rPr>
        <w:footnoteReference w:id="4"/>
      </w:r>
      <w:r w:rsidR="003C27FF" w:rsidRPr="00C3671B">
        <w:t xml:space="preserve"> to </w:t>
      </w:r>
      <w:r w:rsidR="009B4C21" w:rsidRPr="00C3671B">
        <w:t xml:space="preserve">a </w:t>
      </w:r>
      <w:r w:rsidR="003C27FF" w:rsidRPr="00C3671B">
        <w:t>party where the Lawyer or his legal practice is acting for any party in relat</w:t>
      </w:r>
      <w:r w:rsidR="009B4C21" w:rsidRPr="00C3671B">
        <w:t>ion to the relevant Arbitration.</w:t>
      </w:r>
      <w:r w:rsidR="000B32D2" w:rsidRPr="00C3671B">
        <w:rPr>
          <w:rStyle w:val="FootnoteReference"/>
          <w:sz w:val="24"/>
        </w:rPr>
        <w:footnoteReference w:id="5"/>
      </w:r>
      <w:r w:rsidR="009B4C21" w:rsidRPr="00C3671B">
        <w:t xml:space="preserve"> </w:t>
      </w:r>
      <w:r w:rsidR="003C27FF" w:rsidRPr="00C3671B">
        <w:t xml:space="preserve"> </w:t>
      </w:r>
    </w:p>
    <w:p w14:paraId="674B5667" w14:textId="0DBF2855" w:rsidR="00CF3AC2" w:rsidRPr="00C3671B" w:rsidRDefault="00CF3AC2" w:rsidP="00414587">
      <w:pPr>
        <w:widowControl/>
        <w:tabs>
          <w:tab w:val="clear" w:pos="1418"/>
        </w:tabs>
        <w:adjustRightInd/>
        <w:rPr>
          <w:rFonts w:eastAsia="SimSun"/>
          <w:lang w:eastAsia="zh-CN"/>
        </w:rPr>
      </w:pPr>
    </w:p>
    <w:p w14:paraId="0AA0F799" w14:textId="47C696CD" w:rsidR="00EA331D" w:rsidRPr="00C3671B" w:rsidRDefault="00534954" w:rsidP="00AF02F8">
      <w:pPr>
        <w:widowControl/>
        <w:tabs>
          <w:tab w:val="clear" w:pos="1418"/>
        </w:tabs>
        <w:adjustRightInd/>
        <w:rPr>
          <w:rFonts w:cs="Arial"/>
          <w:lang w:val="en-US"/>
        </w:rPr>
      </w:pPr>
      <w:r w:rsidRPr="00C3671B">
        <w:rPr>
          <w:lang w:val="en-US"/>
        </w:rPr>
        <w:t>3</w:t>
      </w:r>
      <w:r w:rsidR="005E4008" w:rsidRPr="00C3671B">
        <w:rPr>
          <w:lang w:val="en-US"/>
        </w:rPr>
        <w:t>.</w:t>
      </w:r>
      <w:r w:rsidR="005E4008" w:rsidRPr="00C3671B">
        <w:rPr>
          <w:lang w:val="en-US"/>
        </w:rPr>
        <w:tab/>
      </w:r>
      <w:r w:rsidR="005E4008" w:rsidRPr="00C3671B">
        <w:rPr>
          <w:lang w:val="en-US"/>
        </w:rPr>
        <w:tab/>
      </w:r>
      <w:r w:rsidR="005E4008" w:rsidRPr="00C3671B">
        <w:rPr>
          <w:rFonts w:cs="Arial"/>
        </w:rPr>
        <w:t xml:space="preserve">The Sub-committee </w:t>
      </w:r>
      <w:r w:rsidR="00605783" w:rsidRPr="00C3671B">
        <w:rPr>
          <w:rFonts w:cs="Arial"/>
        </w:rPr>
        <w:t xml:space="preserve">received </w:t>
      </w:r>
      <w:r w:rsidR="00CF3AC2" w:rsidRPr="00C3671B">
        <w:rPr>
          <w:rFonts w:cs="Arial"/>
        </w:rPr>
        <w:t>2</w:t>
      </w:r>
      <w:r w:rsidR="00605783" w:rsidRPr="00C3671B">
        <w:rPr>
          <w:rFonts w:cs="Arial"/>
        </w:rPr>
        <w:t>3</w:t>
      </w:r>
      <w:r w:rsidR="004D1779" w:rsidRPr="00C3671B">
        <w:rPr>
          <w:rStyle w:val="FootnoteReference"/>
          <w:rFonts w:cs="Arial"/>
          <w:sz w:val="24"/>
          <w:szCs w:val="24"/>
        </w:rPr>
        <w:footnoteReference w:id="6"/>
      </w:r>
      <w:r w:rsidR="00605783" w:rsidRPr="00C3671B">
        <w:rPr>
          <w:rFonts w:cs="Arial"/>
        </w:rPr>
        <w:t xml:space="preserve"> responses from members of the public during the consultation</w:t>
      </w:r>
      <w:r w:rsidR="00ED1FA3" w:rsidRPr="00C3671B">
        <w:rPr>
          <w:rFonts w:cs="Arial"/>
        </w:rPr>
        <w:t>.</w:t>
      </w:r>
      <w:r w:rsidR="00BA5DEE" w:rsidRPr="00C3671B">
        <w:rPr>
          <w:rFonts w:cs="Arial"/>
        </w:rPr>
        <w:t xml:space="preserve">  We are most grateful to all those who have commented on the CP</w:t>
      </w:r>
      <w:r w:rsidR="00CC084A" w:rsidRPr="00C3671B">
        <w:rPr>
          <w:rFonts w:cs="Arial"/>
        </w:rPr>
        <w:t xml:space="preserve"> </w:t>
      </w:r>
      <w:r w:rsidR="00CC084A" w:rsidRPr="00C3671B">
        <w:rPr>
          <w:rFonts w:eastAsiaTheme="minorEastAsia" w:cs="Arial"/>
        </w:rPr>
        <w:t>("</w:t>
      </w:r>
      <w:r w:rsidR="00CC084A" w:rsidRPr="00C3671B">
        <w:rPr>
          <w:rFonts w:eastAsiaTheme="minorEastAsia" w:cs="Arial"/>
          <w:b/>
        </w:rPr>
        <w:t>Respondents</w:t>
      </w:r>
      <w:r w:rsidR="00CC084A" w:rsidRPr="00C3671B">
        <w:rPr>
          <w:rFonts w:eastAsiaTheme="minorEastAsia" w:cs="Arial"/>
        </w:rPr>
        <w:t>")</w:t>
      </w:r>
      <w:r w:rsidR="00BA5DEE" w:rsidRPr="00C3671B">
        <w:rPr>
          <w:rFonts w:cs="Arial"/>
        </w:rPr>
        <w:t>.</w:t>
      </w:r>
      <w:r w:rsidR="00ED1FA3" w:rsidRPr="00C3671B">
        <w:rPr>
          <w:rFonts w:cs="Arial"/>
        </w:rPr>
        <w:t xml:space="preserve"> </w:t>
      </w:r>
    </w:p>
    <w:p w14:paraId="7356A7C9" w14:textId="77777777" w:rsidR="00280E3A" w:rsidRPr="00C3671B" w:rsidRDefault="00280E3A" w:rsidP="00280E3A">
      <w:pPr>
        <w:rPr>
          <w:lang w:val="en-US"/>
        </w:rPr>
      </w:pPr>
      <w:bookmarkStart w:id="0" w:name="_Toc460249244"/>
      <w:bookmarkStart w:id="1" w:name="_Toc459106005"/>
      <w:bookmarkStart w:id="2" w:name="_Toc442361794"/>
    </w:p>
    <w:p w14:paraId="0E66F4E6" w14:textId="77777777" w:rsidR="00280E3A" w:rsidRPr="00C3671B" w:rsidRDefault="00280E3A" w:rsidP="00280E3A">
      <w:pPr>
        <w:rPr>
          <w:lang w:val="en-US"/>
        </w:rPr>
      </w:pPr>
    </w:p>
    <w:p w14:paraId="55072D69" w14:textId="5C8C535D" w:rsidR="00FD725A" w:rsidRPr="00C3671B" w:rsidRDefault="00FD725A" w:rsidP="002F0EDE">
      <w:pPr>
        <w:widowControl/>
        <w:tabs>
          <w:tab w:val="clear" w:pos="1418"/>
        </w:tabs>
        <w:adjustRightInd/>
        <w:rPr>
          <w:rFonts w:cs="Arial"/>
          <w:b/>
          <w:bCs/>
          <w:sz w:val="28"/>
          <w:szCs w:val="28"/>
          <w:lang w:val="en-US"/>
        </w:rPr>
      </w:pPr>
      <w:r w:rsidRPr="00C3671B">
        <w:rPr>
          <w:rFonts w:cs="Arial"/>
          <w:b/>
          <w:bCs/>
          <w:sz w:val="28"/>
          <w:szCs w:val="28"/>
          <w:lang w:val="en-US"/>
        </w:rPr>
        <w:t xml:space="preserve">Structure of </w:t>
      </w:r>
      <w:r w:rsidR="00062EF7" w:rsidRPr="00C3671B">
        <w:rPr>
          <w:rFonts w:cs="Arial"/>
          <w:b/>
          <w:bCs/>
          <w:sz w:val="28"/>
          <w:szCs w:val="28"/>
          <w:lang w:val="en-US"/>
        </w:rPr>
        <w:t>the</w:t>
      </w:r>
      <w:r w:rsidRPr="00C3671B">
        <w:rPr>
          <w:rFonts w:cs="Arial"/>
          <w:b/>
          <w:bCs/>
          <w:sz w:val="28"/>
          <w:szCs w:val="28"/>
          <w:lang w:val="en-US"/>
        </w:rPr>
        <w:t xml:space="preserve"> Report</w:t>
      </w:r>
    </w:p>
    <w:p w14:paraId="0F65F08F" w14:textId="77777777" w:rsidR="00FD725A" w:rsidRPr="00C3671B" w:rsidRDefault="00FD725A" w:rsidP="002F0EDE">
      <w:pPr>
        <w:widowControl/>
        <w:tabs>
          <w:tab w:val="clear" w:pos="1418"/>
        </w:tabs>
        <w:adjustRightInd/>
        <w:rPr>
          <w:rFonts w:cs="Arial"/>
          <w:b/>
          <w:bCs/>
          <w:sz w:val="28"/>
          <w:szCs w:val="28"/>
          <w:lang w:val="en-US"/>
        </w:rPr>
      </w:pPr>
    </w:p>
    <w:p w14:paraId="54CA6880" w14:textId="12ED452E" w:rsidR="006E3396" w:rsidRPr="00C3671B" w:rsidRDefault="006E3396" w:rsidP="006E3396">
      <w:pPr>
        <w:widowControl/>
        <w:tabs>
          <w:tab w:val="clear" w:pos="1418"/>
          <w:tab w:val="left" w:pos="1440"/>
        </w:tabs>
        <w:rPr>
          <w:rFonts w:eastAsiaTheme="minorEastAsia" w:cs="Arial"/>
        </w:rPr>
      </w:pPr>
      <w:r w:rsidRPr="00C3671B">
        <w:rPr>
          <w:rFonts w:cs="Arial"/>
        </w:rPr>
        <w:t>4.</w:t>
      </w:r>
      <w:r w:rsidRPr="00C3671B">
        <w:rPr>
          <w:rFonts w:cs="Arial"/>
        </w:rPr>
        <w:tab/>
      </w:r>
      <w:r w:rsidR="00062EF7" w:rsidRPr="00C3671B">
        <w:rPr>
          <w:rFonts w:cs="Arial"/>
        </w:rPr>
        <w:t>The</w:t>
      </w:r>
      <w:r w:rsidRPr="00C3671B">
        <w:rPr>
          <w:rFonts w:cs="Arial"/>
        </w:rPr>
        <w:t xml:space="preserve"> Report consists of </w:t>
      </w:r>
      <w:r w:rsidR="000B32D2" w:rsidRPr="00C3671B">
        <w:rPr>
          <w:rFonts w:cs="Arial"/>
        </w:rPr>
        <w:t xml:space="preserve">16 </w:t>
      </w:r>
      <w:r w:rsidRPr="00C3671B">
        <w:rPr>
          <w:rFonts w:cs="Arial"/>
        </w:rPr>
        <w:t>chapters dealing with 1</w:t>
      </w:r>
      <w:r w:rsidR="00412BC2" w:rsidRPr="00C3671B">
        <w:rPr>
          <w:rFonts w:cs="Arial"/>
        </w:rPr>
        <w:t>4</w:t>
      </w:r>
      <w:r w:rsidRPr="00C3671B">
        <w:rPr>
          <w:rFonts w:cs="Arial"/>
        </w:rPr>
        <w:t xml:space="preserve"> Final Recommendations:</w:t>
      </w:r>
      <w:r w:rsidRPr="00C3671B">
        <w:rPr>
          <w:rFonts w:eastAsiaTheme="minorEastAsia" w:cs="Arial"/>
        </w:rPr>
        <w:t xml:space="preserve"> </w:t>
      </w:r>
    </w:p>
    <w:p w14:paraId="7417EC6F" w14:textId="77777777" w:rsidR="006E3396" w:rsidRPr="00C3671B" w:rsidRDefault="006E3396" w:rsidP="006E3396">
      <w:pPr>
        <w:widowControl/>
        <w:tabs>
          <w:tab w:val="clear" w:pos="1418"/>
          <w:tab w:val="left" w:pos="1440"/>
        </w:tabs>
        <w:rPr>
          <w:rFonts w:eastAsiaTheme="minorEastAsia" w:cs="Arial"/>
        </w:rPr>
      </w:pPr>
    </w:p>
    <w:p w14:paraId="54D65AC7" w14:textId="71323E84" w:rsidR="006E3396" w:rsidRPr="00C3671B" w:rsidRDefault="00403373" w:rsidP="00F4024F">
      <w:pPr>
        <w:pStyle w:val="ListParagraph"/>
        <w:widowControl/>
        <w:numPr>
          <w:ilvl w:val="0"/>
          <w:numId w:val="5"/>
        </w:numPr>
        <w:adjustRightInd/>
        <w:spacing w:after="120"/>
        <w:ind w:left="1440" w:hanging="720"/>
        <w:rPr>
          <w:rFonts w:eastAsiaTheme="minorEastAsia" w:cs="Arial"/>
        </w:rPr>
      </w:pPr>
      <w:r w:rsidRPr="00C3671B">
        <w:rPr>
          <w:rFonts w:eastAsiaTheme="minorEastAsia" w:cs="Arial"/>
        </w:rPr>
        <w:t>C</w:t>
      </w:r>
      <w:r w:rsidR="006E3396" w:rsidRPr="00C3671B">
        <w:rPr>
          <w:rFonts w:eastAsiaTheme="minorEastAsia" w:cs="Arial"/>
        </w:rPr>
        <w:t xml:space="preserve">hapter </w:t>
      </w:r>
      <w:r w:rsidRPr="00C3671B">
        <w:rPr>
          <w:rFonts w:eastAsiaTheme="minorEastAsia" w:cs="Arial"/>
        </w:rPr>
        <w:t xml:space="preserve">1 </w:t>
      </w:r>
      <w:r w:rsidR="00412BC2" w:rsidRPr="00C3671B">
        <w:rPr>
          <w:rFonts w:eastAsiaTheme="minorEastAsia" w:cs="Arial"/>
        </w:rPr>
        <w:t xml:space="preserve">briefly discusses </w:t>
      </w:r>
      <w:r w:rsidR="00406B1B" w:rsidRPr="00C3671B">
        <w:rPr>
          <w:rFonts w:eastAsiaTheme="minorEastAsia" w:cs="Arial"/>
        </w:rPr>
        <w:t xml:space="preserve">the meaning of </w:t>
      </w:r>
      <w:r w:rsidR="004961AC" w:rsidRPr="00C3671B">
        <w:rPr>
          <w:rFonts w:hint="eastAsia"/>
          <w:szCs w:val="20"/>
          <w:lang w:eastAsia="zh-HK"/>
        </w:rPr>
        <w:t>outcome related fee structure</w:t>
      </w:r>
      <w:r w:rsidR="004961AC" w:rsidRPr="00C3671B">
        <w:rPr>
          <w:rStyle w:val="FootnoteReference"/>
          <w:sz w:val="24"/>
          <w:lang w:eastAsia="zh-HK"/>
        </w:rPr>
        <w:footnoteReference w:id="7"/>
      </w:r>
      <w:r w:rsidR="004961AC" w:rsidRPr="00C3671B">
        <w:rPr>
          <w:szCs w:val="20"/>
          <w:lang w:eastAsia="zh-HK"/>
        </w:rPr>
        <w:t xml:space="preserve"> ("</w:t>
      </w:r>
      <w:r w:rsidR="004961AC" w:rsidRPr="00C3671B">
        <w:rPr>
          <w:b/>
          <w:szCs w:val="20"/>
          <w:lang w:eastAsia="zh-HK"/>
        </w:rPr>
        <w:t>ORFS</w:t>
      </w:r>
      <w:r w:rsidR="004961AC" w:rsidRPr="00C3671B">
        <w:rPr>
          <w:szCs w:val="20"/>
          <w:lang w:eastAsia="zh-HK"/>
        </w:rPr>
        <w:t>")</w:t>
      </w:r>
      <w:r w:rsidR="004961AC" w:rsidRPr="00C3671B">
        <w:rPr>
          <w:rFonts w:hint="eastAsia"/>
          <w:szCs w:val="20"/>
          <w:lang w:eastAsia="zh-HK"/>
        </w:rPr>
        <w:t xml:space="preserve"> </w:t>
      </w:r>
      <w:r w:rsidR="00412BC2" w:rsidRPr="00C3671B">
        <w:rPr>
          <w:rFonts w:eastAsiaTheme="minorEastAsia" w:cs="Arial"/>
        </w:rPr>
        <w:t xml:space="preserve">and the need to change the law </w:t>
      </w:r>
      <w:r w:rsidR="00406B1B" w:rsidRPr="00C3671B">
        <w:rPr>
          <w:rFonts w:eastAsiaTheme="minorEastAsia" w:cs="Arial"/>
        </w:rPr>
        <w:t xml:space="preserve">in Hong Kong </w:t>
      </w:r>
      <w:r w:rsidR="00412BC2" w:rsidRPr="00C3671B">
        <w:rPr>
          <w:rFonts w:eastAsiaTheme="minorEastAsia" w:cs="Arial"/>
        </w:rPr>
        <w:t>relating to ORFS</w:t>
      </w:r>
      <w:r w:rsidR="007C74E9" w:rsidRPr="00C3671B">
        <w:rPr>
          <w:rFonts w:eastAsiaTheme="minorEastAsia" w:cs="Arial"/>
        </w:rPr>
        <w:t>s</w:t>
      </w:r>
      <w:r w:rsidR="00412BC2" w:rsidRPr="00C3671B">
        <w:rPr>
          <w:rFonts w:eastAsiaTheme="minorEastAsia" w:cs="Arial"/>
        </w:rPr>
        <w:t xml:space="preserve"> for Arbitration</w:t>
      </w:r>
      <w:r w:rsidR="006E3396" w:rsidRPr="00C3671B">
        <w:rPr>
          <w:rFonts w:eastAsiaTheme="minorEastAsia" w:cs="Arial"/>
        </w:rPr>
        <w:t>.</w:t>
      </w:r>
    </w:p>
    <w:p w14:paraId="3E657942" w14:textId="0C533331" w:rsidR="006E3396" w:rsidRPr="00C3671B" w:rsidRDefault="006E3396" w:rsidP="00F4024F">
      <w:pPr>
        <w:pStyle w:val="ListParagraph"/>
        <w:widowControl/>
        <w:numPr>
          <w:ilvl w:val="0"/>
          <w:numId w:val="5"/>
        </w:numPr>
        <w:adjustRightInd/>
        <w:spacing w:after="120"/>
        <w:ind w:left="1440" w:hanging="720"/>
        <w:rPr>
          <w:rFonts w:eastAsiaTheme="minorEastAsia" w:cs="Arial"/>
        </w:rPr>
      </w:pPr>
      <w:r w:rsidRPr="00C3671B">
        <w:rPr>
          <w:rFonts w:eastAsiaTheme="minorEastAsia" w:cs="Arial"/>
        </w:rPr>
        <w:t>Chapter</w:t>
      </w:r>
      <w:r w:rsidR="00DD63F3" w:rsidRPr="00C3671B">
        <w:rPr>
          <w:rFonts w:eastAsiaTheme="minorEastAsia" w:cs="Arial"/>
        </w:rPr>
        <w:t>s</w:t>
      </w:r>
      <w:r w:rsidRPr="00C3671B">
        <w:rPr>
          <w:rFonts w:eastAsiaTheme="minorEastAsia" w:cs="Arial"/>
        </w:rPr>
        <w:t xml:space="preserve"> 2</w:t>
      </w:r>
      <w:r w:rsidR="00DD63F3" w:rsidRPr="00C3671B">
        <w:rPr>
          <w:rFonts w:eastAsiaTheme="minorEastAsia" w:cs="Arial"/>
        </w:rPr>
        <w:t xml:space="preserve"> to 4</w:t>
      </w:r>
      <w:r w:rsidRPr="00C3671B">
        <w:rPr>
          <w:rFonts w:eastAsiaTheme="minorEastAsia" w:cs="Arial"/>
        </w:rPr>
        <w:t xml:space="preserve"> </w:t>
      </w:r>
      <w:r w:rsidR="00DD63F3" w:rsidRPr="00C3671B">
        <w:rPr>
          <w:rFonts w:eastAsiaTheme="minorEastAsia" w:cs="Arial"/>
        </w:rPr>
        <w:t xml:space="preserve">discuss the need to lift </w:t>
      </w:r>
      <w:r w:rsidR="000B32D2" w:rsidRPr="00C3671B">
        <w:rPr>
          <w:rFonts w:eastAsiaTheme="minorEastAsia" w:cs="Arial"/>
        </w:rPr>
        <w:t xml:space="preserve">the </w:t>
      </w:r>
      <w:r w:rsidR="00DD63F3" w:rsidRPr="00C3671B">
        <w:rPr>
          <w:rFonts w:eastAsiaTheme="minorEastAsia" w:cs="Arial"/>
        </w:rPr>
        <w:t>prohibitions on the use of C</w:t>
      </w:r>
      <w:r w:rsidR="00955E8F" w:rsidRPr="00C3671B">
        <w:rPr>
          <w:rFonts w:eastAsiaTheme="minorEastAsia" w:cs="Arial"/>
        </w:rPr>
        <w:t xml:space="preserve">onditional </w:t>
      </w:r>
      <w:r w:rsidR="00DD63F3" w:rsidRPr="00C3671B">
        <w:rPr>
          <w:rFonts w:eastAsiaTheme="minorEastAsia" w:cs="Arial"/>
        </w:rPr>
        <w:t>F</w:t>
      </w:r>
      <w:r w:rsidR="00955E8F" w:rsidRPr="00C3671B">
        <w:rPr>
          <w:rFonts w:eastAsiaTheme="minorEastAsia" w:cs="Arial"/>
        </w:rPr>
        <w:t xml:space="preserve">ee </w:t>
      </w:r>
      <w:r w:rsidR="00DD63F3" w:rsidRPr="00C3671B">
        <w:rPr>
          <w:rFonts w:eastAsiaTheme="minorEastAsia" w:cs="Arial"/>
        </w:rPr>
        <w:t>A</w:t>
      </w:r>
      <w:r w:rsidR="00955E8F" w:rsidRPr="00C3671B">
        <w:rPr>
          <w:rFonts w:eastAsiaTheme="minorEastAsia" w:cs="Arial"/>
        </w:rPr>
        <w:t>greement</w:t>
      </w:r>
      <w:r w:rsidR="00DD63F3" w:rsidRPr="00C3671B">
        <w:rPr>
          <w:rFonts w:eastAsiaTheme="minorEastAsia" w:cs="Arial"/>
        </w:rPr>
        <w:t xml:space="preserve">s </w:t>
      </w:r>
      <w:r w:rsidR="00955E8F" w:rsidRPr="00C3671B">
        <w:rPr>
          <w:rFonts w:eastAsiaTheme="minorEastAsia" w:cs="Arial"/>
        </w:rPr>
        <w:t>("</w:t>
      </w:r>
      <w:r w:rsidR="00955E8F" w:rsidRPr="00C3671B">
        <w:rPr>
          <w:rFonts w:eastAsiaTheme="minorEastAsia" w:cs="Arial"/>
          <w:b/>
        </w:rPr>
        <w:t>CFAs</w:t>
      </w:r>
      <w:r w:rsidR="00955E8F" w:rsidRPr="00C3671B">
        <w:rPr>
          <w:rFonts w:eastAsiaTheme="minorEastAsia" w:cs="Arial"/>
        </w:rPr>
        <w:t xml:space="preserve">") </w:t>
      </w:r>
      <w:r w:rsidR="00DD63F3" w:rsidRPr="00C3671B">
        <w:rPr>
          <w:rFonts w:eastAsiaTheme="minorEastAsia" w:cs="Arial"/>
        </w:rPr>
        <w:t>by Lawyers in Arbitration</w:t>
      </w:r>
      <w:r w:rsidR="000B32D2" w:rsidRPr="00C3671B">
        <w:rPr>
          <w:rFonts w:eastAsiaTheme="minorEastAsia" w:cs="Arial"/>
        </w:rPr>
        <w:t xml:space="preserve"> and other matters</w:t>
      </w:r>
      <w:r w:rsidR="00D74787" w:rsidRPr="00C3671B">
        <w:rPr>
          <w:rFonts w:eastAsiaTheme="minorEastAsia" w:cs="Arial"/>
        </w:rPr>
        <w:t xml:space="preserve"> relating</w:t>
      </w:r>
      <w:r w:rsidR="000B32D2" w:rsidRPr="00C3671B">
        <w:rPr>
          <w:rFonts w:eastAsiaTheme="minorEastAsia" w:cs="Arial"/>
        </w:rPr>
        <w:t xml:space="preserve"> to CFAs, including</w:t>
      </w:r>
      <w:r w:rsidR="00DD63F3" w:rsidRPr="00C3671B">
        <w:rPr>
          <w:rFonts w:eastAsiaTheme="minorEastAsia" w:cs="Arial"/>
        </w:rPr>
        <w:t xml:space="preserve"> the recoverability of Success Fee premium</w:t>
      </w:r>
      <w:r w:rsidR="00956F23" w:rsidRPr="00C3671B">
        <w:rPr>
          <w:rStyle w:val="FootnoteReference"/>
          <w:rFonts w:cs="Arial"/>
          <w:sz w:val="24"/>
        </w:rPr>
        <w:footnoteReference w:id="8"/>
      </w:r>
      <w:r w:rsidR="00DD63F3" w:rsidRPr="00C3671B">
        <w:rPr>
          <w:rFonts w:eastAsiaTheme="minorEastAsia" w:cs="Arial"/>
        </w:rPr>
        <w:t xml:space="preserve"> and Legal Expense Insurance</w:t>
      </w:r>
      <w:r w:rsidR="00956F23" w:rsidRPr="00C3671B">
        <w:rPr>
          <w:rStyle w:val="FootnoteReference"/>
          <w:rFonts w:cs="Arial"/>
          <w:sz w:val="24"/>
        </w:rPr>
        <w:footnoteReference w:id="9"/>
      </w:r>
      <w:r w:rsidR="00DD63F3" w:rsidRPr="00C3671B">
        <w:rPr>
          <w:rFonts w:eastAsiaTheme="minorEastAsia" w:cs="Arial"/>
        </w:rPr>
        <w:t xml:space="preserve"> premium </w:t>
      </w:r>
      <w:r w:rsidR="00956F23" w:rsidRPr="00C3671B">
        <w:rPr>
          <w:rFonts w:eastAsiaTheme="minorEastAsia" w:cs="Arial"/>
        </w:rPr>
        <w:t xml:space="preserve">from the unsuccessful party </w:t>
      </w:r>
      <w:r w:rsidR="00DD63F3" w:rsidRPr="00C3671B">
        <w:rPr>
          <w:rFonts w:eastAsiaTheme="minorEastAsia" w:cs="Arial"/>
        </w:rPr>
        <w:t>and the cap on the Success Fee</w:t>
      </w:r>
      <w:r w:rsidR="00956F23" w:rsidRPr="00C3671B">
        <w:rPr>
          <w:rStyle w:val="FootnoteReference"/>
          <w:rFonts w:cs="Arial"/>
          <w:sz w:val="24"/>
        </w:rPr>
        <w:footnoteReference w:id="10"/>
      </w:r>
      <w:r w:rsidR="00263EB1" w:rsidRPr="00C3671B">
        <w:rPr>
          <w:rFonts w:eastAsiaTheme="minorEastAsia" w:cs="Arial"/>
        </w:rPr>
        <w:t xml:space="preserve"> </w:t>
      </w:r>
      <w:r w:rsidR="00207F02" w:rsidRPr="00C3671B">
        <w:rPr>
          <w:rFonts w:eastAsiaTheme="minorEastAsia" w:cs="Arial"/>
        </w:rPr>
        <w:t xml:space="preserve">(Final Recommendations 1, 2 and </w:t>
      </w:r>
      <w:r w:rsidR="00DD63F3" w:rsidRPr="00C3671B">
        <w:rPr>
          <w:rFonts w:eastAsiaTheme="minorEastAsia" w:cs="Arial"/>
        </w:rPr>
        <w:t>3)</w:t>
      </w:r>
      <w:r w:rsidRPr="00C3671B">
        <w:rPr>
          <w:rFonts w:eastAsiaTheme="minorEastAsia" w:cs="Arial"/>
        </w:rPr>
        <w:t>.</w:t>
      </w:r>
    </w:p>
    <w:p w14:paraId="6823AAFD" w14:textId="1E611A45" w:rsidR="00DD63F3" w:rsidRPr="00C3671B" w:rsidRDefault="00DD63F3" w:rsidP="00F4024F">
      <w:pPr>
        <w:pStyle w:val="ListParagraph"/>
        <w:widowControl/>
        <w:numPr>
          <w:ilvl w:val="0"/>
          <w:numId w:val="5"/>
        </w:numPr>
        <w:adjustRightInd/>
        <w:spacing w:after="120"/>
        <w:ind w:left="1440" w:hanging="720"/>
        <w:rPr>
          <w:rFonts w:eastAsiaTheme="minorEastAsia" w:cs="Arial"/>
        </w:rPr>
      </w:pPr>
      <w:r w:rsidRPr="00C3671B">
        <w:rPr>
          <w:rFonts w:eastAsiaTheme="minorEastAsia" w:cs="Arial"/>
        </w:rPr>
        <w:t>Chapters 5</w:t>
      </w:r>
      <w:r w:rsidR="00207F02" w:rsidRPr="00C3671B">
        <w:rPr>
          <w:rFonts w:eastAsiaTheme="minorEastAsia" w:cs="Arial"/>
        </w:rPr>
        <w:t xml:space="preserve"> to</w:t>
      </w:r>
      <w:r w:rsidR="00956F23" w:rsidRPr="00C3671B">
        <w:rPr>
          <w:rFonts w:eastAsiaTheme="minorEastAsia" w:cs="Arial"/>
        </w:rPr>
        <w:t xml:space="preserve"> 8 discuss</w:t>
      </w:r>
      <w:r w:rsidRPr="00C3671B">
        <w:rPr>
          <w:rFonts w:eastAsiaTheme="minorEastAsia" w:cs="Arial"/>
        </w:rPr>
        <w:t xml:space="preserve"> the need to lift </w:t>
      </w:r>
      <w:r w:rsidR="000B32D2" w:rsidRPr="00C3671B">
        <w:rPr>
          <w:rFonts w:eastAsiaTheme="minorEastAsia" w:cs="Arial"/>
        </w:rPr>
        <w:t xml:space="preserve">the </w:t>
      </w:r>
      <w:r w:rsidRPr="00C3671B">
        <w:rPr>
          <w:rFonts w:eastAsiaTheme="minorEastAsia" w:cs="Arial"/>
        </w:rPr>
        <w:t>prohibitions on the use of D</w:t>
      </w:r>
      <w:r w:rsidR="003D7BE7" w:rsidRPr="00C3671B">
        <w:rPr>
          <w:rFonts w:eastAsiaTheme="minorEastAsia" w:cs="Arial"/>
        </w:rPr>
        <w:t xml:space="preserve">amages-based </w:t>
      </w:r>
      <w:r w:rsidRPr="00C3671B">
        <w:rPr>
          <w:rFonts w:eastAsiaTheme="minorEastAsia" w:cs="Arial"/>
        </w:rPr>
        <w:t>A</w:t>
      </w:r>
      <w:r w:rsidR="003D7BE7" w:rsidRPr="00C3671B">
        <w:rPr>
          <w:rFonts w:eastAsiaTheme="minorEastAsia" w:cs="Arial"/>
        </w:rPr>
        <w:t>greement</w:t>
      </w:r>
      <w:r w:rsidRPr="00C3671B">
        <w:rPr>
          <w:rFonts w:eastAsiaTheme="minorEastAsia" w:cs="Arial"/>
        </w:rPr>
        <w:t xml:space="preserve">s </w:t>
      </w:r>
      <w:r w:rsidR="003D7BE7" w:rsidRPr="00C3671B">
        <w:rPr>
          <w:rFonts w:eastAsiaTheme="minorEastAsia" w:cs="Arial"/>
        </w:rPr>
        <w:t>("</w:t>
      </w:r>
      <w:r w:rsidR="003D7BE7" w:rsidRPr="00C3671B">
        <w:rPr>
          <w:rFonts w:eastAsiaTheme="minorEastAsia" w:cs="Arial"/>
          <w:b/>
        </w:rPr>
        <w:t>DBAs</w:t>
      </w:r>
      <w:r w:rsidR="003D7BE7" w:rsidRPr="00C3671B">
        <w:rPr>
          <w:rFonts w:eastAsiaTheme="minorEastAsia" w:cs="Arial"/>
        </w:rPr>
        <w:t xml:space="preserve">") </w:t>
      </w:r>
      <w:r w:rsidRPr="00C3671B">
        <w:rPr>
          <w:rFonts w:eastAsiaTheme="minorEastAsia" w:cs="Arial"/>
        </w:rPr>
        <w:t xml:space="preserve">by Lawyers in Arbitration </w:t>
      </w:r>
      <w:r w:rsidR="000B32D2" w:rsidRPr="00C3671B">
        <w:rPr>
          <w:rFonts w:eastAsiaTheme="minorEastAsia" w:cs="Arial"/>
        </w:rPr>
        <w:t>and other matters</w:t>
      </w:r>
      <w:r w:rsidR="00D74787" w:rsidRPr="00C3671B">
        <w:rPr>
          <w:rFonts w:eastAsiaTheme="minorEastAsia" w:cs="Arial"/>
        </w:rPr>
        <w:t xml:space="preserve"> relating</w:t>
      </w:r>
      <w:r w:rsidR="000B32D2" w:rsidRPr="00C3671B">
        <w:rPr>
          <w:rFonts w:eastAsiaTheme="minorEastAsia" w:cs="Arial"/>
        </w:rPr>
        <w:t xml:space="preserve"> to DBAs, including </w:t>
      </w:r>
      <w:r w:rsidRPr="00C3671B">
        <w:rPr>
          <w:rFonts w:eastAsiaTheme="minorEastAsia" w:cs="Arial"/>
        </w:rPr>
        <w:t xml:space="preserve">the recoverability of Legal Expense Insurance premium </w:t>
      </w:r>
      <w:r w:rsidR="00956F23" w:rsidRPr="00C3671B">
        <w:rPr>
          <w:rFonts w:eastAsiaTheme="minorEastAsia" w:cs="Arial"/>
        </w:rPr>
        <w:t>from the unsuccessful party</w:t>
      </w:r>
      <w:r w:rsidR="00207F02" w:rsidRPr="00C3671B">
        <w:rPr>
          <w:rFonts w:eastAsiaTheme="minorEastAsia" w:cs="Arial"/>
        </w:rPr>
        <w:t xml:space="preserve">, </w:t>
      </w:r>
      <w:r w:rsidR="00207F02" w:rsidRPr="00C3671B">
        <w:rPr>
          <w:rFonts w:eastAsia="SimSun" w:cs="Arial"/>
          <w:lang w:eastAsia="zh-CN"/>
        </w:rPr>
        <w:t>whether the Ontario model</w:t>
      </w:r>
      <w:r w:rsidR="00062EF7" w:rsidRPr="00C3671B">
        <w:rPr>
          <w:rStyle w:val="FootnoteReference"/>
          <w:rFonts w:cs="Arial"/>
          <w:sz w:val="24"/>
          <w:lang w:eastAsia="zh-CN"/>
        </w:rPr>
        <w:footnoteReference w:id="11"/>
      </w:r>
      <w:r w:rsidR="00207F02" w:rsidRPr="00C3671B">
        <w:rPr>
          <w:rFonts w:eastAsia="SimSun" w:cs="Arial"/>
          <w:lang w:eastAsia="zh-CN"/>
        </w:rPr>
        <w:t xml:space="preserve"> or the Success fee model</w:t>
      </w:r>
      <w:r w:rsidR="00062EF7" w:rsidRPr="00C3671B">
        <w:rPr>
          <w:rStyle w:val="FootnoteReference"/>
          <w:rFonts w:cs="Arial"/>
          <w:sz w:val="24"/>
          <w:lang w:eastAsia="zh-CN"/>
        </w:rPr>
        <w:footnoteReference w:id="12"/>
      </w:r>
      <w:r w:rsidR="00207F02" w:rsidRPr="00C3671B">
        <w:rPr>
          <w:rFonts w:eastAsia="SimSun" w:cs="Arial"/>
          <w:lang w:eastAsia="zh-CN"/>
        </w:rPr>
        <w:t xml:space="preserve"> should apply</w:t>
      </w:r>
      <w:r w:rsidR="00207F02" w:rsidRPr="00C3671B">
        <w:rPr>
          <w:rFonts w:eastAsiaTheme="minorEastAsia" w:cs="Arial"/>
        </w:rPr>
        <w:t xml:space="preserve"> </w:t>
      </w:r>
      <w:r w:rsidRPr="00C3671B">
        <w:rPr>
          <w:rFonts w:eastAsiaTheme="minorEastAsia" w:cs="Arial"/>
        </w:rPr>
        <w:t>and the cap on the DBA Payment</w:t>
      </w:r>
      <w:r w:rsidR="003D4BAD" w:rsidRPr="00C3671B">
        <w:rPr>
          <w:rStyle w:val="FootnoteReference"/>
          <w:rFonts w:cs="Arial"/>
          <w:sz w:val="24"/>
        </w:rPr>
        <w:footnoteReference w:id="13"/>
      </w:r>
      <w:r w:rsidRPr="00C3671B">
        <w:rPr>
          <w:rFonts w:eastAsiaTheme="minorEastAsia" w:cs="Arial"/>
        </w:rPr>
        <w:t xml:space="preserve"> (Final Recommendations 4</w:t>
      </w:r>
      <w:r w:rsidR="00956F23" w:rsidRPr="00C3671B">
        <w:rPr>
          <w:rFonts w:eastAsiaTheme="minorEastAsia" w:cs="Arial"/>
        </w:rPr>
        <w:t>,</w:t>
      </w:r>
      <w:r w:rsidR="00207F02" w:rsidRPr="00C3671B">
        <w:rPr>
          <w:rFonts w:eastAsiaTheme="minorEastAsia" w:cs="Arial"/>
        </w:rPr>
        <w:t xml:space="preserve"> 5</w:t>
      </w:r>
      <w:r w:rsidR="00956F23" w:rsidRPr="00C3671B">
        <w:rPr>
          <w:rFonts w:eastAsiaTheme="minorEastAsia" w:cs="Arial"/>
        </w:rPr>
        <w:t>,</w:t>
      </w:r>
      <w:r w:rsidR="00207F02" w:rsidRPr="00C3671B">
        <w:rPr>
          <w:rFonts w:eastAsiaTheme="minorEastAsia" w:cs="Arial"/>
        </w:rPr>
        <w:t xml:space="preserve"> 6 and 7</w:t>
      </w:r>
      <w:r w:rsidRPr="00C3671B">
        <w:rPr>
          <w:rFonts w:eastAsiaTheme="minorEastAsia" w:cs="Arial"/>
        </w:rPr>
        <w:t>).</w:t>
      </w:r>
    </w:p>
    <w:p w14:paraId="1DE2CD92" w14:textId="06B1227C" w:rsidR="00207F02" w:rsidRPr="00C3671B" w:rsidRDefault="00207F02" w:rsidP="00F4024F">
      <w:pPr>
        <w:pStyle w:val="ListParagraph"/>
        <w:widowControl/>
        <w:numPr>
          <w:ilvl w:val="0"/>
          <w:numId w:val="5"/>
        </w:numPr>
        <w:adjustRightInd/>
        <w:spacing w:after="120"/>
        <w:ind w:left="1440" w:hanging="720"/>
        <w:rPr>
          <w:rFonts w:eastAsiaTheme="minorEastAsia" w:cs="Arial"/>
        </w:rPr>
      </w:pPr>
      <w:r w:rsidRPr="00C3671B">
        <w:rPr>
          <w:rFonts w:eastAsia="SimSun" w:cs="Arial"/>
          <w:lang w:eastAsia="zh-CN"/>
        </w:rPr>
        <w:lastRenderedPageBreak/>
        <w:t xml:space="preserve">Chapter 9 examines the circumstances for termination of CFA, DBA or </w:t>
      </w:r>
      <w:r w:rsidR="00EE416F" w:rsidRPr="00C3671B">
        <w:rPr>
          <w:rFonts w:eastAsia="SimSun" w:cs="Arial"/>
          <w:lang w:eastAsia="zh-CN"/>
        </w:rPr>
        <w:t>hybrid damages-based agreement (</w:t>
      </w:r>
      <w:r w:rsidR="00BD0346" w:rsidRPr="00C3671B">
        <w:rPr>
          <w:rFonts w:eastAsiaTheme="minorEastAsia" w:cs="Arial"/>
        </w:rPr>
        <w:t>"</w:t>
      </w:r>
      <w:r w:rsidRPr="00C3671B">
        <w:rPr>
          <w:rFonts w:eastAsia="SimSun" w:cs="Arial"/>
          <w:b/>
          <w:lang w:eastAsia="zh-CN"/>
        </w:rPr>
        <w:t>Hybrid DBA</w:t>
      </w:r>
      <w:r w:rsidR="00BD0346" w:rsidRPr="00C3671B">
        <w:rPr>
          <w:rFonts w:eastAsiaTheme="minorEastAsia" w:cs="Arial"/>
        </w:rPr>
        <w:t>"</w:t>
      </w:r>
      <w:r w:rsidR="00EE416F" w:rsidRPr="00C3671B">
        <w:rPr>
          <w:rFonts w:eastAsia="SimSun" w:cs="Arial"/>
          <w:lang w:eastAsia="zh-CN"/>
        </w:rPr>
        <w:t>)</w:t>
      </w:r>
      <w:r w:rsidRPr="00C3671B">
        <w:rPr>
          <w:rFonts w:eastAsia="SimSun" w:cs="Arial"/>
          <w:lang w:eastAsia="zh-CN"/>
        </w:rPr>
        <w:t xml:space="preserve"> (Final Recommendation 8).</w:t>
      </w:r>
    </w:p>
    <w:p w14:paraId="3BB6B2C7" w14:textId="0D7654C4" w:rsidR="00207F02" w:rsidRPr="00C3671B" w:rsidRDefault="00207F02" w:rsidP="00F4024F">
      <w:pPr>
        <w:pStyle w:val="ListParagraph"/>
        <w:widowControl/>
        <w:numPr>
          <w:ilvl w:val="0"/>
          <w:numId w:val="5"/>
        </w:numPr>
        <w:adjustRightInd/>
        <w:spacing w:after="120"/>
        <w:ind w:left="1440" w:hanging="720"/>
        <w:rPr>
          <w:rFonts w:eastAsiaTheme="minorEastAsia" w:cs="Arial"/>
        </w:rPr>
      </w:pPr>
      <w:r w:rsidRPr="00C3671B">
        <w:rPr>
          <w:rFonts w:eastAsia="SimSun" w:cs="Arial" w:hint="eastAsia"/>
          <w:lang w:eastAsia="zh-CN"/>
        </w:rPr>
        <w:t xml:space="preserve">Chapter 10 </w:t>
      </w:r>
      <w:r w:rsidRPr="00C3671B">
        <w:rPr>
          <w:rFonts w:eastAsia="SimSun" w:cs="Arial"/>
          <w:lang w:eastAsia="zh-CN"/>
        </w:rPr>
        <w:t>covers the treatment of barristers</w:t>
      </w:r>
      <w:r w:rsidR="006B0C50" w:rsidRPr="00C3671B">
        <w:rPr>
          <w:rFonts w:eastAsia="SimSun" w:cs="Arial"/>
          <w:lang w:eastAsia="zh-CN"/>
        </w:rPr>
        <w:t>'</w:t>
      </w:r>
      <w:r w:rsidRPr="00C3671B">
        <w:rPr>
          <w:rFonts w:eastAsia="SimSun" w:cs="Arial"/>
          <w:lang w:eastAsia="zh-CN"/>
        </w:rPr>
        <w:t xml:space="preserve"> fees (Final Recommendation 9).</w:t>
      </w:r>
    </w:p>
    <w:p w14:paraId="30CAC35D" w14:textId="1C69BCA2" w:rsidR="00207F02" w:rsidRPr="00C3671B" w:rsidRDefault="00207F02" w:rsidP="00F4024F">
      <w:pPr>
        <w:pStyle w:val="ListParagraph"/>
        <w:widowControl/>
        <w:numPr>
          <w:ilvl w:val="0"/>
          <w:numId w:val="5"/>
        </w:numPr>
        <w:adjustRightInd/>
        <w:spacing w:after="120"/>
        <w:ind w:left="1440" w:hanging="720"/>
        <w:rPr>
          <w:rFonts w:eastAsiaTheme="minorEastAsia" w:cs="Arial"/>
        </w:rPr>
      </w:pPr>
      <w:r w:rsidRPr="00C3671B">
        <w:rPr>
          <w:rFonts w:eastAsia="SimSun" w:cs="Arial"/>
          <w:lang w:eastAsia="zh-CN"/>
        </w:rPr>
        <w:t xml:space="preserve">Chapter 11 discusses whether Hybrid DBAs should be permitted (Final Recommendation 10). </w:t>
      </w:r>
    </w:p>
    <w:p w14:paraId="1DD3BF2E" w14:textId="7142D88A" w:rsidR="00207F02" w:rsidRPr="00C3671B" w:rsidRDefault="00693487" w:rsidP="00F4024F">
      <w:pPr>
        <w:pStyle w:val="ListParagraph"/>
        <w:widowControl/>
        <w:numPr>
          <w:ilvl w:val="0"/>
          <w:numId w:val="5"/>
        </w:numPr>
        <w:adjustRightInd/>
        <w:spacing w:after="120"/>
        <w:ind w:left="1440" w:hanging="720"/>
        <w:rPr>
          <w:rFonts w:eastAsiaTheme="minorEastAsia" w:cs="Arial"/>
        </w:rPr>
      </w:pPr>
      <w:r w:rsidRPr="00C3671B">
        <w:rPr>
          <w:rFonts w:eastAsia="SimSun" w:cs="Arial"/>
          <w:lang w:eastAsia="zh-CN"/>
        </w:rPr>
        <w:t>Chapters 12 and 13 discuss</w:t>
      </w:r>
      <w:r w:rsidR="00207F02" w:rsidRPr="00C3671B">
        <w:rPr>
          <w:rFonts w:eastAsia="SimSun" w:cs="Arial"/>
          <w:lang w:eastAsia="zh-CN"/>
        </w:rPr>
        <w:t xml:space="preserve"> the appropriate forms of </w:t>
      </w:r>
      <w:r w:rsidR="00A870F8" w:rsidRPr="00C3671B">
        <w:rPr>
          <w:rFonts w:eastAsia="SimSun" w:cs="Arial"/>
          <w:lang w:eastAsia="zh-CN"/>
        </w:rPr>
        <w:t>regulation</w:t>
      </w:r>
      <w:r w:rsidR="00207F02" w:rsidRPr="00C3671B">
        <w:rPr>
          <w:rFonts w:eastAsia="SimSun" w:cs="Arial"/>
          <w:lang w:eastAsia="zh-CN"/>
        </w:rPr>
        <w:t xml:space="preserve"> (Final Recommendations 11 and 12).</w:t>
      </w:r>
    </w:p>
    <w:p w14:paraId="1EFEBBD2" w14:textId="494D091D" w:rsidR="00207F02" w:rsidRPr="00C3671B" w:rsidRDefault="00207F02" w:rsidP="00F4024F">
      <w:pPr>
        <w:pStyle w:val="ListParagraph"/>
        <w:widowControl/>
        <w:numPr>
          <w:ilvl w:val="0"/>
          <w:numId w:val="5"/>
        </w:numPr>
        <w:adjustRightInd/>
        <w:spacing w:after="120"/>
        <w:ind w:left="1440" w:hanging="720"/>
        <w:rPr>
          <w:rFonts w:eastAsiaTheme="minorEastAsia" w:cs="Arial"/>
        </w:rPr>
      </w:pPr>
      <w:r w:rsidRPr="00C3671B">
        <w:rPr>
          <w:rFonts w:eastAsia="SimSun" w:cs="Arial"/>
          <w:lang w:eastAsia="zh-CN"/>
        </w:rPr>
        <w:t xml:space="preserve">Chapter 14 </w:t>
      </w:r>
      <w:r w:rsidR="00707701" w:rsidRPr="00C3671B">
        <w:rPr>
          <w:rFonts w:eastAsia="SimSun" w:cs="Arial"/>
          <w:lang w:eastAsia="zh-CN"/>
        </w:rPr>
        <w:t xml:space="preserve">deals with </w:t>
      </w:r>
      <w:r w:rsidRPr="00C3671B">
        <w:rPr>
          <w:rFonts w:eastAsia="SimSun" w:cs="Arial"/>
          <w:lang w:eastAsia="zh-CN"/>
        </w:rPr>
        <w:t>the specific safeguards and other matters relating to ORFS</w:t>
      </w:r>
      <w:r w:rsidR="00BD2C34" w:rsidRPr="00C3671B">
        <w:rPr>
          <w:rFonts w:eastAsia="SimSun" w:cs="Arial"/>
          <w:lang w:eastAsia="zh-CN"/>
        </w:rPr>
        <w:t>s</w:t>
      </w:r>
      <w:r w:rsidRPr="00C3671B">
        <w:rPr>
          <w:rFonts w:eastAsia="SimSun" w:cs="Arial"/>
          <w:lang w:eastAsia="zh-CN"/>
        </w:rPr>
        <w:t xml:space="preserve"> (Final Recommendation 13). </w:t>
      </w:r>
    </w:p>
    <w:p w14:paraId="6E108AC3" w14:textId="6829B9E6" w:rsidR="006E3396" w:rsidRPr="00C3671B" w:rsidRDefault="00207F02" w:rsidP="00F4024F">
      <w:pPr>
        <w:pStyle w:val="ListParagraph"/>
        <w:widowControl/>
        <w:numPr>
          <w:ilvl w:val="0"/>
          <w:numId w:val="5"/>
        </w:numPr>
        <w:adjustRightInd/>
        <w:spacing w:after="120"/>
        <w:ind w:left="1440" w:hanging="720"/>
        <w:rPr>
          <w:rFonts w:eastAsiaTheme="minorEastAsia" w:cs="Arial"/>
        </w:rPr>
      </w:pPr>
      <w:r w:rsidRPr="00C3671B">
        <w:rPr>
          <w:rFonts w:eastAsia="SimSun" w:cs="Arial"/>
          <w:lang w:eastAsia="zh-CN"/>
        </w:rPr>
        <w:t xml:space="preserve">Chapter 15 discusses whether Lawyers and legal practices should be permitted to charge separately for </w:t>
      </w:r>
      <w:r w:rsidR="00693487" w:rsidRPr="00C3671B">
        <w:rPr>
          <w:rFonts w:eastAsia="SimSun" w:cs="Arial"/>
          <w:lang w:eastAsia="zh-CN"/>
        </w:rPr>
        <w:t>s</w:t>
      </w:r>
      <w:r w:rsidR="00062EF7" w:rsidRPr="00C3671B">
        <w:rPr>
          <w:rFonts w:eastAsia="SimSun" w:cs="Arial"/>
          <w:lang w:eastAsia="zh-CN"/>
        </w:rPr>
        <w:t xml:space="preserve">eparate aspects of </w:t>
      </w:r>
      <w:r w:rsidRPr="00C3671B">
        <w:rPr>
          <w:rFonts w:eastAsia="SimSun" w:cs="Arial"/>
          <w:lang w:eastAsia="zh-CN"/>
        </w:rPr>
        <w:t xml:space="preserve">Arbitration (Final Recommendation 14). </w:t>
      </w:r>
    </w:p>
    <w:p w14:paraId="0BA8495D" w14:textId="7CCC6899" w:rsidR="006E3396" w:rsidRPr="00C3671B" w:rsidRDefault="006E3396" w:rsidP="00F4024F">
      <w:pPr>
        <w:pStyle w:val="ListParagraph"/>
        <w:widowControl/>
        <w:numPr>
          <w:ilvl w:val="0"/>
          <w:numId w:val="5"/>
        </w:numPr>
        <w:adjustRightInd/>
        <w:ind w:left="1440" w:hanging="720"/>
        <w:rPr>
          <w:rFonts w:eastAsiaTheme="minorEastAsia" w:cs="Arial"/>
        </w:rPr>
      </w:pPr>
      <w:r w:rsidRPr="00C3671B">
        <w:rPr>
          <w:rFonts w:eastAsiaTheme="minorEastAsia" w:cs="Arial"/>
        </w:rPr>
        <w:t>Chapter 1</w:t>
      </w:r>
      <w:r w:rsidR="00412BC2" w:rsidRPr="00C3671B">
        <w:rPr>
          <w:rFonts w:eastAsiaTheme="minorEastAsia" w:cs="Arial"/>
        </w:rPr>
        <w:t>6</w:t>
      </w:r>
      <w:r w:rsidRPr="00C3671B">
        <w:rPr>
          <w:rFonts w:eastAsiaTheme="minorEastAsia" w:cs="Arial"/>
        </w:rPr>
        <w:t xml:space="preserve"> sets out again, for quick reference, all of </w:t>
      </w:r>
      <w:r w:rsidR="00D74787" w:rsidRPr="00C3671B">
        <w:rPr>
          <w:rFonts w:eastAsiaTheme="minorEastAsia" w:cs="Arial"/>
        </w:rPr>
        <w:t>the F</w:t>
      </w:r>
      <w:r w:rsidRPr="00C3671B">
        <w:rPr>
          <w:rFonts w:eastAsiaTheme="minorEastAsia" w:cs="Arial"/>
        </w:rPr>
        <w:t xml:space="preserve">inal </w:t>
      </w:r>
      <w:r w:rsidR="00D74787" w:rsidRPr="00C3671B">
        <w:rPr>
          <w:rFonts w:eastAsiaTheme="minorEastAsia" w:cs="Arial"/>
        </w:rPr>
        <w:t>R</w:t>
      </w:r>
      <w:r w:rsidRPr="00C3671B">
        <w:rPr>
          <w:rFonts w:eastAsiaTheme="minorEastAsia" w:cs="Arial"/>
        </w:rPr>
        <w:t xml:space="preserve">ecommendations made in the previous chapters. </w:t>
      </w:r>
    </w:p>
    <w:p w14:paraId="52132543" w14:textId="77777777" w:rsidR="006E3396" w:rsidRPr="00C3671B" w:rsidRDefault="006E3396" w:rsidP="006E3396">
      <w:pPr>
        <w:widowControl/>
        <w:tabs>
          <w:tab w:val="clear" w:pos="1418"/>
          <w:tab w:val="left" w:pos="1440"/>
        </w:tabs>
        <w:rPr>
          <w:rFonts w:eastAsiaTheme="minorEastAsia" w:cs="Arial"/>
        </w:rPr>
      </w:pPr>
    </w:p>
    <w:p w14:paraId="4389692F" w14:textId="4A45F3A7" w:rsidR="006E3396" w:rsidRPr="00C3671B" w:rsidRDefault="006E3396" w:rsidP="006E3396">
      <w:pPr>
        <w:widowControl/>
        <w:tabs>
          <w:tab w:val="clear" w:pos="1418"/>
          <w:tab w:val="left" w:pos="1440"/>
        </w:tabs>
        <w:rPr>
          <w:rFonts w:eastAsiaTheme="minorEastAsia" w:cs="Arial"/>
        </w:rPr>
      </w:pPr>
      <w:r w:rsidRPr="00C3671B">
        <w:rPr>
          <w:rFonts w:eastAsiaTheme="minorEastAsia" w:cs="Arial"/>
        </w:rPr>
        <w:t xml:space="preserve">The draft </w:t>
      </w:r>
      <w:r w:rsidR="00412BC2" w:rsidRPr="00C3671B">
        <w:rPr>
          <w:rFonts w:eastAsiaTheme="minorEastAsia" w:cs="Arial"/>
        </w:rPr>
        <w:t xml:space="preserve">provisions to amend the Arbitration Ordinance (Cap 609) </w:t>
      </w:r>
      <w:r w:rsidR="00EE416F" w:rsidRPr="00C3671B">
        <w:rPr>
          <w:rFonts w:eastAsiaTheme="minorEastAsia" w:cs="Arial"/>
        </w:rPr>
        <w:t xml:space="preserve">of Hong Kong </w:t>
      </w:r>
      <w:r w:rsidR="00EE416F" w:rsidRPr="00C3671B">
        <w:rPr>
          <w:lang w:eastAsia="zh-HK"/>
        </w:rPr>
        <w:t>("</w:t>
      </w:r>
      <w:r w:rsidR="00EE416F" w:rsidRPr="00C3671B">
        <w:rPr>
          <w:b/>
          <w:lang w:eastAsia="zh-HK"/>
        </w:rPr>
        <w:t>Arbitration Ordinance</w:t>
      </w:r>
      <w:r w:rsidR="00EE416F" w:rsidRPr="00C3671B">
        <w:rPr>
          <w:lang w:eastAsia="zh-HK"/>
        </w:rPr>
        <w:t xml:space="preserve">") </w:t>
      </w:r>
      <w:r w:rsidR="00412BC2" w:rsidRPr="00C3671B">
        <w:rPr>
          <w:rFonts w:eastAsiaTheme="minorEastAsia" w:cs="Arial"/>
        </w:rPr>
        <w:t>and the Legal Practitioners Ordinance (Cap 159)</w:t>
      </w:r>
      <w:r w:rsidRPr="00C3671B">
        <w:rPr>
          <w:rFonts w:eastAsiaTheme="minorEastAsia" w:cs="Arial"/>
        </w:rPr>
        <w:t xml:space="preserve"> </w:t>
      </w:r>
      <w:r w:rsidR="00D518C6" w:rsidRPr="00C3671B">
        <w:rPr>
          <w:rFonts w:eastAsiaTheme="minorEastAsia" w:cs="Arial"/>
        </w:rPr>
        <w:t xml:space="preserve">of Hong Kong </w:t>
      </w:r>
      <w:r w:rsidR="00FC0814" w:rsidRPr="00C3671B">
        <w:rPr>
          <w:rFonts w:eastAsiaTheme="minorEastAsia" w:cs="Arial"/>
        </w:rPr>
        <w:t>("</w:t>
      </w:r>
      <w:r w:rsidR="00FC0814" w:rsidRPr="00C3671B">
        <w:rPr>
          <w:rFonts w:eastAsiaTheme="minorEastAsia" w:cs="Arial"/>
          <w:b/>
        </w:rPr>
        <w:t>Legal Practitioners Ordinance</w:t>
      </w:r>
      <w:r w:rsidR="00FC0814" w:rsidRPr="00C3671B">
        <w:rPr>
          <w:rFonts w:eastAsiaTheme="minorEastAsia" w:cs="Arial"/>
        </w:rPr>
        <w:t xml:space="preserve">") </w:t>
      </w:r>
      <w:r w:rsidRPr="00C3671B">
        <w:rPr>
          <w:rFonts w:eastAsiaTheme="minorEastAsia" w:cs="Arial"/>
        </w:rPr>
        <w:t>(</w:t>
      </w:r>
      <w:r w:rsidRPr="00C3671B">
        <w:rPr>
          <w:rFonts w:eastAsiaTheme="minorEastAsia" w:cs="Arial"/>
          <w:b/>
        </w:rPr>
        <w:t>Annex 1</w:t>
      </w:r>
      <w:r w:rsidRPr="00C3671B">
        <w:rPr>
          <w:rFonts w:eastAsiaTheme="minorEastAsia" w:cs="Arial"/>
        </w:rPr>
        <w:t>)</w:t>
      </w:r>
      <w:r w:rsidR="00412BC2" w:rsidRPr="00C3671B">
        <w:rPr>
          <w:rFonts w:eastAsiaTheme="minorEastAsia" w:cs="Arial"/>
        </w:rPr>
        <w:t xml:space="preserve">, </w:t>
      </w:r>
      <w:r w:rsidR="00412BC2" w:rsidRPr="00C3671B">
        <w:rPr>
          <w:rFonts w:cs="Arial"/>
        </w:rPr>
        <w:t xml:space="preserve">the recommended ORFS safeguards to be included in subsidiary legislation </w:t>
      </w:r>
      <w:r w:rsidR="00412BC2" w:rsidRPr="00C3671B">
        <w:rPr>
          <w:rFonts w:eastAsiaTheme="minorEastAsia" w:cs="Arial"/>
        </w:rPr>
        <w:t>(</w:t>
      </w:r>
      <w:r w:rsidR="00412BC2" w:rsidRPr="00C3671B">
        <w:rPr>
          <w:rFonts w:eastAsiaTheme="minorEastAsia" w:cs="Arial"/>
          <w:b/>
        </w:rPr>
        <w:t>Annex 2</w:t>
      </w:r>
      <w:r w:rsidR="00412BC2" w:rsidRPr="00C3671B">
        <w:rPr>
          <w:rFonts w:eastAsiaTheme="minorEastAsia" w:cs="Arial"/>
        </w:rPr>
        <w:t>)</w:t>
      </w:r>
      <w:r w:rsidRPr="00C3671B">
        <w:rPr>
          <w:rFonts w:eastAsiaTheme="minorEastAsia" w:cs="Arial"/>
        </w:rPr>
        <w:t xml:space="preserve"> and the list of Respondents</w:t>
      </w:r>
      <w:r w:rsidR="00BD2C34" w:rsidRPr="00C3671B">
        <w:rPr>
          <w:rFonts w:eastAsiaTheme="minorEastAsia" w:cs="Arial"/>
        </w:rPr>
        <w:t xml:space="preserve"> to the consultation</w:t>
      </w:r>
      <w:r w:rsidRPr="00C3671B">
        <w:rPr>
          <w:rFonts w:eastAsiaTheme="minorEastAsia" w:cs="Arial"/>
        </w:rPr>
        <w:t xml:space="preserve"> (</w:t>
      </w:r>
      <w:r w:rsidRPr="00C3671B">
        <w:rPr>
          <w:rFonts w:eastAsiaTheme="minorEastAsia" w:cs="Arial"/>
          <w:b/>
        </w:rPr>
        <w:t xml:space="preserve">Annex </w:t>
      </w:r>
      <w:r w:rsidR="00412BC2" w:rsidRPr="00C3671B">
        <w:rPr>
          <w:rFonts w:eastAsiaTheme="minorEastAsia" w:cs="Arial"/>
          <w:b/>
        </w:rPr>
        <w:t>3</w:t>
      </w:r>
      <w:r w:rsidRPr="00C3671B">
        <w:rPr>
          <w:rFonts w:eastAsiaTheme="minorEastAsia" w:cs="Arial"/>
        </w:rPr>
        <w:t>) can be found at the end of th</w:t>
      </w:r>
      <w:r w:rsidR="009A7F61" w:rsidRPr="00C3671B">
        <w:rPr>
          <w:rFonts w:eastAsiaTheme="minorEastAsia" w:cs="Arial"/>
        </w:rPr>
        <w:t>e</w:t>
      </w:r>
      <w:r w:rsidRPr="00C3671B">
        <w:rPr>
          <w:rFonts w:eastAsiaTheme="minorEastAsia" w:cs="Arial"/>
        </w:rPr>
        <w:t xml:space="preserve"> Report.</w:t>
      </w:r>
    </w:p>
    <w:p w14:paraId="099514DB" w14:textId="77777777" w:rsidR="00992766" w:rsidRPr="00C3671B" w:rsidRDefault="00992766" w:rsidP="001C1B35"/>
    <w:p w14:paraId="7B38FAC5" w14:textId="77777777" w:rsidR="006E3396" w:rsidRPr="00C3671B" w:rsidRDefault="006E3396" w:rsidP="001C1B35">
      <w:pPr>
        <w:rPr>
          <w:lang w:val="en-US"/>
        </w:rPr>
      </w:pPr>
    </w:p>
    <w:p w14:paraId="53F9609C" w14:textId="77777777" w:rsidR="00992766" w:rsidRPr="00C3671B" w:rsidRDefault="00992766" w:rsidP="00412BC2">
      <w:pPr>
        <w:widowControl/>
        <w:tabs>
          <w:tab w:val="clear" w:pos="1418"/>
        </w:tabs>
        <w:adjustRightInd/>
        <w:rPr>
          <w:b/>
          <w:sz w:val="28"/>
          <w:szCs w:val="28"/>
          <w:lang w:val="en-US"/>
        </w:rPr>
      </w:pPr>
      <w:r w:rsidRPr="00C3671B">
        <w:rPr>
          <w:b/>
          <w:sz w:val="28"/>
          <w:szCs w:val="28"/>
          <w:lang w:val="en-US"/>
        </w:rPr>
        <w:t xml:space="preserve">Chapter 2: </w:t>
      </w:r>
      <w:r w:rsidR="00412BC2" w:rsidRPr="00C3671B">
        <w:rPr>
          <w:b/>
          <w:sz w:val="28"/>
          <w:szCs w:val="28"/>
          <w:lang w:val="en-US"/>
        </w:rPr>
        <w:t>Lifting prohibitions on the use of CFAs by Lawyers in Arbitration</w:t>
      </w:r>
    </w:p>
    <w:p w14:paraId="20FC230E" w14:textId="77777777" w:rsidR="00992766" w:rsidRPr="00C3671B" w:rsidRDefault="00992766" w:rsidP="002F0EDE">
      <w:pPr>
        <w:widowControl/>
        <w:tabs>
          <w:tab w:val="clear" w:pos="1418"/>
        </w:tabs>
        <w:adjustRightInd/>
        <w:rPr>
          <w:rFonts w:cs="Arial"/>
          <w:b/>
          <w:bCs/>
          <w:lang w:val="en-US"/>
        </w:rPr>
      </w:pPr>
    </w:p>
    <w:bookmarkEnd w:id="0"/>
    <w:bookmarkEnd w:id="1"/>
    <w:bookmarkEnd w:id="2"/>
    <w:p w14:paraId="273FD5AF" w14:textId="3EE7D994" w:rsidR="00DD6FCD" w:rsidRPr="00C3671B" w:rsidRDefault="00613949" w:rsidP="00DD6FCD">
      <w:pPr>
        <w:rPr>
          <w:rFonts w:cs="Arial"/>
        </w:rPr>
      </w:pPr>
      <w:r w:rsidRPr="00C3671B">
        <w:rPr>
          <w:rFonts w:cs="Arial"/>
          <w:lang w:val="en-US"/>
        </w:rPr>
        <w:t>5</w:t>
      </w:r>
      <w:r w:rsidR="009E2F5A" w:rsidRPr="00C3671B">
        <w:rPr>
          <w:rFonts w:cs="Arial"/>
          <w:lang w:val="en-US"/>
        </w:rPr>
        <w:t>.</w:t>
      </w:r>
      <w:r w:rsidR="009E2F5A" w:rsidRPr="00C3671B">
        <w:rPr>
          <w:rFonts w:cs="Arial"/>
          <w:lang w:val="en-US"/>
        </w:rPr>
        <w:tab/>
      </w:r>
      <w:r w:rsidR="009E2F5A" w:rsidRPr="00C3671B">
        <w:rPr>
          <w:rFonts w:cs="Arial"/>
          <w:lang w:val="en-US"/>
        </w:rPr>
        <w:tab/>
      </w:r>
      <w:r w:rsidR="00665FDA" w:rsidRPr="00C3671B">
        <w:rPr>
          <w:rFonts w:cs="Arial"/>
          <w:lang w:val="en-US"/>
        </w:rPr>
        <w:t xml:space="preserve">Recommendation 1 </w:t>
      </w:r>
      <w:r w:rsidR="001E7440" w:rsidRPr="00C3671B">
        <w:rPr>
          <w:rFonts w:cs="Arial"/>
          <w:lang w:val="en-US"/>
        </w:rPr>
        <w:t xml:space="preserve">in the CP </w:t>
      </w:r>
      <w:r w:rsidR="00665FDA" w:rsidRPr="00C3671B">
        <w:rPr>
          <w:rFonts w:cs="Arial"/>
          <w:lang w:val="en-US"/>
        </w:rPr>
        <w:t xml:space="preserve">recommends </w:t>
      </w:r>
      <w:r w:rsidR="00062EF7" w:rsidRPr="00C3671B">
        <w:rPr>
          <w:rFonts w:cs="Arial"/>
          <w:lang w:val="en-US"/>
        </w:rPr>
        <w:t xml:space="preserve">that </w:t>
      </w:r>
      <w:r w:rsidR="00412BC2" w:rsidRPr="00C3671B">
        <w:rPr>
          <w:rFonts w:cs="Arial"/>
          <w:lang w:val="en-US"/>
        </w:rPr>
        <w:t>prohibitions on the use of CFAs in Arbitration by Lawyers should be lifted, so that Lawyers may choose to enter into CFAs for Arbitration</w:t>
      </w:r>
      <w:r w:rsidR="00665FDA" w:rsidRPr="00C3671B">
        <w:rPr>
          <w:rFonts w:cs="Arial"/>
          <w:lang w:val="en-US"/>
        </w:rPr>
        <w:t xml:space="preserve">.  </w:t>
      </w:r>
      <w:r w:rsidR="00412BC2" w:rsidRPr="00C3671B">
        <w:rPr>
          <w:rFonts w:cs="Arial"/>
          <w:lang w:val="en-US"/>
        </w:rPr>
        <w:t>All but one of the submissions that commented on Recommendation 1 supported the recommendation.</w:t>
      </w:r>
      <w:r w:rsidR="00744E0F" w:rsidRPr="00C3671B">
        <w:rPr>
          <w:rFonts w:cs="Arial"/>
          <w:lang w:val="en-US"/>
        </w:rPr>
        <w:t xml:space="preserve">  </w:t>
      </w:r>
      <w:r w:rsidR="00DD6FCD" w:rsidRPr="00C3671B">
        <w:rPr>
          <w:rFonts w:cs="Arial"/>
        </w:rPr>
        <w:t xml:space="preserve">We agree with </w:t>
      </w:r>
      <w:r w:rsidR="005C16E2" w:rsidRPr="00C3671B">
        <w:rPr>
          <w:rFonts w:cs="Arial"/>
        </w:rPr>
        <w:t xml:space="preserve">the Respondents </w:t>
      </w:r>
      <w:r w:rsidR="00DD6FCD" w:rsidRPr="00C3671B">
        <w:rPr>
          <w:rFonts w:cs="Arial"/>
        </w:rPr>
        <w:t>that introducing ORFSs, including CFAs, in Arbitration is necessary to preserve and promote Hong Kong</w:t>
      </w:r>
      <w:r w:rsidR="006B0C50" w:rsidRPr="00C3671B">
        <w:rPr>
          <w:rFonts w:cs="Arial"/>
        </w:rPr>
        <w:t>'</w:t>
      </w:r>
      <w:r w:rsidR="00DD6FCD" w:rsidRPr="00C3671B">
        <w:rPr>
          <w:rFonts w:cs="Arial"/>
        </w:rPr>
        <w:t>s competitiveness as a leading arbitration centre, enhance access to justice, and – importantly – respond to client demand by providing pricing flexibility.  For Hong Kong to remain a leading arbitration hub, it is essential that it can offer what its competitors offer.  An important element of this is the ability to compete with other jurisdictions when it comes to legal fees for arbitration work.  Furthermore, permitting ORFSs, including CFAs, is consistent with Hong Kong</w:t>
      </w:r>
      <w:r w:rsidR="006B0C50" w:rsidRPr="00C3671B">
        <w:rPr>
          <w:rFonts w:cs="Arial"/>
        </w:rPr>
        <w:t>'</w:t>
      </w:r>
      <w:r w:rsidR="00DD6FCD" w:rsidRPr="00C3671B">
        <w:rPr>
          <w:rFonts w:cs="Arial"/>
        </w:rPr>
        <w:t xml:space="preserve">s overall policy of supporting freedom of contract.  Additionally, the </w:t>
      </w:r>
      <w:r w:rsidR="00DD6FCD" w:rsidRPr="00C3671B">
        <w:rPr>
          <w:rFonts w:cs="Arial"/>
        </w:rPr>
        <w:lastRenderedPageBreak/>
        <w:t xml:space="preserve">process of assessing a case with a view to offering a CFA (or other ORFSs) can help Lawyers and their clients to weed out weak claims.  </w:t>
      </w:r>
    </w:p>
    <w:p w14:paraId="56F551A5" w14:textId="77777777" w:rsidR="00DD6FCD" w:rsidRPr="00C3671B" w:rsidRDefault="00DD6FCD" w:rsidP="00DD6FCD">
      <w:pPr>
        <w:rPr>
          <w:rFonts w:cs="Arial"/>
        </w:rPr>
      </w:pPr>
    </w:p>
    <w:p w14:paraId="6E2F9A44" w14:textId="7B62BB3A" w:rsidR="004619EA" w:rsidRPr="00C3671B" w:rsidRDefault="00461002" w:rsidP="004F345A">
      <w:pPr>
        <w:widowControl/>
        <w:tabs>
          <w:tab w:val="clear" w:pos="1418"/>
        </w:tabs>
        <w:adjustRightInd/>
        <w:rPr>
          <w:rFonts w:cs="Arial"/>
          <w:lang w:val="en-US"/>
        </w:rPr>
      </w:pPr>
      <w:r w:rsidRPr="00C3671B">
        <w:rPr>
          <w:rFonts w:cs="Arial"/>
        </w:rPr>
        <w:t>6.</w:t>
      </w:r>
      <w:r w:rsidRPr="00C3671B">
        <w:rPr>
          <w:rFonts w:cs="Arial"/>
        </w:rPr>
        <w:tab/>
      </w:r>
      <w:r w:rsidRPr="00C3671B">
        <w:rPr>
          <w:rFonts w:cs="Arial"/>
        </w:rPr>
        <w:tab/>
      </w:r>
      <w:r w:rsidR="005542A1" w:rsidRPr="00C3671B">
        <w:rPr>
          <w:rFonts w:cs="Arial"/>
        </w:rPr>
        <w:t>Having analysed the arguments for and against Recommendation 1, we are persuaded that the benefits of permitting the use of CFAs in Arbitration outweigh any potential disadvantages.</w:t>
      </w:r>
      <w:r w:rsidR="00F847DA" w:rsidRPr="00C3671B">
        <w:rPr>
          <w:rFonts w:cs="Arial"/>
          <w:lang w:val="en-US"/>
        </w:rPr>
        <w:t xml:space="preserve"> </w:t>
      </w:r>
      <w:r w:rsidR="00725623" w:rsidRPr="00C3671B">
        <w:rPr>
          <w:rFonts w:cs="Arial"/>
          <w:lang w:val="en-US"/>
        </w:rPr>
        <w:t xml:space="preserve"> </w:t>
      </w:r>
      <w:r w:rsidR="004619EA" w:rsidRPr="00C3671B">
        <w:rPr>
          <w:rFonts w:cs="Arial"/>
          <w:lang w:val="en-US"/>
        </w:rPr>
        <w:t>For the avoidance of doubt, the Final Recommendations to permit ORFSs (</w:t>
      </w:r>
      <w:proofErr w:type="spellStart"/>
      <w:r w:rsidR="004619EA" w:rsidRPr="00C3671B">
        <w:rPr>
          <w:rFonts w:cs="Arial"/>
          <w:lang w:val="en-US"/>
        </w:rPr>
        <w:t>ie</w:t>
      </w:r>
      <w:proofErr w:type="spellEnd"/>
      <w:r w:rsidR="004619EA" w:rsidRPr="00C3671B">
        <w:rPr>
          <w:rFonts w:cs="Arial"/>
          <w:lang w:val="en-US"/>
        </w:rPr>
        <w:t xml:space="preserve"> Final Recommendations 1, 4 and 10) are limited to Arbitration and related court proceedings.  We </w:t>
      </w:r>
      <w:proofErr w:type="spellStart"/>
      <w:r w:rsidR="004619EA" w:rsidRPr="00C3671B">
        <w:rPr>
          <w:rFonts w:cs="Arial"/>
          <w:lang w:val="en-US"/>
        </w:rPr>
        <w:t>emphasise</w:t>
      </w:r>
      <w:proofErr w:type="spellEnd"/>
      <w:r w:rsidR="004619EA" w:rsidRPr="00C3671B">
        <w:rPr>
          <w:rFonts w:cs="Arial"/>
          <w:lang w:val="en-US"/>
        </w:rPr>
        <w:t xml:space="preserve"> that these Final Recommendations are not applicable to mediation proceedings that do not fall within the Arbitration Ordinance</w:t>
      </w:r>
      <w:r w:rsidR="004619EA" w:rsidRPr="00C3671B">
        <w:rPr>
          <w:rStyle w:val="FootnoteReference"/>
          <w:rFonts w:cs="Arial"/>
          <w:sz w:val="24"/>
          <w:szCs w:val="24"/>
          <w:lang w:val="en-US"/>
        </w:rPr>
        <w:footnoteReference w:id="14"/>
      </w:r>
      <w:r w:rsidR="004619EA" w:rsidRPr="00C3671B">
        <w:rPr>
          <w:rFonts w:cs="Arial"/>
          <w:lang w:val="en-US"/>
        </w:rPr>
        <w:t xml:space="preserve"> and private adjudication under the Pilot Scheme on Private Adjudication of Financial Disputes in Matrimonial and Family Proceedings launched by the Judiciary in Hong Kong in 2015.</w:t>
      </w:r>
      <w:r w:rsidR="004619EA" w:rsidRPr="00C3671B">
        <w:rPr>
          <w:rStyle w:val="FootnoteReference"/>
          <w:rFonts w:cs="Arial"/>
          <w:sz w:val="24"/>
          <w:szCs w:val="24"/>
          <w:lang w:val="en-US"/>
        </w:rPr>
        <w:footnoteReference w:id="15"/>
      </w:r>
    </w:p>
    <w:p w14:paraId="18B0011B" w14:textId="77777777" w:rsidR="004619EA" w:rsidRPr="00C3671B" w:rsidRDefault="004619EA" w:rsidP="004F345A">
      <w:pPr>
        <w:widowControl/>
        <w:tabs>
          <w:tab w:val="clear" w:pos="1418"/>
        </w:tabs>
        <w:adjustRightInd/>
        <w:rPr>
          <w:rFonts w:cs="Arial"/>
          <w:lang w:val="en-US"/>
        </w:rPr>
      </w:pPr>
    </w:p>
    <w:p w14:paraId="03D99686" w14:textId="7E242970" w:rsidR="004F345A" w:rsidRPr="00C3671B" w:rsidRDefault="004619EA" w:rsidP="004F345A">
      <w:pPr>
        <w:widowControl/>
        <w:tabs>
          <w:tab w:val="clear" w:pos="1418"/>
        </w:tabs>
        <w:adjustRightInd/>
        <w:rPr>
          <w:rFonts w:cs="Arial"/>
          <w:lang w:val="en-US"/>
        </w:rPr>
      </w:pPr>
      <w:r w:rsidRPr="00C3671B">
        <w:rPr>
          <w:rFonts w:cs="Arial"/>
        </w:rPr>
        <w:t>7.</w:t>
      </w:r>
      <w:r w:rsidRPr="00C3671B">
        <w:rPr>
          <w:rFonts w:cs="Arial"/>
        </w:rPr>
        <w:tab/>
      </w:r>
      <w:r w:rsidRPr="00C3671B">
        <w:rPr>
          <w:rFonts w:cs="Arial"/>
        </w:rPr>
        <w:tab/>
      </w:r>
      <w:r w:rsidR="00B367DD" w:rsidRPr="00C3671B">
        <w:rPr>
          <w:rFonts w:cs="Arial"/>
        </w:rPr>
        <w:t xml:space="preserve">We also agree with the Sub-committee that risks can be further mitigated by limiting the use of CFAs (and ORFSs generally) to Arbitration, and by ensuring that the CFA regime contains appropriate safeguards in the relevant laws and regulations which are discussed in details in subsequent Chapters of the Report.  </w:t>
      </w:r>
      <w:r w:rsidR="004C5C70" w:rsidRPr="00C3671B">
        <w:rPr>
          <w:rFonts w:cs="Arial"/>
          <w:lang w:val="en-US"/>
        </w:rPr>
        <w:t>R</w:t>
      </w:r>
      <w:r w:rsidR="004F345A" w:rsidRPr="00C3671B">
        <w:rPr>
          <w:rFonts w:cs="Arial"/>
          <w:lang w:val="en-US"/>
        </w:rPr>
        <w:t xml:space="preserve">ecommendation </w:t>
      </w:r>
      <w:r w:rsidR="004C5C70" w:rsidRPr="00C3671B">
        <w:rPr>
          <w:rFonts w:cs="Arial"/>
          <w:lang w:val="en-US"/>
        </w:rPr>
        <w:t xml:space="preserve">1 in the CP is </w:t>
      </w:r>
      <w:r w:rsidR="00B367DD" w:rsidRPr="00C3671B">
        <w:rPr>
          <w:rFonts w:cs="Arial"/>
          <w:lang w:val="en-US"/>
        </w:rPr>
        <w:t xml:space="preserve">therefore </w:t>
      </w:r>
      <w:r w:rsidR="004C5C70" w:rsidRPr="00C3671B">
        <w:rPr>
          <w:rFonts w:cs="Arial"/>
          <w:lang w:val="en-US"/>
        </w:rPr>
        <w:t xml:space="preserve">maintained </w:t>
      </w:r>
      <w:r w:rsidR="004F345A" w:rsidRPr="00C3671B">
        <w:rPr>
          <w:rFonts w:cs="Arial"/>
          <w:lang w:val="en-US"/>
        </w:rPr>
        <w:t xml:space="preserve">as </w:t>
      </w:r>
      <w:r w:rsidR="004F345A" w:rsidRPr="00C3671B">
        <w:rPr>
          <w:rFonts w:cs="Arial"/>
          <w:b/>
          <w:lang w:val="en-US"/>
        </w:rPr>
        <w:t>Final Recommendation 1</w:t>
      </w:r>
      <w:r w:rsidR="00760250" w:rsidRPr="00C3671B">
        <w:rPr>
          <w:rFonts w:cs="Arial"/>
          <w:lang w:val="en-US"/>
        </w:rPr>
        <w:t xml:space="preserve"> as follows</w:t>
      </w:r>
      <w:r w:rsidR="004F345A" w:rsidRPr="00C3671B">
        <w:rPr>
          <w:rFonts w:cs="Arial"/>
          <w:lang w:val="en-US"/>
        </w:rPr>
        <w:t>:</w:t>
      </w:r>
    </w:p>
    <w:p w14:paraId="4D703C44" w14:textId="77777777" w:rsidR="004F345A" w:rsidRPr="00C3671B" w:rsidRDefault="004F345A" w:rsidP="004F345A">
      <w:pPr>
        <w:widowControl/>
        <w:tabs>
          <w:tab w:val="clear" w:pos="1418"/>
        </w:tabs>
        <w:adjustRightInd/>
        <w:rPr>
          <w:rFonts w:cs="Arial"/>
          <w:lang w:val="en-US"/>
        </w:rPr>
      </w:pPr>
    </w:p>
    <w:p w14:paraId="65C4CF46" w14:textId="749AE164" w:rsidR="004F345A" w:rsidRPr="00C3671B" w:rsidRDefault="006B0C50" w:rsidP="00931B59">
      <w:pPr>
        <w:widowControl/>
        <w:tabs>
          <w:tab w:val="clear" w:pos="1418"/>
        </w:tabs>
        <w:adjustRightInd/>
        <w:ind w:left="720" w:right="720"/>
        <w:rPr>
          <w:rFonts w:cs="Arial"/>
          <w:lang w:val="en-US"/>
        </w:rPr>
      </w:pPr>
      <w:r w:rsidRPr="00C3671B">
        <w:rPr>
          <w:rFonts w:cs="Arial"/>
          <w:i/>
          <w:lang w:val="en-US"/>
        </w:rPr>
        <w:t>"</w:t>
      </w:r>
      <w:r w:rsidR="005542A1" w:rsidRPr="00C3671B">
        <w:rPr>
          <w:rFonts w:cs="Arial"/>
          <w:i/>
          <w:lang w:val="en-US"/>
        </w:rPr>
        <w:t>We recommend that prohibitions on the use of CFAs in Arbitration by Lawyers should be lifted, so that Lawyers may choose to enter into CFAs for Arbitration</w:t>
      </w:r>
      <w:r w:rsidR="004F345A" w:rsidRPr="00C3671B">
        <w:rPr>
          <w:rFonts w:cs="Arial"/>
          <w:i/>
          <w:lang w:val="en-US"/>
        </w:rPr>
        <w:t>.</w:t>
      </w:r>
      <w:r w:rsidRPr="00C3671B">
        <w:rPr>
          <w:rFonts w:cs="Arial"/>
          <w:i/>
          <w:lang w:val="en-US"/>
        </w:rPr>
        <w:t>"</w:t>
      </w:r>
    </w:p>
    <w:p w14:paraId="4A5090B6" w14:textId="77777777" w:rsidR="00F945D4" w:rsidRPr="00C3671B" w:rsidRDefault="00F945D4" w:rsidP="00001427">
      <w:pPr>
        <w:widowControl/>
        <w:tabs>
          <w:tab w:val="clear" w:pos="1418"/>
        </w:tabs>
        <w:adjustRightInd/>
        <w:rPr>
          <w:rFonts w:cs="Arial"/>
          <w:lang w:val="en-US"/>
        </w:rPr>
      </w:pPr>
    </w:p>
    <w:p w14:paraId="0FCC7F9F" w14:textId="77777777" w:rsidR="004F345A" w:rsidRPr="00C3671B" w:rsidRDefault="004F345A" w:rsidP="00001427">
      <w:pPr>
        <w:widowControl/>
        <w:tabs>
          <w:tab w:val="clear" w:pos="1418"/>
        </w:tabs>
        <w:adjustRightInd/>
        <w:rPr>
          <w:rFonts w:cs="Arial"/>
          <w:lang w:val="en-US"/>
        </w:rPr>
      </w:pPr>
    </w:p>
    <w:p w14:paraId="3348A0A6" w14:textId="77777777" w:rsidR="00A2752D" w:rsidRPr="00C3671B" w:rsidRDefault="00A2752D" w:rsidP="005542A1">
      <w:pPr>
        <w:widowControl/>
        <w:tabs>
          <w:tab w:val="clear" w:pos="1418"/>
        </w:tabs>
        <w:adjustRightInd/>
        <w:rPr>
          <w:b/>
          <w:sz w:val="28"/>
          <w:szCs w:val="28"/>
          <w:lang w:val="en-US"/>
        </w:rPr>
      </w:pPr>
      <w:r w:rsidRPr="00C3671B">
        <w:rPr>
          <w:b/>
          <w:sz w:val="28"/>
          <w:szCs w:val="28"/>
          <w:lang w:val="en-US"/>
        </w:rPr>
        <w:t xml:space="preserve">Chapter 3: </w:t>
      </w:r>
      <w:r w:rsidR="005542A1" w:rsidRPr="00C3671B">
        <w:rPr>
          <w:b/>
          <w:sz w:val="28"/>
          <w:szCs w:val="28"/>
          <w:lang w:val="en-US"/>
        </w:rPr>
        <w:t>Recoverability of Success Fee premium and Legal Expense Insurance premium from the unsuccessful party under CFAs</w:t>
      </w:r>
    </w:p>
    <w:p w14:paraId="0447C864" w14:textId="77777777" w:rsidR="00A2752D" w:rsidRPr="00C3671B" w:rsidRDefault="00A2752D" w:rsidP="002F0EDE">
      <w:pPr>
        <w:widowControl/>
        <w:tabs>
          <w:tab w:val="clear" w:pos="1418"/>
        </w:tabs>
        <w:adjustRightInd/>
        <w:rPr>
          <w:rFonts w:cs="Arial"/>
          <w:b/>
          <w:lang w:val="en-US"/>
        </w:rPr>
      </w:pPr>
    </w:p>
    <w:p w14:paraId="50DF4DC3" w14:textId="6AAB0E64" w:rsidR="004933EF" w:rsidRPr="00C3671B" w:rsidRDefault="00DE1CF6" w:rsidP="002F0EDE">
      <w:pPr>
        <w:widowControl/>
        <w:tabs>
          <w:tab w:val="clear" w:pos="1418"/>
        </w:tabs>
        <w:adjustRightInd/>
        <w:rPr>
          <w:rFonts w:cs="Arial"/>
          <w:lang w:val="en-US"/>
        </w:rPr>
      </w:pPr>
      <w:r w:rsidRPr="00C3671B">
        <w:rPr>
          <w:rFonts w:cs="Arial"/>
          <w:lang w:val="en-US"/>
        </w:rPr>
        <w:t>8</w:t>
      </w:r>
      <w:r w:rsidR="00F238A8" w:rsidRPr="00C3671B">
        <w:rPr>
          <w:rFonts w:cs="Arial"/>
          <w:lang w:val="en-US"/>
        </w:rPr>
        <w:t>.</w:t>
      </w:r>
      <w:r w:rsidR="00F238A8" w:rsidRPr="00C3671B">
        <w:rPr>
          <w:rFonts w:cs="Arial"/>
          <w:lang w:val="en-US"/>
        </w:rPr>
        <w:tab/>
      </w:r>
      <w:r w:rsidR="00F238A8" w:rsidRPr="00C3671B">
        <w:rPr>
          <w:rFonts w:cs="Arial"/>
          <w:lang w:val="en-US"/>
        </w:rPr>
        <w:tab/>
      </w:r>
      <w:r w:rsidR="004C5C70" w:rsidRPr="00C3671B">
        <w:rPr>
          <w:rFonts w:cs="Arial"/>
          <w:lang w:val="en-US"/>
        </w:rPr>
        <w:t xml:space="preserve">Recommendation 2 </w:t>
      </w:r>
      <w:r w:rsidR="001E7440" w:rsidRPr="00C3671B">
        <w:rPr>
          <w:rFonts w:cs="Arial"/>
          <w:lang w:val="en-US"/>
        </w:rPr>
        <w:t xml:space="preserve">in the CP </w:t>
      </w:r>
      <w:r w:rsidR="00665FDA" w:rsidRPr="00C3671B">
        <w:rPr>
          <w:rFonts w:cs="Arial"/>
          <w:lang w:val="en-US"/>
        </w:rPr>
        <w:t xml:space="preserve">deals with </w:t>
      </w:r>
      <w:r w:rsidR="005542A1" w:rsidRPr="00C3671B">
        <w:rPr>
          <w:rFonts w:cs="Arial"/>
          <w:lang w:val="en-US"/>
        </w:rPr>
        <w:t>the recoverability of Success Fee premium and Legal Expense Insurance premium from the unsuccessful party under CFAs</w:t>
      </w:r>
      <w:r w:rsidR="004C5C70" w:rsidRPr="00C3671B">
        <w:rPr>
          <w:rFonts w:cs="Arial"/>
          <w:lang w:val="en-US"/>
        </w:rPr>
        <w:t xml:space="preserve">.  </w:t>
      </w:r>
      <w:r w:rsidR="005542A1" w:rsidRPr="00C3671B">
        <w:rPr>
          <w:rFonts w:cs="Arial"/>
          <w:lang w:val="en-US"/>
        </w:rPr>
        <w:t>Almost all of the submissions that commented on Recommendation 2 supported the recommendation.</w:t>
      </w:r>
      <w:r w:rsidR="004933EF" w:rsidRPr="00C3671B">
        <w:rPr>
          <w:rFonts w:cs="Arial"/>
          <w:lang w:val="en-US"/>
        </w:rPr>
        <w:t xml:space="preserve"> </w:t>
      </w:r>
      <w:r w:rsidR="005542A1" w:rsidRPr="00C3671B">
        <w:rPr>
          <w:rFonts w:cs="Arial"/>
          <w:lang w:val="en-US"/>
        </w:rPr>
        <w:t xml:space="preserve"> To address </w:t>
      </w:r>
      <w:r w:rsidR="00B231A7" w:rsidRPr="00C3671B">
        <w:rPr>
          <w:rFonts w:cs="Arial"/>
          <w:lang w:val="en-US"/>
        </w:rPr>
        <w:t>some Respondents</w:t>
      </w:r>
      <w:r w:rsidR="006B0C50" w:rsidRPr="00C3671B">
        <w:rPr>
          <w:rFonts w:cs="Arial"/>
          <w:lang w:val="en-US"/>
        </w:rPr>
        <w:t>'</w:t>
      </w:r>
      <w:r w:rsidR="00B231A7" w:rsidRPr="00C3671B">
        <w:rPr>
          <w:rFonts w:cs="Arial"/>
          <w:lang w:val="en-US"/>
        </w:rPr>
        <w:t xml:space="preserve"> concern, we </w:t>
      </w:r>
      <w:r w:rsidR="005774DC" w:rsidRPr="00C3671B">
        <w:rPr>
          <w:rFonts w:cs="Arial"/>
          <w:lang w:val="en-US"/>
        </w:rPr>
        <w:t>also</w:t>
      </w:r>
      <w:r w:rsidR="00B231A7" w:rsidRPr="00C3671B">
        <w:rPr>
          <w:rFonts w:cs="Arial"/>
          <w:lang w:val="en-US"/>
        </w:rPr>
        <w:t xml:space="preserve"> recommend in the Report that in exceptional circumstances, the Tribunal</w:t>
      </w:r>
      <w:r w:rsidR="00062EF7" w:rsidRPr="00C3671B">
        <w:rPr>
          <w:rStyle w:val="FootnoteReference"/>
          <w:rFonts w:cs="Arial"/>
          <w:sz w:val="24"/>
          <w:lang w:val="en-US"/>
        </w:rPr>
        <w:footnoteReference w:id="16"/>
      </w:r>
      <w:r w:rsidR="00B231A7" w:rsidRPr="00C3671B">
        <w:rPr>
          <w:rFonts w:cs="Arial"/>
          <w:lang w:val="en-US"/>
        </w:rPr>
        <w:t xml:space="preserve"> should have the power to apportion those fees between the parties in the Arbitration based on the exceptional circumstances of th</w:t>
      </w:r>
      <w:r w:rsidR="004B0C04" w:rsidRPr="00C3671B">
        <w:rPr>
          <w:rFonts w:cs="Arial"/>
          <w:lang w:val="en-US"/>
        </w:rPr>
        <w:t>e</w:t>
      </w:r>
      <w:r w:rsidR="00B231A7" w:rsidRPr="00C3671B">
        <w:rPr>
          <w:rFonts w:cs="Arial"/>
          <w:lang w:val="en-US"/>
        </w:rPr>
        <w:t xml:space="preserve"> case.  Our </w:t>
      </w:r>
      <w:r w:rsidR="00B231A7" w:rsidRPr="00C3671B">
        <w:rPr>
          <w:rFonts w:cs="Arial"/>
          <w:b/>
          <w:lang w:val="en-US"/>
        </w:rPr>
        <w:t xml:space="preserve">Final Recommendation 2 </w:t>
      </w:r>
      <w:r w:rsidR="00B231A7" w:rsidRPr="00C3671B">
        <w:rPr>
          <w:rFonts w:cs="Arial"/>
          <w:lang w:val="en-US"/>
        </w:rPr>
        <w:t>is as follows:</w:t>
      </w:r>
    </w:p>
    <w:p w14:paraId="21B71CD7" w14:textId="77777777" w:rsidR="004933EF" w:rsidRPr="00C3671B" w:rsidRDefault="004933EF" w:rsidP="002F0EDE">
      <w:pPr>
        <w:widowControl/>
        <w:tabs>
          <w:tab w:val="clear" w:pos="1418"/>
        </w:tabs>
        <w:adjustRightInd/>
        <w:rPr>
          <w:rFonts w:cs="Arial"/>
          <w:lang w:val="en-US"/>
        </w:rPr>
      </w:pPr>
    </w:p>
    <w:p w14:paraId="08DA2645" w14:textId="5D5143B0" w:rsidR="002F0EDE" w:rsidRPr="00C3671B" w:rsidRDefault="006B0C50" w:rsidP="00931B59">
      <w:pPr>
        <w:widowControl/>
        <w:tabs>
          <w:tab w:val="clear" w:pos="1418"/>
        </w:tabs>
        <w:adjustRightInd/>
        <w:ind w:left="720" w:right="720"/>
        <w:rPr>
          <w:rFonts w:cs="Arial"/>
          <w:i/>
          <w:lang w:val="en-US"/>
        </w:rPr>
      </w:pPr>
      <w:r w:rsidRPr="00C3671B">
        <w:rPr>
          <w:rFonts w:cs="Arial"/>
          <w:i/>
          <w:lang w:val="en-US"/>
        </w:rPr>
        <w:lastRenderedPageBreak/>
        <w:t>"</w:t>
      </w:r>
      <w:r w:rsidR="005542A1" w:rsidRPr="00C3671B">
        <w:rPr>
          <w:rFonts w:cs="Arial"/>
          <w:i/>
          <w:lang w:val="en-US"/>
        </w:rPr>
        <w:t>Where a CFA is in place, we recommend that any Success Fee premium and any Legal Expense Insurance premium agreed by a client with its Lawyers and insurers respectively shall not, in principle, be borne by the unsuccessful party.  However, where in the opinion of the Tribunal there are exceptional circumstances, the Tribunal may apportion such Success Fee premium and/or Legal Expense Insurance premium between the parties if it determines that apportionment is reasonable, taking into account the exceptional circumstances of the case.</w:t>
      </w:r>
      <w:r w:rsidRPr="00C3671B">
        <w:rPr>
          <w:rFonts w:cs="Arial"/>
          <w:i/>
          <w:lang w:val="en-US"/>
        </w:rPr>
        <w:t>"</w:t>
      </w:r>
    </w:p>
    <w:p w14:paraId="33FAE774" w14:textId="4F620376" w:rsidR="002F0EDE" w:rsidRPr="00C3671B" w:rsidRDefault="002F0EDE" w:rsidP="002F0EDE">
      <w:pPr>
        <w:widowControl/>
        <w:tabs>
          <w:tab w:val="clear" w:pos="1418"/>
        </w:tabs>
        <w:adjustRightInd/>
        <w:rPr>
          <w:rFonts w:cs="Arial"/>
          <w:lang w:val="en-US"/>
        </w:rPr>
      </w:pPr>
    </w:p>
    <w:p w14:paraId="7E2B9E0E" w14:textId="77777777" w:rsidR="00280E3A" w:rsidRPr="00C3671B" w:rsidRDefault="00280E3A" w:rsidP="002F0EDE">
      <w:pPr>
        <w:widowControl/>
        <w:tabs>
          <w:tab w:val="clear" w:pos="1418"/>
        </w:tabs>
        <w:adjustRightInd/>
        <w:rPr>
          <w:rFonts w:cs="Arial"/>
          <w:lang w:val="en-US"/>
        </w:rPr>
      </w:pPr>
    </w:p>
    <w:p w14:paraId="3B8E246F" w14:textId="77777777" w:rsidR="002F0EDE" w:rsidRPr="00C3671B" w:rsidRDefault="00741E3E" w:rsidP="00280E3A">
      <w:pPr>
        <w:keepLines/>
        <w:widowControl/>
        <w:tabs>
          <w:tab w:val="clear" w:pos="1418"/>
        </w:tabs>
        <w:adjustRightInd/>
        <w:rPr>
          <w:rFonts w:cs="Arial"/>
          <w:b/>
          <w:i/>
          <w:lang w:val="en-US"/>
        </w:rPr>
      </w:pPr>
      <w:r w:rsidRPr="00C3671B">
        <w:rPr>
          <w:b/>
          <w:sz w:val="28"/>
          <w:szCs w:val="28"/>
          <w:lang w:val="en-US"/>
        </w:rPr>
        <w:t xml:space="preserve">Chapter 4: </w:t>
      </w:r>
      <w:r w:rsidR="00B231A7" w:rsidRPr="00C3671B">
        <w:rPr>
          <w:b/>
          <w:sz w:val="28"/>
          <w:szCs w:val="28"/>
          <w:lang w:val="en-US"/>
        </w:rPr>
        <w:t xml:space="preserve">Cap on the Success Fee </w:t>
      </w:r>
    </w:p>
    <w:p w14:paraId="57188140" w14:textId="77777777" w:rsidR="002F0EDE" w:rsidRPr="00C3671B" w:rsidRDefault="002F0EDE" w:rsidP="00280E3A">
      <w:pPr>
        <w:keepLines/>
        <w:widowControl/>
        <w:tabs>
          <w:tab w:val="clear" w:pos="1418"/>
        </w:tabs>
        <w:adjustRightInd/>
        <w:rPr>
          <w:rFonts w:cs="Arial"/>
          <w:lang w:val="en-US"/>
        </w:rPr>
      </w:pPr>
    </w:p>
    <w:p w14:paraId="340F779C" w14:textId="32A09FEA" w:rsidR="00791087" w:rsidRPr="00C3671B" w:rsidRDefault="00DE1CF6" w:rsidP="00280E3A">
      <w:pPr>
        <w:keepLines/>
        <w:widowControl/>
        <w:tabs>
          <w:tab w:val="clear" w:pos="1418"/>
        </w:tabs>
        <w:adjustRightInd/>
        <w:rPr>
          <w:rFonts w:cs="Arial"/>
          <w:lang w:val="en-US"/>
        </w:rPr>
      </w:pPr>
      <w:r w:rsidRPr="00C3671B">
        <w:rPr>
          <w:rFonts w:cs="Arial"/>
          <w:lang w:val="en-US"/>
        </w:rPr>
        <w:t>9</w:t>
      </w:r>
      <w:r w:rsidR="006B747F" w:rsidRPr="00C3671B">
        <w:rPr>
          <w:rFonts w:cs="Arial"/>
          <w:lang w:val="en-US"/>
        </w:rPr>
        <w:t>.</w:t>
      </w:r>
      <w:r w:rsidR="006B747F" w:rsidRPr="00C3671B">
        <w:rPr>
          <w:rFonts w:cs="Arial"/>
          <w:i/>
          <w:lang w:val="en-US"/>
        </w:rPr>
        <w:tab/>
      </w:r>
      <w:r w:rsidR="006B747F" w:rsidRPr="00C3671B">
        <w:rPr>
          <w:rFonts w:cs="Arial"/>
          <w:lang w:val="en-US"/>
        </w:rPr>
        <w:tab/>
      </w:r>
      <w:r w:rsidR="00791087" w:rsidRPr="00C3671B">
        <w:rPr>
          <w:rFonts w:cs="Arial"/>
          <w:lang w:val="en-US"/>
        </w:rPr>
        <w:t xml:space="preserve">Recommendation 3 in the CP recommends that there should be a cap on the Success Fee which is expressed as a percentage of normal or </w:t>
      </w:r>
      <w:r w:rsidR="006B0C50" w:rsidRPr="00C3671B">
        <w:rPr>
          <w:rFonts w:cs="Arial"/>
          <w:lang w:val="en-US"/>
        </w:rPr>
        <w:t>"</w:t>
      </w:r>
      <w:r w:rsidR="00791087" w:rsidRPr="00C3671B">
        <w:rPr>
          <w:rFonts w:cs="Arial"/>
          <w:lang w:val="en-US"/>
        </w:rPr>
        <w:t>benchmark</w:t>
      </w:r>
      <w:r w:rsidR="006B0C50" w:rsidRPr="00C3671B">
        <w:rPr>
          <w:rFonts w:cs="Arial"/>
          <w:lang w:val="en-US"/>
        </w:rPr>
        <w:t>"</w:t>
      </w:r>
      <w:r w:rsidR="00791087" w:rsidRPr="00C3671B">
        <w:rPr>
          <w:rFonts w:cs="Arial"/>
          <w:lang w:val="en-US"/>
        </w:rPr>
        <w:t xml:space="preserve"> costs and invites proposals on what an appropriate cap should be, up to a maximum of 100%.  It also invites proposals on whether barristers should be subject to the same, or a different, cap and, if different, what </w:t>
      </w:r>
      <w:r w:rsidR="00003DDB" w:rsidRPr="00C3671B">
        <w:rPr>
          <w:rFonts w:cs="Arial"/>
          <w:lang w:val="en-US"/>
        </w:rPr>
        <w:t xml:space="preserve">that </w:t>
      </w:r>
      <w:r w:rsidR="00791087" w:rsidRPr="00C3671B">
        <w:rPr>
          <w:rFonts w:cs="Arial"/>
          <w:lang w:val="en-US"/>
        </w:rPr>
        <w:t xml:space="preserve">cap should be, up to a maximum of 100%. </w:t>
      </w:r>
    </w:p>
    <w:p w14:paraId="45EC5087" w14:textId="77777777" w:rsidR="00791087" w:rsidRPr="00C3671B" w:rsidRDefault="00791087" w:rsidP="000E73BC">
      <w:pPr>
        <w:keepNext/>
        <w:keepLines/>
        <w:widowControl/>
        <w:tabs>
          <w:tab w:val="clear" w:pos="1418"/>
        </w:tabs>
        <w:adjustRightInd/>
        <w:rPr>
          <w:rFonts w:cs="Arial"/>
          <w:lang w:val="en-US"/>
        </w:rPr>
      </w:pPr>
    </w:p>
    <w:p w14:paraId="622366AA" w14:textId="3E44F7F4" w:rsidR="006A1A8A" w:rsidRPr="00C3671B" w:rsidRDefault="00DE1CF6" w:rsidP="000E73BC">
      <w:pPr>
        <w:keepNext/>
        <w:keepLines/>
        <w:widowControl/>
        <w:tabs>
          <w:tab w:val="clear" w:pos="1418"/>
        </w:tabs>
        <w:adjustRightInd/>
        <w:rPr>
          <w:rFonts w:cs="Arial"/>
        </w:rPr>
      </w:pPr>
      <w:r w:rsidRPr="00C3671B">
        <w:rPr>
          <w:rFonts w:cs="Arial"/>
          <w:lang w:val="en-US"/>
        </w:rPr>
        <w:t>10</w:t>
      </w:r>
      <w:r w:rsidR="00461002" w:rsidRPr="00C3671B">
        <w:rPr>
          <w:rFonts w:cs="Arial"/>
          <w:lang w:val="en-US"/>
        </w:rPr>
        <w:t>.</w:t>
      </w:r>
      <w:r w:rsidR="00791087" w:rsidRPr="00C3671B">
        <w:rPr>
          <w:rFonts w:cs="Arial"/>
          <w:lang w:val="en-US"/>
        </w:rPr>
        <w:tab/>
      </w:r>
      <w:r w:rsidR="00791087" w:rsidRPr="00C3671B">
        <w:rPr>
          <w:rFonts w:cs="Arial"/>
          <w:lang w:val="en-US"/>
        </w:rPr>
        <w:tab/>
      </w:r>
      <w:r w:rsidR="00B231A7" w:rsidRPr="00C3671B">
        <w:rPr>
          <w:rFonts w:cs="Arial"/>
          <w:lang w:val="en-US"/>
        </w:rPr>
        <w:t>A substantial majority of Respondents agreed</w:t>
      </w:r>
      <w:r w:rsidR="006B747F" w:rsidRPr="00C3671B">
        <w:rPr>
          <w:rFonts w:cs="Arial"/>
          <w:lang w:val="en-US"/>
        </w:rPr>
        <w:t xml:space="preserve"> </w:t>
      </w:r>
      <w:r w:rsidR="00773F25" w:rsidRPr="00C3671B">
        <w:rPr>
          <w:rFonts w:cs="Arial"/>
          <w:lang w:val="en-US"/>
        </w:rPr>
        <w:t xml:space="preserve">with </w:t>
      </w:r>
      <w:r w:rsidR="00791087" w:rsidRPr="00C3671B">
        <w:rPr>
          <w:rFonts w:cs="Arial"/>
          <w:lang w:val="en-US"/>
        </w:rPr>
        <w:t>the recommendation.</w:t>
      </w:r>
      <w:r w:rsidR="006B747F" w:rsidRPr="00C3671B">
        <w:rPr>
          <w:rFonts w:cs="Arial"/>
          <w:lang w:val="en-US"/>
        </w:rPr>
        <w:t xml:space="preserve">  </w:t>
      </w:r>
      <w:r w:rsidR="00B231A7" w:rsidRPr="00C3671B">
        <w:rPr>
          <w:rFonts w:cs="Arial"/>
        </w:rPr>
        <w:t xml:space="preserve">Where Respondents expressed a specific view on what the appropriate cap should be, the cap ranged from 30% to 100%.  Nevertheless, the majority of those who commented specifically preferred the </w:t>
      </w:r>
      <w:r w:rsidR="00791087" w:rsidRPr="00C3671B">
        <w:rPr>
          <w:rFonts w:cs="Arial"/>
        </w:rPr>
        <w:t>same</w:t>
      </w:r>
      <w:r w:rsidR="00B231A7" w:rsidRPr="00C3671B">
        <w:rPr>
          <w:rFonts w:cs="Arial"/>
        </w:rPr>
        <w:t xml:space="preserve"> 100%</w:t>
      </w:r>
      <w:r w:rsidR="00791087" w:rsidRPr="00C3671B">
        <w:rPr>
          <w:rFonts w:cs="Arial"/>
        </w:rPr>
        <w:t xml:space="preserve"> as in England and Wales</w:t>
      </w:r>
      <w:r w:rsidR="00B231A7" w:rsidRPr="00C3671B">
        <w:rPr>
          <w:rFonts w:cs="Arial"/>
        </w:rPr>
        <w:t xml:space="preserve">.  </w:t>
      </w:r>
      <w:r w:rsidR="006A1A8A" w:rsidRPr="00C3671B">
        <w:rPr>
          <w:rFonts w:cs="Arial"/>
        </w:rPr>
        <w:t>In addition, we agree with some Respondents</w:t>
      </w:r>
      <w:r w:rsidR="006B0C50" w:rsidRPr="00C3671B">
        <w:rPr>
          <w:rFonts w:cs="Arial"/>
        </w:rPr>
        <w:t>'</w:t>
      </w:r>
      <w:r w:rsidR="006A1A8A" w:rsidRPr="00C3671B">
        <w:rPr>
          <w:rFonts w:cs="Arial"/>
        </w:rPr>
        <w:t xml:space="preserve"> comments that there is no reason or basis to differentiate between barristers and other Lawyers.  For the</w:t>
      </w:r>
      <w:r w:rsidR="00F11887" w:rsidRPr="00C3671B">
        <w:rPr>
          <w:rFonts w:cs="Arial"/>
        </w:rPr>
        <w:t>se</w:t>
      </w:r>
      <w:r w:rsidR="006A1A8A" w:rsidRPr="00C3671B">
        <w:rPr>
          <w:rFonts w:cs="Arial"/>
        </w:rPr>
        <w:t xml:space="preserve"> reasons, our </w:t>
      </w:r>
      <w:r w:rsidR="006A1A8A" w:rsidRPr="00C3671B">
        <w:rPr>
          <w:rFonts w:cs="Arial"/>
          <w:b/>
        </w:rPr>
        <w:t>Final Recommendation 3</w:t>
      </w:r>
      <w:r w:rsidR="006A1A8A" w:rsidRPr="00C3671B">
        <w:rPr>
          <w:rFonts w:cs="Arial"/>
        </w:rPr>
        <w:t xml:space="preserve"> is as follows:</w:t>
      </w:r>
    </w:p>
    <w:p w14:paraId="03266F9D" w14:textId="77777777" w:rsidR="006A1A8A" w:rsidRPr="00C3671B" w:rsidRDefault="006A1A8A" w:rsidP="000E73BC">
      <w:pPr>
        <w:keepNext/>
        <w:keepLines/>
        <w:widowControl/>
        <w:tabs>
          <w:tab w:val="clear" w:pos="1418"/>
        </w:tabs>
        <w:adjustRightInd/>
        <w:rPr>
          <w:rFonts w:cs="Arial"/>
        </w:rPr>
      </w:pPr>
    </w:p>
    <w:p w14:paraId="74948411" w14:textId="47FDA659" w:rsidR="006A1A8A" w:rsidRPr="00C3671B" w:rsidRDefault="006B0C50" w:rsidP="006A1A8A">
      <w:pPr>
        <w:widowControl/>
        <w:tabs>
          <w:tab w:val="clear" w:pos="1418"/>
        </w:tabs>
        <w:adjustRightInd/>
        <w:ind w:left="1440" w:right="720" w:hanging="720"/>
        <w:rPr>
          <w:rFonts w:cs="Arial"/>
          <w:i/>
        </w:rPr>
      </w:pPr>
      <w:r w:rsidRPr="00C3671B">
        <w:rPr>
          <w:rFonts w:cs="Arial"/>
          <w:i/>
        </w:rPr>
        <w:t>"</w:t>
      </w:r>
      <w:r w:rsidR="006A1A8A" w:rsidRPr="00C3671B">
        <w:rPr>
          <w:rFonts w:cs="Arial"/>
          <w:i/>
        </w:rPr>
        <w:t>Where a CFA is in place, we recommend that:</w:t>
      </w:r>
    </w:p>
    <w:p w14:paraId="009B7C90" w14:textId="77777777" w:rsidR="006A1A8A" w:rsidRPr="00C3671B" w:rsidRDefault="006A1A8A" w:rsidP="006A1A8A">
      <w:pPr>
        <w:widowControl/>
        <w:tabs>
          <w:tab w:val="clear" w:pos="1418"/>
        </w:tabs>
        <w:adjustRightInd/>
        <w:ind w:left="1440" w:right="720" w:hanging="720"/>
        <w:rPr>
          <w:rFonts w:cs="Arial"/>
          <w:i/>
        </w:rPr>
      </w:pPr>
    </w:p>
    <w:p w14:paraId="68065895" w14:textId="0C9D55A8" w:rsidR="006A1A8A" w:rsidRPr="00C3671B" w:rsidRDefault="006A1A8A" w:rsidP="006A1A8A">
      <w:pPr>
        <w:widowControl/>
        <w:tabs>
          <w:tab w:val="clear" w:pos="1418"/>
        </w:tabs>
        <w:adjustRightInd/>
        <w:ind w:left="1440" w:right="720" w:hanging="720"/>
        <w:rPr>
          <w:rFonts w:cs="Arial"/>
          <w:i/>
        </w:rPr>
      </w:pPr>
      <w:r w:rsidRPr="00C3671B">
        <w:rPr>
          <w:rFonts w:cs="Arial"/>
          <w:i/>
        </w:rPr>
        <w:t>(a)</w:t>
      </w:r>
      <w:r w:rsidRPr="00C3671B">
        <w:rPr>
          <w:rFonts w:cs="Arial"/>
          <w:i/>
        </w:rPr>
        <w:tab/>
      </w:r>
      <w:proofErr w:type="gramStart"/>
      <w:r w:rsidRPr="00C3671B">
        <w:rPr>
          <w:rFonts w:cs="Arial"/>
          <w:i/>
        </w:rPr>
        <w:t>there</w:t>
      </w:r>
      <w:proofErr w:type="gramEnd"/>
      <w:r w:rsidRPr="00C3671B">
        <w:rPr>
          <w:rFonts w:cs="Arial"/>
          <w:i/>
        </w:rPr>
        <w:t xml:space="preserve"> should be a cap on the Success Fee of 100% of </w:t>
      </w:r>
      <w:r w:rsidR="006B0C50" w:rsidRPr="00C3671B">
        <w:rPr>
          <w:rFonts w:cs="Arial"/>
          <w:i/>
        </w:rPr>
        <w:t>'</w:t>
      </w:r>
      <w:r w:rsidRPr="00C3671B">
        <w:rPr>
          <w:rFonts w:cs="Arial"/>
          <w:i/>
        </w:rPr>
        <w:t>benchmark</w:t>
      </w:r>
      <w:r w:rsidR="006B0C50" w:rsidRPr="00C3671B">
        <w:rPr>
          <w:rFonts w:cs="Arial"/>
          <w:i/>
        </w:rPr>
        <w:t>'</w:t>
      </w:r>
      <w:r w:rsidRPr="00C3671B">
        <w:rPr>
          <w:rFonts w:cs="Arial"/>
          <w:i/>
        </w:rPr>
        <w:t xml:space="preserve"> costs; and</w:t>
      </w:r>
    </w:p>
    <w:p w14:paraId="568135C7" w14:textId="77777777" w:rsidR="006A1A8A" w:rsidRPr="00C3671B" w:rsidRDefault="006A1A8A" w:rsidP="006A1A8A">
      <w:pPr>
        <w:widowControl/>
        <w:tabs>
          <w:tab w:val="clear" w:pos="1418"/>
        </w:tabs>
        <w:adjustRightInd/>
        <w:ind w:left="1440" w:right="720" w:hanging="720"/>
        <w:rPr>
          <w:rFonts w:cs="Arial"/>
          <w:i/>
        </w:rPr>
      </w:pPr>
    </w:p>
    <w:p w14:paraId="35F8FCF1" w14:textId="7B692446" w:rsidR="00B231A7" w:rsidRPr="00C3671B" w:rsidRDefault="006A1A8A" w:rsidP="006A1A8A">
      <w:pPr>
        <w:widowControl/>
        <w:tabs>
          <w:tab w:val="clear" w:pos="1418"/>
        </w:tabs>
        <w:adjustRightInd/>
        <w:ind w:left="1440" w:right="720" w:hanging="720"/>
        <w:rPr>
          <w:rFonts w:cs="Arial"/>
        </w:rPr>
      </w:pPr>
      <w:r w:rsidRPr="00C3671B">
        <w:rPr>
          <w:rFonts w:cs="Arial"/>
          <w:i/>
        </w:rPr>
        <w:t>(b)</w:t>
      </w:r>
      <w:r w:rsidRPr="00C3671B">
        <w:rPr>
          <w:rFonts w:cs="Arial"/>
          <w:i/>
        </w:rPr>
        <w:tab/>
      </w:r>
      <w:proofErr w:type="gramStart"/>
      <w:r w:rsidRPr="00C3671B">
        <w:rPr>
          <w:rFonts w:cs="Arial"/>
          <w:i/>
        </w:rPr>
        <w:t>barristers</w:t>
      </w:r>
      <w:proofErr w:type="gramEnd"/>
      <w:r w:rsidRPr="00C3671B">
        <w:rPr>
          <w:rFonts w:cs="Arial"/>
          <w:i/>
        </w:rPr>
        <w:t xml:space="preserve"> should be subject to the same cap in such circumstances.</w:t>
      </w:r>
      <w:r w:rsidR="006B0C50" w:rsidRPr="00C3671B">
        <w:rPr>
          <w:rFonts w:cs="Arial"/>
          <w:i/>
        </w:rPr>
        <w:t>"</w:t>
      </w:r>
    </w:p>
    <w:p w14:paraId="2C0C87BD" w14:textId="66922D78" w:rsidR="00806BD2" w:rsidRPr="00C3671B" w:rsidRDefault="00806BD2" w:rsidP="00280E3A">
      <w:pPr>
        <w:rPr>
          <w:lang w:val="en-US"/>
        </w:rPr>
      </w:pPr>
    </w:p>
    <w:p w14:paraId="10E732EF" w14:textId="77777777" w:rsidR="00571D8F" w:rsidRPr="00C3671B" w:rsidRDefault="00571D8F" w:rsidP="00280E3A">
      <w:pPr>
        <w:rPr>
          <w:lang w:val="en-US"/>
        </w:rPr>
      </w:pPr>
    </w:p>
    <w:p w14:paraId="2038880D" w14:textId="77777777" w:rsidR="002F0EDE" w:rsidRPr="00C3671B" w:rsidRDefault="00E93CA8" w:rsidP="00280E3A">
      <w:pPr>
        <w:keepNext/>
        <w:keepLines/>
        <w:widowControl/>
        <w:tabs>
          <w:tab w:val="clear" w:pos="1418"/>
        </w:tabs>
        <w:adjustRightInd/>
        <w:rPr>
          <w:b/>
          <w:sz w:val="28"/>
          <w:szCs w:val="28"/>
          <w:lang w:val="en-US"/>
        </w:rPr>
      </w:pPr>
      <w:r w:rsidRPr="00C3671B">
        <w:rPr>
          <w:b/>
          <w:sz w:val="28"/>
          <w:szCs w:val="28"/>
          <w:lang w:val="en-US"/>
        </w:rPr>
        <w:t xml:space="preserve">Chapter 5: </w:t>
      </w:r>
      <w:r w:rsidR="006A1A8A" w:rsidRPr="00C3671B">
        <w:rPr>
          <w:b/>
          <w:sz w:val="28"/>
          <w:szCs w:val="28"/>
          <w:lang w:val="en-US"/>
        </w:rPr>
        <w:t>Lifting prohibitions on the use of DBAs by Lawyers in Arbitration</w:t>
      </w:r>
    </w:p>
    <w:p w14:paraId="33C81864" w14:textId="77777777" w:rsidR="00E367A2" w:rsidRPr="00C3671B" w:rsidRDefault="00E367A2" w:rsidP="00A2236A">
      <w:pPr>
        <w:keepNext/>
        <w:keepLines/>
        <w:widowControl/>
        <w:tabs>
          <w:tab w:val="clear" w:pos="1418"/>
        </w:tabs>
        <w:adjustRightInd/>
        <w:rPr>
          <w:rFonts w:cs="Arial"/>
          <w:b/>
          <w:lang w:val="en-US"/>
        </w:rPr>
      </w:pPr>
    </w:p>
    <w:p w14:paraId="2900376C" w14:textId="6AA4040F" w:rsidR="00ED2461" w:rsidRPr="00C3671B" w:rsidRDefault="00461002" w:rsidP="00745287">
      <w:pPr>
        <w:tabs>
          <w:tab w:val="clear" w:pos="1418"/>
        </w:tabs>
        <w:adjustRightInd/>
        <w:rPr>
          <w:rFonts w:cs="Arial"/>
          <w:lang w:val="en-US"/>
        </w:rPr>
      </w:pPr>
      <w:r w:rsidRPr="00C3671B">
        <w:rPr>
          <w:rFonts w:cs="Arial"/>
          <w:lang w:val="en-US"/>
        </w:rPr>
        <w:t>1</w:t>
      </w:r>
      <w:r w:rsidR="00DE1CF6" w:rsidRPr="00C3671B">
        <w:rPr>
          <w:rFonts w:cs="Arial"/>
          <w:lang w:val="en-US"/>
        </w:rPr>
        <w:t>1</w:t>
      </w:r>
      <w:r w:rsidR="00C72537" w:rsidRPr="00C3671B">
        <w:rPr>
          <w:rFonts w:cs="Arial"/>
          <w:lang w:val="en-US"/>
        </w:rPr>
        <w:t>.</w:t>
      </w:r>
      <w:r w:rsidR="00F4225B" w:rsidRPr="00C3671B">
        <w:rPr>
          <w:rFonts w:cs="Arial"/>
          <w:lang w:val="en-US"/>
        </w:rPr>
        <w:tab/>
      </w:r>
      <w:r w:rsidR="00F4225B" w:rsidRPr="00C3671B">
        <w:rPr>
          <w:rFonts w:cs="Arial"/>
          <w:lang w:val="en-US"/>
        </w:rPr>
        <w:tab/>
      </w:r>
      <w:r w:rsidR="006B7F1B" w:rsidRPr="00C3671B">
        <w:rPr>
          <w:rFonts w:cs="Arial"/>
          <w:lang w:val="en-US"/>
        </w:rPr>
        <w:t xml:space="preserve">Recommendation </w:t>
      </w:r>
      <w:r w:rsidR="008D30A2" w:rsidRPr="00C3671B">
        <w:rPr>
          <w:rFonts w:cs="Arial"/>
          <w:lang w:val="en-US"/>
        </w:rPr>
        <w:t>4</w:t>
      </w:r>
      <w:r w:rsidR="006B7F1B" w:rsidRPr="00C3671B">
        <w:rPr>
          <w:rFonts w:cs="Arial"/>
          <w:lang w:val="en-US"/>
        </w:rPr>
        <w:t xml:space="preserve"> in the CP </w:t>
      </w:r>
      <w:r w:rsidR="00441149" w:rsidRPr="00C3671B">
        <w:rPr>
          <w:rFonts w:cs="Arial"/>
          <w:lang w:val="en-US"/>
        </w:rPr>
        <w:t>recommend</w:t>
      </w:r>
      <w:r w:rsidR="009664E5" w:rsidRPr="00C3671B">
        <w:rPr>
          <w:rFonts w:cs="Arial"/>
          <w:lang w:val="en-US"/>
        </w:rPr>
        <w:t>s</w:t>
      </w:r>
      <w:r w:rsidR="001342A7" w:rsidRPr="00C3671B">
        <w:rPr>
          <w:rFonts w:cs="Arial"/>
          <w:lang w:val="en-US"/>
        </w:rPr>
        <w:t xml:space="preserve"> that </w:t>
      </w:r>
      <w:r w:rsidR="008D30A2" w:rsidRPr="00C3671B">
        <w:rPr>
          <w:rFonts w:cs="Arial"/>
          <w:lang w:val="en-US"/>
        </w:rPr>
        <w:t>prohibitions on the use by Lawyers of DBAs in Arbitration should be lifted, so that Lawyers may use DBAs for Arbitration.  All but one of the submission</w:t>
      </w:r>
      <w:r w:rsidR="00B66BAB" w:rsidRPr="00C3671B">
        <w:rPr>
          <w:rFonts w:cs="Arial"/>
          <w:lang w:val="en-US"/>
        </w:rPr>
        <w:t>s</w:t>
      </w:r>
      <w:r w:rsidR="008D30A2" w:rsidRPr="00C3671B">
        <w:rPr>
          <w:rFonts w:cs="Arial"/>
          <w:lang w:val="en-US"/>
        </w:rPr>
        <w:t xml:space="preserve"> that commented on Recommendation 4 supported the recommendation.  </w:t>
      </w:r>
      <w:r w:rsidR="00324546" w:rsidRPr="00C3671B">
        <w:rPr>
          <w:rFonts w:cs="Arial"/>
          <w:lang w:val="en-US"/>
        </w:rPr>
        <w:t xml:space="preserve">We do not see a basis for permitting CFAs while prohibiting other forms of ORFS, including DBAs.  We are also confident that DBAs will offer benefits to clients who might otherwise be unable to pursue a meritorious claim, as well as to clients who can afford to bring the claim but prefer to share the risk of Arbitration with their legal advisers. </w:t>
      </w:r>
      <w:r w:rsidR="00324546" w:rsidRPr="00C3671B">
        <w:rPr>
          <w:rFonts w:cs="Arial"/>
        </w:rPr>
        <w:t xml:space="preserve"> </w:t>
      </w:r>
      <w:r w:rsidR="001A06D0" w:rsidRPr="00C3671B">
        <w:rPr>
          <w:rFonts w:cs="Arial"/>
          <w:lang w:val="en-US"/>
        </w:rPr>
        <w:t>W</w:t>
      </w:r>
      <w:r w:rsidR="008A67B7" w:rsidRPr="00C3671B">
        <w:rPr>
          <w:rFonts w:cs="Arial"/>
          <w:lang w:val="en-US"/>
        </w:rPr>
        <w:t>e</w:t>
      </w:r>
      <w:r w:rsidR="00745287" w:rsidRPr="00C3671B">
        <w:rPr>
          <w:rFonts w:cs="Arial"/>
          <w:lang w:val="en-US"/>
        </w:rPr>
        <w:t xml:space="preserve"> therefore</w:t>
      </w:r>
      <w:r w:rsidR="008A67B7" w:rsidRPr="00C3671B">
        <w:rPr>
          <w:rFonts w:cs="Arial"/>
          <w:lang w:val="en-US"/>
        </w:rPr>
        <w:t xml:space="preserve"> recommend </w:t>
      </w:r>
      <w:r w:rsidR="00745287" w:rsidRPr="00C3671B">
        <w:rPr>
          <w:rFonts w:cs="Arial"/>
          <w:lang w:val="en-US"/>
        </w:rPr>
        <w:t>retaining</w:t>
      </w:r>
      <w:r w:rsidR="001A06D0" w:rsidRPr="00C3671B">
        <w:rPr>
          <w:rFonts w:cs="Arial"/>
          <w:lang w:val="en-US"/>
        </w:rPr>
        <w:t xml:space="preserve"> </w:t>
      </w:r>
      <w:r w:rsidR="008A67B7" w:rsidRPr="00C3671B">
        <w:rPr>
          <w:rFonts w:cs="Arial"/>
          <w:lang w:val="en-US"/>
        </w:rPr>
        <w:t xml:space="preserve">Recommendation </w:t>
      </w:r>
      <w:r w:rsidR="008D30A2" w:rsidRPr="00C3671B">
        <w:rPr>
          <w:rFonts w:cs="Arial"/>
          <w:lang w:val="en-US"/>
        </w:rPr>
        <w:t>4</w:t>
      </w:r>
      <w:r w:rsidR="008A2ECA" w:rsidRPr="00C3671B">
        <w:rPr>
          <w:rFonts w:cs="Arial"/>
          <w:lang w:val="en-US"/>
        </w:rPr>
        <w:t xml:space="preserve"> in the CP</w:t>
      </w:r>
      <w:r w:rsidR="008A67B7" w:rsidRPr="00C3671B">
        <w:rPr>
          <w:rFonts w:cs="Arial"/>
          <w:lang w:val="en-US"/>
        </w:rPr>
        <w:t xml:space="preserve"> </w:t>
      </w:r>
      <w:r w:rsidR="001A06D0" w:rsidRPr="00C3671B">
        <w:rPr>
          <w:rFonts w:cs="Arial"/>
          <w:lang w:val="en-US"/>
        </w:rPr>
        <w:lastRenderedPageBreak/>
        <w:t>as</w:t>
      </w:r>
      <w:r w:rsidR="008A67B7" w:rsidRPr="00C3671B">
        <w:rPr>
          <w:rFonts w:cs="Arial"/>
          <w:lang w:val="en-US"/>
        </w:rPr>
        <w:t xml:space="preserve"> our </w:t>
      </w:r>
      <w:r w:rsidR="008A67B7" w:rsidRPr="00C3671B">
        <w:rPr>
          <w:rFonts w:cs="Arial"/>
          <w:b/>
          <w:lang w:val="en-US"/>
        </w:rPr>
        <w:t xml:space="preserve">Final Recommendation </w:t>
      </w:r>
      <w:r w:rsidR="008D30A2" w:rsidRPr="00C3671B">
        <w:rPr>
          <w:rFonts w:cs="Arial"/>
          <w:b/>
          <w:lang w:val="en-US"/>
        </w:rPr>
        <w:t>4</w:t>
      </w:r>
      <w:r w:rsidR="00760250" w:rsidRPr="00C3671B">
        <w:rPr>
          <w:rFonts w:cs="Arial"/>
          <w:b/>
          <w:lang w:val="en-US"/>
        </w:rPr>
        <w:t xml:space="preserve"> </w:t>
      </w:r>
      <w:r w:rsidR="00760250" w:rsidRPr="00C3671B">
        <w:rPr>
          <w:rFonts w:cs="Arial"/>
          <w:lang w:val="en-US"/>
        </w:rPr>
        <w:t>as follows</w:t>
      </w:r>
      <w:r w:rsidR="00324546" w:rsidRPr="00C3671B">
        <w:rPr>
          <w:rFonts w:cs="Arial"/>
          <w:lang w:val="en-US"/>
        </w:rPr>
        <w:t>:</w:t>
      </w:r>
    </w:p>
    <w:p w14:paraId="085AEA4D" w14:textId="77777777" w:rsidR="008A67B7" w:rsidRPr="00C3671B" w:rsidRDefault="008A67B7" w:rsidP="00310E50">
      <w:pPr>
        <w:widowControl/>
        <w:tabs>
          <w:tab w:val="clear" w:pos="1418"/>
        </w:tabs>
        <w:adjustRightInd/>
        <w:ind w:left="1418" w:hanging="709"/>
        <w:rPr>
          <w:rFonts w:cs="Arial"/>
          <w:lang w:val="en-US"/>
        </w:rPr>
      </w:pPr>
    </w:p>
    <w:p w14:paraId="22DB4B10" w14:textId="47F57D65" w:rsidR="002F0EDE" w:rsidRPr="00C3671B" w:rsidRDefault="006B0C50" w:rsidP="00E367A2">
      <w:pPr>
        <w:widowControl/>
        <w:tabs>
          <w:tab w:val="clear" w:pos="1418"/>
        </w:tabs>
        <w:adjustRightInd/>
        <w:ind w:left="720" w:right="720"/>
        <w:rPr>
          <w:rFonts w:cs="Arial"/>
          <w:lang w:val="en-US"/>
        </w:rPr>
      </w:pPr>
      <w:r w:rsidRPr="00C3671B">
        <w:rPr>
          <w:rFonts w:cs="Arial"/>
          <w:i/>
          <w:lang w:val="en-US"/>
        </w:rPr>
        <w:t>"</w:t>
      </w:r>
      <w:r w:rsidR="008D30A2" w:rsidRPr="00C3671B">
        <w:rPr>
          <w:rFonts w:cs="Arial"/>
          <w:i/>
          <w:lang w:val="en-US"/>
        </w:rPr>
        <w:t>We recommend that prohibitions on the use by Lawyers of DBAs in Arbitration should be lifted, so that Lawyers may use DBAs for Arbitration.</w:t>
      </w:r>
      <w:r w:rsidRPr="00C3671B">
        <w:rPr>
          <w:rFonts w:cs="Arial"/>
          <w:i/>
          <w:lang w:val="en-US"/>
        </w:rPr>
        <w:t>"</w:t>
      </w:r>
    </w:p>
    <w:p w14:paraId="090185D9" w14:textId="411FDF7A" w:rsidR="003C1D2E" w:rsidRPr="00C3671B" w:rsidRDefault="003C1D2E" w:rsidP="00280E3A">
      <w:pPr>
        <w:rPr>
          <w:lang w:val="en-US"/>
        </w:rPr>
      </w:pPr>
    </w:p>
    <w:p w14:paraId="7ECD21B6" w14:textId="77777777" w:rsidR="00280E3A" w:rsidRPr="00C3671B" w:rsidRDefault="00280E3A" w:rsidP="00280E3A">
      <w:pPr>
        <w:rPr>
          <w:lang w:val="en-US"/>
        </w:rPr>
      </w:pPr>
    </w:p>
    <w:p w14:paraId="51DB7C67" w14:textId="13B0D04A" w:rsidR="002F0EDE" w:rsidRPr="00C3671B" w:rsidRDefault="008D30A2" w:rsidP="00280E3A">
      <w:pPr>
        <w:keepNext/>
        <w:keepLines/>
        <w:widowControl/>
        <w:tabs>
          <w:tab w:val="clear" w:pos="1418"/>
        </w:tabs>
        <w:adjustRightInd/>
        <w:rPr>
          <w:rFonts w:eastAsia="SimSun" w:cs="Arial"/>
          <w:b/>
          <w:sz w:val="28"/>
          <w:szCs w:val="28"/>
          <w:lang w:val="en-US" w:eastAsia="zh-CN"/>
        </w:rPr>
      </w:pPr>
      <w:r w:rsidRPr="00C3671B">
        <w:rPr>
          <w:rFonts w:eastAsia="SimSun" w:cs="Arial"/>
          <w:b/>
          <w:sz w:val="28"/>
          <w:szCs w:val="28"/>
          <w:lang w:val="en-US" w:eastAsia="zh-CN"/>
        </w:rPr>
        <w:t>Chapter 6: Recoverability of Legal Expense Insurance premium from the unsuccessful party under DBAs</w:t>
      </w:r>
    </w:p>
    <w:p w14:paraId="7D04E046" w14:textId="18080E13" w:rsidR="002F0EDE" w:rsidRPr="00C3671B" w:rsidRDefault="002F0EDE" w:rsidP="002F0EDE">
      <w:pPr>
        <w:widowControl/>
        <w:tabs>
          <w:tab w:val="clear" w:pos="1418"/>
        </w:tabs>
        <w:adjustRightInd/>
        <w:rPr>
          <w:rFonts w:cs="Arial"/>
          <w:b/>
          <w:lang w:val="en-US"/>
        </w:rPr>
      </w:pPr>
    </w:p>
    <w:p w14:paraId="2D17261B" w14:textId="3CBEAC05" w:rsidR="00B0445A" w:rsidRPr="00C3671B" w:rsidRDefault="008F36CA" w:rsidP="00B0445A">
      <w:pPr>
        <w:widowControl/>
        <w:tabs>
          <w:tab w:val="clear" w:pos="1418"/>
        </w:tabs>
        <w:adjustRightInd/>
        <w:rPr>
          <w:rFonts w:cs="Arial"/>
          <w:lang w:val="en-US"/>
        </w:rPr>
      </w:pPr>
      <w:r w:rsidRPr="00C3671B">
        <w:rPr>
          <w:rFonts w:cs="Arial"/>
          <w:lang w:val="en-US"/>
        </w:rPr>
        <w:t>1</w:t>
      </w:r>
      <w:r w:rsidR="00DE1CF6" w:rsidRPr="00C3671B">
        <w:rPr>
          <w:rFonts w:cs="Arial"/>
          <w:lang w:val="en-US"/>
        </w:rPr>
        <w:t>2</w:t>
      </w:r>
      <w:r w:rsidR="00F75373" w:rsidRPr="00C3671B">
        <w:rPr>
          <w:rFonts w:cs="Arial"/>
          <w:lang w:val="en-US"/>
        </w:rPr>
        <w:t>.</w:t>
      </w:r>
      <w:r w:rsidR="00725FC0" w:rsidRPr="00C3671B">
        <w:rPr>
          <w:rFonts w:cs="Arial"/>
          <w:lang w:val="en-US"/>
        </w:rPr>
        <w:tab/>
      </w:r>
      <w:r w:rsidR="00725FC0" w:rsidRPr="00C3671B">
        <w:rPr>
          <w:rFonts w:cs="Arial"/>
          <w:lang w:val="en-US"/>
        </w:rPr>
        <w:tab/>
      </w:r>
      <w:r w:rsidR="00403D4C" w:rsidRPr="00C3671B">
        <w:rPr>
          <w:rFonts w:cs="Arial"/>
          <w:lang w:val="en-US"/>
        </w:rPr>
        <w:t xml:space="preserve">Recommendation </w:t>
      </w:r>
      <w:r w:rsidR="003C1D2E" w:rsidRPr="00C3671B">
        <w:rPr>
          <w:rFonts w:cs="Arial"/>
          <w:lang w:val="en-US"/>
        </w:rPr>
        <w:t>5</w:t>
      </w:r>
      <w:r w:rsidR="00403D4C" w:rsidRPr="00C3671B">
        <w:rPr>
          <w:rFonts w:cs="Arial"/>
          <w:lang w:val="en-US"/>
        </w:rPr>
        <w:t xml:space="preserve"> in the CP </w:t>
      </w:r>
      <w:r w:rsidR="00C628DF" w:rsidRPr="00C3671B">
        <w:rPr>
          <w:rFonts w:cs="Arial"/>
          <w:lang w:val="en-US"/>
        </w:rPr>
        <w:t xml:space="preserve">recommends that </w:t>
      </w:r>
      <w:r w:rsidR="003C1D2E" w:rsidRPr="00C3671B">
        <w:rPr>
          <w:rFonts w:cs="Arial"/>
          <w:lang w:val="en-US"/>
        </w:rPr>
        <w:t xml:space="preserve">any </w:t>
      </w:r>
      <w:r w:rsidR="004B0C04" w:rsidRPr="00C3671B">
        <w:rPr>
          <w:rFonts w:cs="Arial"/>
          <w:lang w:val="en-US"/>
        </w:rPr>
        <w:t>after-the-event insurance (</w:t>
      </w:r>
      <w:r w:rsidR="006B0C50" w:rsidRPr="00C3671B">
        <w:rPr>
          <w:rFonts w:cs="Arial"/>
          <w:lang w:val="en-US"/>
        </w:rPr>
        <w:t>"</w:t>
      </w:r>
      <w:r w:rsidR="003C1D2E" w:rsidRPr="00C3671B">
        <w:rPr>
          <w:rFonts w:cs="Arial"/>
          <w:b/>
          <w:lang w:val="en-US"/>
        </w:rPr>
        <w:t>ATE Insurance</w:t>
      </w:r>
      <w:r w:rsidR="006B0C50" w:rsidRPr="00C3671B">
        <w:rPr>
          <w:rFonts w:cs="Arial"/>
          <w:lang w:val="en-US"/>
        </w:rPr>
        <w:t>"</w:t>
      </w:r>
      <w:r w:rsidR="004B0C04" w:rsidRPr="00C3671B">
        <w:rPr>
          <w:rFonts w:cs="Arial"/>
          <w:lang w:val="en-US"/>
        </w:rPr>
        <w:t>)</w:t>
      </w:r>
      <w:r w:rsidR="00003DDB" w:rsidRPr="00C3671B">
        <w:rPr>
          <w:rStyle w:val="FootnoteReference"/>
          <w:rFonts w:cs="Arial"/>
          <w:sz w:val="24"/>
          <w:lang w:val="en-US"/>
        </w:rPr>
        <w:footnoteReference w:id="17"/>
      </w:r>
      <w:r w:rsidR="003C1D2E" w:rsidRPr="00C3671B">
        <w:rPr>
          <w:rFonts w:cs="Arial"/>
          <w:lang w:val="en-US"/>
        </w:rPr>
        <w:t xml:space="preserve"> premium agreed by the claimant with its insurers should not be recoverable from the </w:t>
      </w:r>
      <w:r w:rsidR="00BD2C34" w:rsidRPr="00C3671B">
        <w:rPr>
          <w:rFonts w:cs="Arial"/>
          <w:lang w:val="en-US"/>
        </w:rPr>
        <w:t>respondent</w:t>
      </w:r>
      <w:r w:rsidR="00403D4C" w:rsidRPr="00C3671B">
        <w:rPr>
          <w:rFonts w:cs="Arial"/>
          <w:lang w:val="en-US"/>
        </w:rPr>
        <w:t xml:space="preserve">.  </w:t>
      </w:r>
      <w:r w:rsidR="00B0445A" w:rsidRPr="00C3671B">
        <w:rPr>
          <w:rFonts w:cs="Arial"/>
          <w:lang w:val="en-US"/>
        </w:rPr>
        <w:t xml:space="preserve">As with Recommendation 2, </w:t>
      </w:r>
      <w:r w:rsidR="000D37F5" w:rsidRPr="00C3671B">
        <w:rPr>
          <w:rFonts w:cs="Arial"/>
          <w:lang w:val="en-US"/>
        </w:rPr>
        <w:t xml:space="preserve">almost all of the </w:t>
      </w:r>
      <w:r w:rsidR="00B0445A" w:rsidRPr="00C3671B">
        <w:rPr>
          <w:rFonts w:cs="Arial"/>
          <w:lang w:val="en-US"/>
        </w:rPr>
        <w:t>Respondents who commented specifically on Recommendation 5 agreed with the recommendation.  To address some Respondents</w:t>
      </w:r>
      <w:r w:rsidR="006B0C50" w:rsidRPr="00C3671B">
        <w:rPr>
          <w:rFonts w:cs="Arial"/>
          <w:lang w:val="en-US"/>
        </w:rPr>
        <w:t>'</w:t>
      </w:r>
      <w:r w:rsidR="00B0445A" w:rsidRPr="00C3671B">
        <w:rPr>
          <w:rFonts w:cs="Arial"/>
          <w:lang w:val="en-US"/>
        </w:rPr>
        <w:t xml:space="preserve"> concern, we in addition recommend in the Report that in exceptional circumstances, the Tribunal should have the power to apportion those </w:t>
      </w:r>
      <w:r w:rsidR="00003DDB" w:rsidRPr="00C3671B">
        <w:rPr>
          <w:rFonts w:cs="Arial"/>
          <w:lang w:val="en-US"/>
        </w:rPr>
        <w:t xml:space="preserve">costs </w:t>
      </w:r>
      <w:r w:rsidR="00B0445A" w:rsidRPr="00C3671B">
        <w:rPr>
          <w:rFonts w:cs="Arial"/>
          <w:lang w:val="en-US"/>
        </w:rPr>
        <w:t>between the parties in the Arbitration based on the exceptional circumstances of th</w:t>
      </w:r>
      <w:r w:rsidR="004B0C04" w:rsidRPr="00C3671B">
        <w:rPr>
          <w:rFonts w:cs="Arial"/>
          <w:lang w:val="en-US"/>
        </w:rPr>
        <w:t>e</w:t>
      </w:r>
      <w:r w:rsidR="00B0445A" w:rsidRPr="00C3671B">
        <w:rPr>
          <w:rFonts w:cs="Arial"/>
          <w:lang w:val="en-US"/>
        </w:rPr>
        <w:t xml:space="preserve"> case.  Our </w:t>
      </w:r>
      <w:r w:rsidR="00B0445A" w:rsidRPr="00C3671B">
        <w:rPr>
          <w:rFonts w:cs="Arial"/>
          <w:b/>
          <w:lang w:val="en-US"/>
        </w:rPr>
        <w:t xml:space="preserve">Final Recommendation 5 </w:t>
      </w:r>
      <w:r w:rsidR="00B0445A" w:rsidRPr="00C3671B">
        <w:rPr>
          <w:rFonts w:cs="Arial"/>
          <w:lang w:val="en-US"/>
        </w:rPr>
        <w:t>is as follows:</w:t>
      </w:r>
    </w:p>
    <w:p w14:paraId="54FEEFA1" w14:textId="77777777" w:rsidR="00BF3CE9" w:rsidRPr="00C3671B" w:rsidRDefault="00BF3CE9" w:rsidP="002F0EDE">
      <w:pPr>
        <w:widowControl/>
        <w:tabs>
          <w:tab w:val="clear" w:pos="1418"/>
        </w:tabs>
        <w:adjustRightInd/>
        <w:rPr>
          <w:rFonts w:cs="Arial"/>
          <w:lang w:val="en-US"/>
        </w:rPr>
      </w:pPr>
    </w:p>
    <w:p w14:paraId="70508D8E" w14:textId="3266E522" w:rsidR="002F0EDE" w:rsidRPr="00C3671B" w:rsidRDefault="006B0C50" w:rsidP="00B0445A">
      <w:pPr>
        <w:widowControl/>
        <w:tabs>
          <w:tab w:val="clear" w:pos="1418"/>
        </w:tabs>
        <w:adjustRightInd/>
        <w:ind w:left="720" w:right="720"/>
        <w:rPr>
          <w:rFonts w:cs="Arial"/>
          <w:lang w:val="en-US"/>
        </w:rPr>
      </w:pPr>
      <w:r w:rsidRPr="00C3671B">
        <w:rPr>
          <w:rFonts w:cs="Arial"/>
          <w:i/>
          <w:lang w:val="en-US"/>
        </w:rPr>
        <w:t>"</w:t>
      </w:r>
      <w:r w:rsidR="00B0445A" w:rsidRPr="00C3671B">
        <w:rPr>
          <w:rFonts w:cs="Arial"/>
          <w:i/>
          <w:lang w:val="en-US"/>
        </w:rPr>
        <w:t>Where a DBA, or a Hybrid DBA, is in place, we recommend that any Legal Expense Insurance premium agreed by a client with its insurers shall not, in principle, be borne by the unsuccessful party. However, where in the opinion of the Tribunal there are exceptional circumstances, the Tribunal may apportion such Legal Expense Insurance premium between the parties if it determines that apportionment is reasonable, taking into account the exceptional circumstances of the case.</w:t>
      </w:r>
      <w:r w:rsidRPr="00C3671B">
        <w:rPr>
          <w:rFonts w:cs="Arial"/>
          <w:i/>
          <w:lang w:val="en-US"/>
        </w:rPr>
        <w:t>"</w:t>
      </w:r>
    </w:p>
    <w:p w14:paraId="5D538535" w14:textId="77777777" w:rsidR="002F0EDE" w:rsidRPr="00C3671B" w:rsidRDefault="002F0EDE" w:rsidP="00280E3A">
      <w:pPr>
        <w:rPr>
          <w:lang w:val="en-US"/>
        </w:rPr>
      </w:pPr>
    </w:p>
    <w:p w14:paraId="682A2F92" w14:textId="2F596E15" w:rsidR="002F0EDE" w:rsidRPr="00C3671B" w:rsidRDefault="002F0EDE" w:rsidP="00280E3A">
      <w:pPr>
        <w:rPr>
          <w:lang w:val="en-US"/>
        </w:rPr>
      </w:pPr>
    </w:p>
    <w:p w14:paraId="14E0D69A" w14:textId="76CED05F" w:rsidR="001D53FD" w:rsidRPr="00C3671B" w:rsidRDefault="001D53FD" w:rsidP="002F0EDE">
      <w:pPr>
        <w:widowControl/>
        <w:tabs>
          <w:tab w:val="clear" w:pos="1418"/>
        </w:tabs>
        <w:adjustRightInd/>
        <w:rPr>
          <w:rFonts w:cs="Arial"/>
          <w:b/>
          <w:sz w:val="28"/>
          <w:szCs w:val="28"/>
          <w:lang w:val="en-US"/>
        </w:rPr>
      </w:pPr>
      <w:r w:rsidRPr="00C3671B">
        <w:rPr>
          <w:rFonts w:cs="Arial"/>
          <w:b/>
          <w:sz w:val="28"/>
          <w:szCs w:val="28"/>
          <w:lang w:val="en-US"/>
        </w:rPr>
        <w:t>Chapter 7: Success fee model should apply where a DBA is in place</w:t>
      </w:r>
    </w:p>
    <w:p w14:paraId="771CC392" w14:textId="6DEF2368" w:rsidR="001D53FD" w:rsidRPr="00C3671B" w:rsidRDefault="001D53FD" w:rsidP="002F0EDE">
      <w:pPr>
        <w:widowControl/>
        <w:tabs>
          <w:tab w:val="clear" w:pos="1418"/>
        </w:tabs>
        <w:adjustRightInd/>
        <w:rPr>
          <w:rFonts w:cs="Arial"/>
          <w:b/>
          <w:sz w:val="28"/>
          <w:szCs w:val="28"/>
          <w:lang w:val="en-US"/>
        </w:rPr>
      </w:pPr>
    </w:p>
    <w:p w14:paraId="0CDD5109" w14:textId="2EEBE068" w:rsidR="00562F1A" w:rsidRPr="00C3671B" w:rsidRDefault="001D53FD" w:rsidP="002F0EDE">
      <w:pPr>
        <w:widowControl/>
        <w:tabs>
          <w:tab w:val="clear" w:pos="1418"/>
        </w:tabs>
        <w:adjustRightInd/>
        <w:rPr>
          <w:rFonts w:cs="Arial"/>
        </w:rPr>
      </w:pPr>
      <w:r w:rsidRPr="00C3671B">
        <w:rPr>
          <w:rFonts w:cs="Arial"/>
          <w:szCs w:val="28"/>
          <w:lang w:val="en-US"/>
        </w:rPr>
        <w:t>1</w:t>
      </w:r>
      <w:r w:rsidR="00DE1CF6" w:rsidRPr="00C3671B">
        <w:rPr>
          <w:rFonts w:cs="Arial"/>
          <w:szCs w:val="28"/>
          <w:lang w:val="en-US"/>
        </w:rPr>
        <w:t>3</w:t>
      </w:r>
      <w:r w:rsidRPr="00C3671B">
        <w:rPr>
          <w:rFonts w:cs="Arial"/>
          <w:szCs w:val="28"/>
          <w:lang w:val="en-US"/>
        </w:rPr>
        <w:t>.</w:t>
      </w:r>
      <w:r w:rsidRPr="00C3671B">
        <w:rPr>
          <w:rFonts w:cs="Arial"/>
          <w:szCs w:val="28"/>
          <w:lang w:val="en-US"/>
        </w:rPr>
        <w:tab/>
      </w:r>
      <w:r w:rsidRPr="00C3671B">
        <w:rPr>
          <w:rFonts w:cs="Arial"/>
          <w:szCs w:val="28"/>
          <w:lang w:val="en-US"/>
        </w:rPr>
        <w:tab/>
        <w:t>Recommendation 6 in the CP invites submission</w:t>
      </w:r>
      <w:r w:rsidR="00F12902" w:rsidRPr="00C3671B">
        <w:rPr>
          <w:rFonts w:cs="Arial"/>
          <w:szCs w:val="28"/>
          <w:lang w:val="en-US"/>
        </w:rPr>
        <w:t>s</w:t>
      </w:r>
      <w:r w:rsidRPr="00C3671B">
        <w:rPr>
          <w:rFonts w:cs="Arial"/>
          <w:szCs w:val="28"/>
          <w:lang w:val="en-US"/>
        </w:rPr>
        <w:t xml:space="preserve"> on whether the Ontario model or the Success fee model should apply to DBAs.  </w:t>
      </w:r>
      <w:r w:rsidRPr="00C3671B">
        <w:rPr>
          <w:rFonts w:cs="Arial"/>
        </w:rPr>
        <w:t xml:space="preserve">Of the Respondents who commented specifically on Recommendation 6, almost all supported the application of the Success fee model to DBAs, as opposed to the Ontario model.  In our view, there are </w:t>
      </w:r>
      <w:r w:rsidR="00F11887" w:rsidRPr="00C3671B">
        <w:rPr>
          <w:rFonts w:cs="Arial"/>
        </w:rPr>
        <w:t xml:space="preserve">the following </w:t>
      </w:r>
      <w:r w:rsidRPr="00C3671B">
        <w:rPr>
          <w:rFonts w:cs="Arial"/>
        </w:rPr>
        <w:t>two key difficulties with the Ontario model</w:t>
      </w:r>
      <w:r w:rsidR="00F11887" w:rsidRPr="00C3671B">
        <w:rPr>
          <w:rFonts w:cs="Arial"/>
        </w:rPr>
        <w:t>:</w:t>
      </w:r>
    </w:p>
    <w:p w14:paraId="74DC147D" w14:textId="0DCD0249" w:rsidR="001D53FD" w:rsidRPr="00C3671B" w:rsidRDefault="00F11887" w:rsidP="002F0EDE">
      <w:pPr>
        <w:widowControl/>
        <w:tabs>
          <w:tab w:val="clear" w:pos="1418"/>
        </w:tabs>
        <w:adjustRightInd/>
        <w:rPr>
          <w:rFonts w:cs="Arial"/>
        </w:rPr>
      </w:pPr>
      <w:r w:rsidRPr="00C3671B">
        <w:rPr>
          <w:rFonts w:cs="Arial"/>
        </w:rPr>
        <w:t xml:space="preserve"> </w:t>
      </w:r>
    </w:p>
    <w:p w14:paraId="0E678604" w14:textId="7AC3FB21" w:rsidR="001D53FD" w:rsidRPr="00C3671B" w:rsidRDefault="001D53FD" w:rsidP="00F4024F">
      <w:pPr>
        <w:pStyle w:val="ListParagraph"/>
        <w:widowControl/>
        <w:numPr>
          <w:ilvl w:val="0"/>
          <w:numId w:val="7"/>
        </w:numPr>
        <w:adjustRightInd/>
        <w:spacing w:after="120"/>
        <w:ind w:left="1440" w:hanging="720"/>
        <w:rPr>
          <w:rFonts w:eastAsiaTheme="minorEastAsia" w:cs="Arial"/>
        </w:rPr>
      </w:pPr>
      <w:r w:rsidRPr="00C3671B">
        <w:rPr>
          <w:rFonts w:eastAsiaTheme="minorEastAsia" w:cs="Arial"/>
        </w:rPr>
        <w:t xml:space="preserve">The first </w:t>
      </w:r>
      <w:r w:rsidR="00F11887" w:rsidRPr="00C3671B">
        <w:rPr>
          <w:rFonts w:eastAsiaTheme="minorEastAsia" w:cs="Arial"/>
        </w:rPr>
        <w:t xml:space="preserve">difficulty </w:t>
      </w:r>
      <w:r w:rsidRPr="00C3671B">
        <w:rPr>
          <w:rFonts w:eastAsiaTheme="minorEastAsia" w:cs="Arial"/>
        </w:rPr>
        <w:t xml:space="preserve">is that it does not address the indemnity principle, which can </w:t>
      </w:r>
      <w:r w:rsidR="00A05D4C" w:rsidRPr="00C3671B">
        <w:rPr>
          <w:rFonts w:eastAsiaTheme="minorEastAsia" w:cs="Arial"/>
        </w:rPr>
        <w:t>give rise to a</w:t>
      </w:r>
      <w:r w:rsidRPr="00C3671B">
        <w:rPr>
          <w:rFonts w:eastAsiaTheme="minorEastAsia" w:cs="Arial"/>
        </w:rPr>
        <w:t xml:space="preserve"> significant windfall for the losing opponent.</w:t>
      </w:r>
      <w:r w:rsidRPr="00C3671B">
        <w:rPr>
          <w:rFonts w:eastAsiaTheme="minorEastAsia"/>
          <w:vertAlign w:val="superscript"/>
        </w:rPr>
        <w:footnoteReference w:id="18"/>
      </w:r>
      <w:r w:rsidRPr="00C3671B">
        <w:rPr>
          <w:rFonts w:eastAsiaTheme="minorEastAsia" w:cs="Arial"/>
        </w:rPr>
        <w:t xml:space="preserve">  </w:t>
      </w:r>
    </w:p>
    <w:p w14:paraId="0A2E3D8D" w14:textId="4DE091D0" w:rsidR="001D53FD" w:rsidRPr="00C3671B" w:rsidRDefault="001D53FD" w:rsidP="00562F1A">
      <w:pPr>
        <w:pStyle w:val="ListParagraph"/>
        <w:widowControl/>
        <w:numPr>
          <w:ilvl w:val="0"/>
          <w:numId w:val="7"/>
        </w:numPr>
        <w:adjustRightInd/>
        <w:ind w:left="1440" w:hanging="720"/>
        <w:rPr>
          <w:rFonts w:eastAsiaTheme="minorEastAsia" w:cs="Arial"/>
        </w:rPr>
      </w:pPr>
      <w:r w:rsidRPr="00C3671B">
        <w:rPr>
          <w:rFonts w:eastAsiaTheme="minorEastAsia" w:cs="Arial"/>
        </w:rPr>
        <w:lastRenderedPageBreak/>
        <w:t xml:space="preserve">The other difficulty is that if recoverable costs are payable in any way by reference to the DBA Payment – and if there is any chance that the losing </w:t>
      </w:r>
      <w:r w:rsidR="004B0C04" w:rsidRPr="00C3671B">
        <w:rPr>
          <w:rFonts w:eastAsiaTheme="minorEastAsia" w:cs="Arial"/>
        </w:rPr>
        <w:t xml:space="preserve">opponent </w:t>
      </w:r>
      <w:r w:rsidRPr="00C3671B">
        <w:rPr>
          <w:rFonts w:eastAsiaTheme="minorEastAsia" w:cs="Arial"/>
        </w:rPr>
        <w:t xml:space="preserve">might be responsible for any part of that payment, beyond recoverable costs – the </w:t>
      </w:r>
      <w:r w:rsidR="00A05D4C" w:rsidRPr="00C3671B">
        <w:rPr>
          <w:rFonts w:eastAsiaTheme="minorEastAsia" w:cs="Arial"/>
        </w:rPr>
        <w:t xml:space="preserve">losing </w:t>
      </w:r>
      <w:r w:rsidRPr="00C3671B">
        <w:rPr>
          <w:rFonts w:eastAsiaTheme="minorEastAsia" w:cs="Arial"/>
        </w:rPr>
        <w:t xml:space="preserve">opponent has an incentive to challenge the enforceability of the DBA (including Hybrid DBA), which increases the propensity for satellite litigation. </w:t>
      </w:r>
    </w:p>
    <w:p w14:paraId="4062C0EC" w14:textId="7C69EA41" w:rsidR="001D53FD" w:rsidRPr="00C3671B" w:rsidRDefault="001D53FD" w:rsidP="00562F1A"/>
    <w:p w14:paraId="76475389" w14:textId="19F587F0" w:rsidR="001D53FD" w:rsidRPr="00C3671B" w:rsidRDefault="001D53FD" w:rsidP="00562F1A">
      <w:pPr>
        <w:widowControl/>
        <w:adjustRightInd/>
        <w:rPr>
          <w:rFonts w:cs="Arial"/>
        </w:rPr>
      </w:pPr>
      <w:r w:rsidRPr="00C3671B">
        <w:rPr>
          <w:rFonts w:eastAsiaTheme="minorEastAsia" w:cs="Arial"/>
        </w:rPr>
        <w:t>1</w:t>
      </w:r>
      <w:r w:rsidR="00DE1CF6" w:rsidRPr="00C3671B">
        <w:rPr>
          <w:rFonts w:eastAsiaTheme="minorEastAsia" w:cs="Arial"/>
        </w:rPr>
        <w:t>4</w:t>
      </w:r>
      <w:r w:rsidRPr="00C3671B">
        <w:rPr>
          <w:rFonts w:eastAsiaTheme="minorEastAsia" w:cs="Arial"/>
        </w:rPr>
        <w:t>.</w:t>
      </w:r>
      <w:r w:rsidRPr="00C3671B">
        <w:rPr>
          <w:rFonts w:eastAsiaTheme="minorEastAsia" w:cs="Arial"/>
        </w:rPr>
        <w:tab/>
      </w:r>
      <w:r w:rsidRPr="00C3671B">
        <w:rPr>
          <w:rFonts w:cs="Arial"/>
        </w:rPr>
        <w:t xml:space="preserve">In light of these issues, and considering the otherwise overwhelming support for the Success fee model from the Respondents, we make our </w:t>
      </w:r>
      <w:r w:rsidRPr="00C3671B">
        <w:rPr>
          <w:rFonts w:cs="Arial"/>
          <w:b/>
        </w:rPr>
        <w:t>Final Recommendation</w:t>
      </w:r>
      <w:r w:rsidRPr="00C3671B">
        <w:rPr>
          <w:rFonts w:cs="Arial"/>
        </w:rPr>
        <w:t xml:space="preserve"> </w:t>
      </w:r>
      <w:r w:rsidRPr="00C3671B">
        <w:rPr>
          <w:rFonts w:cs="Arial"/>
          <w:b/>
        </w:rPr>
        <w:t>6</w:t>
      </w:r>
      <w:r w:rsidR="00760250" w:rsidRPr="00C3671B">
        <w:rPr>
          <w:rFonts w:cs="Arial"/>
          <w:lang w:val="en-US"/>
        </w:rPr>
        <w:t xml:space="preserve"> as follows</w:t>
      </w:r>
      <w:r w:rsidRPr="00C3671B">
        <w:rPr>
          <w:rFonts w:cs="Arial"/>
        </w:rPr>
        <w:t>:</w:t>
      </w:r>
    </w:p>
    <w:p w14:paraId="6115C650" w14:textId="11446B5C" w:rsidR="001D53FD" w:rsidRPr="00C3671B" w:rsidRDefault="001D53FD" w:rsidP="00745287">
      <w:pPr>
        <w:widowControl/>
        <w:tabs>
          <w:tab w:val="clear" w:pos="1418"/>
        </w:tabs>
        <w:adjustRightInd/>
        <w:ind w:left="720" w:right="720"/>
        <w:rPr>
          <w:rFonts w:cs="Arial"/>
          <w:i/>
          <w:lang w:val="en-US"/>
        </w:rPr>
      </w:pPr>
    </w:p>
    <w:p w14:paraId="730FC6E3" w14:textId="7B0D78A1" w:rsidR="001D53FD" w:rsidRPr="00C3671B" w:rsidRDefault="006B0C50">
      <w:pPr>
        <w:widowControl/>
        <w:tabs>
          <w:tab w:val="clear" w:pos="1418"/>
        </w:tabs>
        <w:adjustRightInd/>
        <w:ind w:left="720" w:right="720"/>
        <w:rPr>
          <w:rFonts w:cs="Arial"/>
          <w:i/>
          <w:lang w:val="en-US"/>
        </w:rPr>
      </w:pPr>
      <w:r w:rsidRPr="00C3671B">
        <w:rPr>
          <w:rFonts w:cs="Arial"/>
          <w:i/>
          <w:lang w:val="en-US"/>
        </w:rPr>
        <w:t>"</w:t>
      </w:r>
      <w:r w:rsidR="00745287" w:rsidRPr="00C3671B">
        <w:rPr>
          <w:rFonts w:cs="Arial"/>
          <w:i/>
          <w:lang w:val="en-US"/>
        </w:rPr>
        <w:t>We recommend that the Success fee model should apply to DBAs, including Hybrid DBAs.</w:t>
      </w:r>
      <w:r w:rsidRPr="00C3671B">
        <w:rPr>
          <w:rFonts w:cs="Arial"/>
          <w:i/>
          <w:lang w:val="en-US"/>
        </w:rPr>
        <w:t>"</w:t>
      </w:r>
    </w:p>
    <w:p w14:paraId="74F7FF1E" w14:textId="77777777" w:rsidR="00947855" w:rsidRPr="00C3671B" w:rsidRDefault="00947855" w:rsidP="00745287">
      <w:pPr>
        <w:widowControl/>
        <w:tabs>
          <w:tab w:val="clear" w:pos="1418"/>
        </w:tabs>
        <w:adjustRightInd/>
        <w:ind w:left="720" w:right="720"/>
        <w:rPr>
          <w:rFonts w:cs="Arial"/>
          <w:i/>
          <w:lang w:val="en-US"/>
        </w:rPr>
      </w:pPr>
    </w:p>
    <w:p w14:paraId="6DE391C7" w14:textId="77777777" w:rsidR="00562F1A" w:rsidRPr="00C3671B" w:rsidRDefault="00562F1A" w:rsidP="00562F1A">
      <w:pPr>
        <w:keepNext/>
        <w:keepLines/>
        <w:widowControl/>
        <w:tabs>
          <w:tab w:val="clear" w:pos="1418"/>
        </w:tabs>
        <w:adjustRightInd/>
        <w:rPr>
          <w:rFonts w:cs="Arial"/>
          <w:b/>
          <w:sz w:val="28"/>
          <w:lang w:val="en-US"/>
        </w:rPr>
      </w:pPr>
    </w:p>
    <w:p w14:paraId="18531EEC" w14:textId="004B9018" w:rsidR="001D53FD" w:rsidRPr="00C3671B" w:rsidRDefault="00745287" w:rsidP="00562F1A">
      <w:pPr>
        <w:keepNext/>
        <w:keepLines/>
        <w:widowControl/>
        <w:tabs>
          <w:tab w:val="clear" w:pos="1418"/>
        </w:tabs>
        <w:adjustRightInd/>
        <w:rPr>
          <w:rFonts w:cs="Arial"/>
          <w:b/>
          <w:sz w:val="28"/>
          <w:lang w:val="en-US"/>
        </w:rPr>
      </w:pPr>
      <w:r w:rsidRPr="00C3671B">
        <w:rPr>
          <w:rFonts w:cs="Arial"/>
          <w:b/>
          <w:sz w:val="28"/>
          <w:lang w:val="en-US"/>
        </w:rPr>
        <w:t>Chapter 8: Cap on DBA Payment</w:t>
      </w:r>
    </w:p>
    <w:p w14:paraId="44381057" w14:textId="33759DE2" w:rsidR="00745287" w:rsidRPr="00C3671B" w:rsidRDefault="00745287" w:rsidP="00745287">
      <w:pPr>
        <w:widowControl/>
        <w:tabs>
          <w:tab w:val="clear" w:pos="1418"/>
        </w:tabs>
        <w:adjustRightInd/>
        <w:rPr>
          <w:rFonts w:cs="Arial"/>
          <w:b/>
          <w:sz w:val="28"/>
          <w:lang w:val="en-US"/>
        </w:rPr>
      </w:pPr>
    </w:p>
    <w:p w14:paraId="4236A2F8" w14:textId="7D06C551" w:rsidR="00745287" w:rsidRPr="00C3671B" w:rsidRDefault="00745287" w:rsidP="00280E3A">
      <w:pPr>
        <w:widowControl/>
        <w:adjustRightInd/>
        <w:rPr>
          <w:rFonts w:cs="Arial"/>
        </w:rPr>
      </w:pPr>
      <w:r w:rsidRPr="00C3671B">
        <w:rPr>
          <w:rFonts w:cs="Arial"/>
          <w:lang w:val="en-US"/>
        </w:rPr>
        <w:t>1</w:t>
      </w:r>
      <w:r w:rsidR="00DE1CF6" w:rsidRPr="00C3671B">
        <w:rPr>
          <w:rFonts w:cs="Arial"/>
          <w:lang w:val="en-US"/>
        </w:rPr>
        <w:t>5</w:t>
      </w:r>
      <w:r w:rsidRPr="00C3671B">
        <w:rPr>
          <w:rFonts w:cs="Arial"/>
          <w:lang w:val="en-US"/>
        </w:rPr>
        <w:t>.</w:t>
      </w:r>
      <w:r w:rsidRPr="00C3671B">
        <w:rPr>
          <w:rFonts w:cs="Arial"/>
          <w:lang w:val="en-US"/>
        </w:rPr>
        <w:tab/>
      </w:r>
      <w:r w:rsidR="009D626F" w:rsidRPr="00C3671B">
        <w:rPr>
          <w:rFonts w:cs="Arial"/>
          <w:lang w:val="en-US"/>
        </w:rPr>
        <w:t xml:space="preserve">Recommendation 7 in the CP recommends that there should be a cap on the DBA Payment, which should be expressed as a percentage of the </w:t>
      </w:r>
      <w:r w:rsidR="006B0C50" w:rsidRPr="00C3671B">
        <w:rPr>
          <w:rFonts w:cs="Arial"/>
          <w:lang w:val="en-US"/>
        </w:rPr>
        <w:t>"</w:t>
      </w:r>
      <w:r w:rsidR="009D626F" w:rsidRPr="00C3671B">
        <w:rPr>
          <w:rFonts w:cs="Arial"/>
          <w:lang w:val="en-US"/>
        </w:rPr>
        <w:t>financial benefit</w:t>
      </w:r>
      <w:r w:rsidR="006B0C50" w:rsidRPr="00C3671B">
        <w:rPr>
          <w:rFonts w:cs="Arial"/>
          <w:lang w:val="en-US"/>
        </w:rPr>
        <w:t>"</w:t>
      </w:r>
      <w:r w:rsidR="009D626F" w:rsidRPr="00C3671B">
        <w:rPr>
          <w:rFonts w:cs="Arial"/>
          <w:lang w:val="en-US"/>
        </w:rPr>
        <w:t xml:space="preserve"> or </w:t>
      </w:r>
      <w:r w:rsidR="006B0C50" w:rsidRPr="00C3671B">
        <w:rPr>
          <w:rFonts w:cs="Arial"/>
          <w:lang w:val="en-US"/>
        </w:rPr>
        <w:t>"</w:t>
      </w:r>
      <w:r w:rsidR="009D626F" w:rsidRPr="00C3671B">
        <w:rPr>
          <w:rFonts w:cs="Arial"/>
          <w:lang w:val="en-US"/>
        </w:rPr>
        <w:t>compensation</w:t>
      </w:r>
      <w:r w:rsidR="006B0C50" w:rsidRPr="00C3671B">
        <w:rPr>
          <w:rFonts w:cs="Arial"/>
          <w:lang w:val="en-US"/>
        </w:rPr>
        <w:t>"</w:t>
      </w:r>
      <w:r w:rsidR="009D626F" w:rsidRPr="00C3671B">
        <w:rPr>
          <w:rFonts w:cs="Arial"/>
          <w:lang w:val="en-US"/>
        </w:rPr>
        <w:t xml:space="preserve"> received by the client, while the cap should be fixed after consultation.  </w:t>
      </w:r>
      <w:r w:rsidR="009D626F" w:rsidRPr="00C3671B">
        <w:rPr>
          <w:rFonts w:cs="Arial"/>
        </w:rPr>
        <w:t xml:space="preserve">The majority of Respondents who commented on Recommendation 7 agreed with the </w:t>
      </w:r>
      <w:r w:rsidR="003213F4" w:rsidRPr="00C3671B">
        <w:rPr>
          <w:rFonts w:cs="Arial"/>
        </w:rPr>
        <w:t>recommendation</w:t>
      </w:r>
      <w:r w:rsidR="009D626F" w:rsidRPr="00C3671B">
        <w:rPr>
          <w:rFonts w:cs="Arial"/>
        </w:rPr>
        <w:t>.</w:t>
      </w:r>
      <w:r w:rsidR="00F12902" w:rsidRPr="00C3671B">
        <w:rPr>
          <w:rFonts w:cs="Arial"/>
        </w:rPr>
        <w:t xml:space="preserve">  </w:t>
      </w:r>
      <w:r w:rsidR="00C81AC5" w:rsidRPr="00C3671B">
        <w:rPr>
          <w:rFonts w:cs="Arial"/>
        </w:rPr>
        <w:t>In light of this, and considering the fact that caps on DBA Payment</w:t>
      </w:r>
      <w:r w:rsidR="00003DDB" w:rsidRPr="00C3671B">
        <w:rPr>
          <w:rFonts w:cs="Arial"/>
        </w:rPr>
        <w:t>s</w:t>
      </w:r>
      <w:r w:rsidR="00C81AC5" w:rsidRPr="00C3671B">
        <w:rPr>
          <w:rFonts w:cs="Arial"/>
        </w:rPr>
        <w:t xml:space="preserve"> are applied </w:t>
      </w:r>
      <w:r w:rsidR="007E25E1" w:rsidRPr="00C3671B">
        <w:rPr>
          <w:rFonts w:cs="Arial"/>
        </w:rPr>
        <w:t>in</w:t>
      </w:r>
      <w:r w:rsidR="00C81AC5" w:rsidRPr="00C3671B">
        <w:rPr>
          <w:rFonts w:cs="Arial"/>
        </w:rPr>
        <w:t xml:space="preserve"> other </w:t>
      </w:r>
      <w:r w:rsidR="004B0C04" w:rsidRPr="00C3671B">
        <w:rPr>
          <w:rFonts w:cs="Arial"/>
        </w:rPr>
        <w:t>jurisdictions</w:t>
      </w:r>
      <w:r w:rsidR="00C81AC5" w:rsidRPr="00C3671B">
        <w:rPr>
          <w:rFonts w:cs="Arial"/>
        </w:rPr>
        <w:t xml:space="preserve"> where ORFSs are permitted, we recommend imposing a cap on the DBA Payment. </w:t>
      </w:r>
    </w:p>
    <w:p w14:paraId="37ECB677" w14:textId="77777777" w:rsidR="00280E3A" w:rsidRPr="00C3671B" w:rsidRDefault="00280E3A" w:rsidP="001C1B35"/>
    <w:p w14:paraId="4DE81F5C" w14:textId="78DA0CC5" w:rsidR="009D626F" w:rsidRPr="00C3671B" w:rsidRDefault="009D626F" w:rsidP="00280E3A">
      <w:pPr>
        <w:widowControl/>
        <w:adjustRightInd/>
        <w:rPr>
          <w:rFonts w:cs="Arial"/>
        </w:rPr>
      </w:pPr>
      <w:r w:rsidRPr="00C3671B">
        <w:rPr>
          <w:rFonts w:cs="Arial"/>
        </w:rPr>
        <w:t>1</w:t>
      </w:r>
      <w:r w:rsidR="00DE1CF6" w:rsidRPr="00C3671B">
        <w:rPr>
          <w:rFonts w:cs="Arial"/>
        </w:rPr>
        <w:t>6</w:t>
      </w:r>
      <w:r w:rsidRPr="00C3671B">
        <w:rPr>
          <w:rFonts w:cs="Arial"/>
        </w:rPr>
        <w:t>.</w:t>
      </w:r>
      <w:r w:rsidRPr="00C3671B">
        <w:rPr>
          <w:rFonts w:cs="Arial"/>
        </w:rPr>
        <w:tab/>
      </w:r>
      <w:r w:rsidR="00472923" w:rsidRPr="00C3671B">
        <w:rPr>
          <w:rFonts w:cs="Arial"/>
        </w:rPr>
        <w:t xml:space="preserve">In terms of what that cap should be, we note </w:t>
      </w:r>
      <w:r w:rsidR="00DB458E" w:rsidRPr="00C3671B">
        <w:rPr>
          <w:rFonts w:cs="Arial"/>
        </w:rPr>
        <w:t xml:space="preserve">and agree with </w:t>
      </w:r>
      <w:r w:rsidR="00A90153" w:rsidRPr="00C3671B">
        <w:rPr>
          <w:rFonts w:cs="Arial"/>
        </w:rPr>
        <w:t xml:space="preserve">the </w:t>
      </w:r>
      <w:r w:rsidR="00472923" w:rsidRPr="00C3671B">
        <w:rPr>
          <w:rFonts w:cs="Arial"/>
        </w:rPr>
        <w:t xml:space="preserve">view </w:t>
      </w:r>
      <w:r w:rsidR="00A90153" w:rsidRPr="00C3671B">
        <w:rPr>
          <w:rFonts w:cs="Arial"/>
        </w:rPr>
        <w:t xml:space="preserve">of a </w:t>
      </w:r>
      <w:r w:rsidR="00F95F3D" w:rsidRPr="00C3671B">
        <w:rPr>
          <w:rFonts w:cs="Arial"/>
        </w:rPr>
        <w:t>consumer/public interest group</w:t>
      </w:r>
      <w:r w:rsidR="00DB458E" w:rsidRPr="00C3671B">
        <w:rPr>
          <w:rFonts w:cs="Arial"/>
        </w:rPr>
        <w:t xml:space="preserve"> </w:t>
      </w:r>
      <w:r w:rsidR="00472923" w:rsidRPr="00C3671B">
        <w:rPr>
          <w:rFonts w:cs="Arial"/>
        </w:rPr>
        <w:t>that a cap does not necessarily lead to overcompensation of Lawyers</w:t>
      </w:r>
      <w:r w:rsidR="00A90153" w:rsidRPr="00C3671B">
        <w:rPr>
          <w:rFonts w:cs="Arial"/>
        </w:rPr>
        <w:t>.</w:t>
      </w:r>
      <w:r w:rsidR="00472923" w:rsidRPr="00C3671B">
        <w:rPr>
          <w:rStyle w:val="FootnoteReference"/>
          <w:rFonts w:cs="Arial"/>
          <w:sz w:val="24"/>
        </w:rPr>
        <w:footnoteReference w:id="19"/>
      </w:r>
      <w:r w:rsidR="00472923" w:rsidRPr="00C3671B">
        <w:rPr>
          <w:rFonts w:cs="Arial"/>
        </w:rPr>
        <w:t xml:space="preserve"> </w:t>
      </w:r>
      <w:r w:rsidR="00A90153" w:rsidRPr="00C3671B">
        <w:rPr>
          <w:rFonts w:cs="Arial"/>
        </w:rPr>
        <w:t xml:space="preserve"> </w:t>
      </w:r>
      <w:r w:rsidR="00DB458E" w:rsidRPr="00C3671B">
        <w:rPr>
          <w:rFonts w:cs="Arial"/>
        </w:rPr>
        <w:t>W</w:t>
      </w:r>
      <w:r w:rsidR="00A90153" w:rsidRPr="00C3671B">
        <w:rPr>
          <w:rFonts w:cs="Arial"/>
        </w:rPr>
        <w:t xml:space="preserve">e </w:t>
      </w:r>
      <w:r w:rsidR="00DB458E" w:rsidRPr="00C3671B">
        <w:rPr>
          <w:rFonts w:cs="Arial"/>
        </w:rPr>
        <w:t xml:space="preserve">further agree with the </w:t>
      </w:r>
      <w:r w:rsidR="00A90153" w:rsidRPr="00C3671B">
        <w:rPr>
          <w:rFonts w:cs="Arial"/>
        </w:rPr>
        <w:t>view</w:t>
      </w:r>
      <w:r w:rsidR="00DB458E" w:rsidRPr="00C3671B">
        <w:rPr>
          <w:rFonts w:cs="Arial"/>
        </w:rPr>
        <w:t xml:space="preserve"> </w:t>
      </w:r>
      <w:r w:rsidR="00A90153" w:rsidRPr="00C3671B">
        <w:rPr>
          <w:rFonts w:cs="Arial"/>
        </w:rPr>
        <w:t xml:space="preserve">that </w:t>
      </w:r>
      <w:r w:rsidR="00472923" w:rsidRPr="00C3671B">
        <w:rPr>
          <w:rFonts w:cs="Arial"/>
        </w:rPr>
        <w:t xml:space="preserve">a higher cap could potentially increase the number of lower value claims for which </w:t>
      </w:r>
      <w:r w:rsidR="00003DDB" w:rsidRPr="00C3671B">
        <w:rPr>
          <w:rFonts w:cs="Arial"/>
        </w:rPr>
        <w:t xml:space="preserve">a </w:t>
      </w:r>
      <w:r w:rsidR="00472923" w:rsidRPr="00C3671B">
        <w:rPr>
          <w:rFonts w:cs="Arial"/>
        </w:rPr>
        <w:t xml:space="preserve">DBA may be considered.  Taking also into consideration the 50% cap currently applying in England and Wales, we therefore make our </w:t>
      </w:r>
      <w:r w:rsidR="00472923" w:rsidRPr="00C3671B">
        <w:rPr>
          <w:rFonts w:cs="Arial"/>
          <w:b/>
        </w:rPr>
        <w:t>Final Recommendation 7</w:t>
      </w:r>
      <w:r w:rsidR="00760250" w:rsidRPr="00C3671B">
        <w:rPr>
          <w:rFonts w:cs="Arial"/>
          <w:b/>
        </w:rPr>
        <w:t xml:space="preserve"> </w:t>
      </w:r>
      <w:r w:rsidR="00760250" w:rsidRPr="00C3671B">
        <w:rPr>
          <w:rFonts w:cs="Arial"/>
          <w:lang w:val="en-US"/>
        </w:rPr>
        <w:t>as follows</w:t>
      </w:r>
      <w:r w:rsidR="00472923" w:rsidRPr="00C3671B">
        <w:rPr>
          <w:rFonts w:cs="Arial"/>
        </w:rPr>
        <w:t>:</w:t>
      </w:r>
    </w:p>
    <w:p w14:paraId="6661C3F9" w14:textId="77777777" w:rsidR="00280E3A" w:rsidRPr="00C3671B" w:rsidRDefault="00280E3A" w:rsidP="00280E3A">
      <w:pPr>
        <w:widowControl/>
        <w:adjustRightInd/>
        <w:rPr>
          <w:rFonts w:cs="Arial"/>
        </w:rPr>
      </w:pPr>
    </w:p>
    <w:p w14:paraId="245ED0CF" w14:textId="528D578B" w:rsidR="00472923" w:rsidRPr="00C3671B" w:rsidRDefault="006B0C50" w:rsidP="00472923">
      <w:pPr>
        <w:widowControl/>
        <w:tabs>
          <w:tab w:val="clear" w:pos="1418"/>
        </w:tabs>
        <w:adjustRightInd/>
        <w:ind w:left="720" w:right="720"/>
        <w:rPr>
          <w:rFonts w:cs="Arial"/>
        </w:rPr>
      </w:pPr>
      <w:r w:rsidRPr="00C3671B">
        <w:rPr>
          <w:rFonts w:cs="Arial"/>
          <w:i/>
          <w:lang w:val="en-US"/>
        </w:rPr>
        <w:t>"</w:t>
      </w:r>
      <w:r w:rsidR="00472923" w:rsidRPr="00C3671B">
        <w:rPr>
          <w:rFonts w:cs="Arial"/>
          <w:i/>
        </w:rPr>
        <w:t>We recommend that any DBA Payment be capped at 50% of the Financial Benefit obtained by the client</w:t>
      </w:r>
      <w:r w:rsidR="00472923" w:rsidRPr="00C3671B">
        <w:rPr>
          <w:rFonts w:cs="Arial"/>
        </w:rPr>
        <w:t>.</w:t>
      </w:r>
      <w:r w:rsidRPr="00C3671B">
        <w:rPr>
          <w:rFonts w:cs="Arial"/>
          <w:i/>
        </w:rPr>
        <w:t>"</w:t>
      </w:r>
    </w:p>
    <w:p w14:paraId="4593024C" w14:textId="192F5091" w:rsidR="00472923" w:rsidRPr="00C3671B" w:rsidRDefault="00472923" w:rsidP="00280E3A"/>
    <w:p w14:paraId="473281E6" w14:textId="77777777" w:rsidR="00947855" w:rsidRPr="00C3671B" w:rsidRDefault="00947855" w:rsidP="00280E3A"/>
    <w:p w14:paraId="7EEAE140" w14:textId="03077405" w:rsidR="00472923" w:rsidRPr="00C3671B" w:rsidRDefault="00472923" w:rsidP="00985309">
      <w:pPr>
        <w:widowControl/>
        <w:tabs>
          <w:tab w:val="clear" w:pos="1418"/>
        </w:tabs>
        <w:adjustRightInd/>
        <w:ind w:right="-58"/>
        <w:rPr>
          <w:rFonts w:cs="Arial"/>
          <w:b/>
          <w:sz w:val="28"/>
        </w:rPr>
      </w:pPr>
      <w:r w:rsidRPr="00C3671B">
        <w:rPr>
          <w:rFonts w:cs="Arial"/>
          <w:b/>
          <w:sz w:val="28"/>
        </w:rPr>
        <w:t>Chapter 9: Circumstances for termination of CFA, DBA or Hybrid DBA</w:t>
      </w:r>
    </w:p>
    <w:p w14:paraId="4FFA8ED3" w14:textId="2D94057A" w:rsidR="00472923" w:rsidRPr="00C3671B" w:rsidRDefault="00472923" w:rsidP="00472923">
      <w:pPr>
        <w:widowControl/>
        <w:tabs>
          <w:tab w:val="clear" w:pos="1418"/>
        </w:tabs>
        <w:adjustRightInd/>
        <w:ind w:right="720"/>
        <w:rPr>
          <w:rFonts w:cs="Arial"/>
          <w:b/>
          <w:sz w:val="28"/>
        </w:rPr>
      </w:pPr>
    </w:p>
    <w:p w14:paraId="46F8008B" w14:textId="2C320019" w:rsidR="00472923" w:rsidRPr="00C3671B" w:rsidRDefault="00472923" w:rsidP="00472923">
      <w:pPr>
        <w:widowControl/>
        <w:adjustRightInd/>
        <w:spacing w:after="120"/>
        <w:rPr>
          <w:rFonts w:cs="Arial"/>
        </w:rPr>
      </w:pPr>
      <w:r w:rsidRPr="00C3671B">
        <w:rPr>
          <w:rFonts w:cs="Arial"/>
        </w:rPr>
        <w:t>1</w:t>
      </w:r>
      <w:r w:rsidR="00DE1CF6" w:rsidRPr="00C3671B">
        <w:rPr>
          <w:rFonts w:cs="Arial"/>
        </w:rPr>
        <w:t>7</w:t>
      </w:r>
      <w:r w:rsidRPr="00C3671B">
        <w:rPr>
          <w:rFonts w:cs="Arial"/>
        </w:rPr>
        <w:t>.</w:t>
      </w:r>
      <w:r w:rsidRPr="00C3671B">
        <w:rPr>
          <w:rFonts w:cs="Arial"/>
        </w:rPr>
        <w:tab/>
        <w:t>Recommendation 8</w:t>
      </w:r>
      <w:r w:rsidR="00B63396" w:rsidRPr="00C3671B">
        <w:rPr>
          <w:rFonts w:cs="Arial"/>
        </w:rPr>
        <w:t>(a) and (b)</w:t>
      </w:r>
      <w:r w:rsidRPr="00C3671B">
        <w:rPr>
          <w:rFonts w:cs="Arial"/>
        </w:rPr>
        <w:t xml:space="preserve"> in the CP recommends that a CFA, DBA, or Hybrid DBA should specify whether, and if so in what circumstances: </w:t>
      </w:r>
    </w:p>
    <w:p w14:paraId="7AECB306" w14:textId="57EBB189" w:rsidR="00472923" w:rsidRPr="00C3671B" w:rsidRDefault="00472923" w:rsidP="00F4024F">
      <w:pPr>
        <w:pStyle w:val="ListParagraph"/>
        <w:widowControl/>
        <w:numPr>
          <w:ilvl w:val="0"/>
          <w:numId w:val="8"/>
        </w:numPr>
        <w:adjustRightInd/>
        <w:spacing w:after="120"/>
        <w:ind w:left="1440" w:hanging="720"/>
        <w:rPr>
          <w:rFonts w:cs="Arial"/>
        </w:rPr>
      </w:pPr>
      <w:r w:rsidRPr="00C3671B">
        <w:rPr>
          <w:rFonts w:cs="Arial"/>
        </w:rPr>
        <w:lastRenderedPageBreak/>
        <w:tab/>
        <w:t>a Lawyer or client is entitled to terminate the fee agreement prior to the conclusion of Arbitration; and if so</w:t>
      </w:r>
    </w:p>
    <w:p w14:paraId="4E2ED8BD" w14:textId="10675186" w:rsidR="00472923" w:rsidRPr="00C3671B" w:rsidRDefault="00472923" w:rsidP="00280E3A">
      <w:pPr>
        <w:pStyle w:val="ListParagraph"/>
        <w:widowControl/>
        <w:numPr>
          <w:ilvl w:val="0"/>
          <w:numId w:val="8"/>
        </w:numPr>
        <w:adjustRightInd/>
        <w:ind w:left="1440" w:hanging="720"/>
        <w:rPr>
          <w:rFonts w:cs="Arial"/>
        </w:rPr>
      </w:pPr>
      <w:proofErr w:type="gramStart"/>
      <w:r w:rsidRPr="00C3671B">
        <w:rPr>
          <w:rFonts w:cs="Arial"/>
        </w:rPr>
        <w:t>any</w:t>
      </w:r>
      <w:proofErr w:type="gramEnd"/>
      <w:r w:rsidRPr="00C3671B">
        <w:rPr>
          <w:rFonts w:cs="Arial"/>
        </w:rPr>
        <w:t xml:space="preserve"> alternative basis (for example, hourly rates) on which the client shall pay the Lawyer in the event of such termination.</w:t>
      </w:r>
    </w:p>
    <w:p w14:paraId="66AF2FD5" w14:textId="77777777" w:rsidR="00280E3A" w:rsidRPr="00C3671B" w:rsidRDefault="00280E3A" w:rsidP="00280E3A">
      <w:pPr>
        <w:widowControl/>
        <w:adjustRightInd/>
        <w:ind w:left="720"/>
        <w:rPr>
          <w:rFonts w:cs="Arial"/>
        </w:rPr>
      </w:pPr>
    </w:p>
    <w:p w14:paraId="3D3BA4C7" w14:textId="60F13636" w:rsidR="00472923" w:rsidRPr="00C3671B" w:rsidRDefault="00472923" w:rsidP="00AF02F8">
      <w:pPr>
        <w:rPr>
          <w:lang w:eastAsia="zh-CN"/>
        </w:rPr>
      </w:pPr>
      <w:r w:rsidRPr="00C3671B">
        <w:t>1</w:t>
      </w:r>
      <w:r w:rsidR="00DE1CF6" w:rsidRPr="00C3671B">
        <w:t>8</w:t>
      </w:r>
      <w:r w:rsidRPr="00C3671B">
        <w:t>.</w:t>
      </w:r>
      <w:r w:rsidRPr="00C3671B">
        <w:tab/>
      </w:r>
      <w:r w:rsidR="003213F4" w:rsidRPr="00C3671B">
        <w:rPr>
          <w:lang w:eastAsia="zh-CN"/>
        </w:rPr>
        <w:t xml:space="preserve">There is overwhelming support from the public and the professional bodies that parties should be able to specify in their CFAs, DBAs, or Hybrid DBAs the circumstances in which a Lawyer </w:t>
      </w:r>
      <w:r w:rsidR="003213F4" w:rsidRPr="00C3671B">
        <w:rPr>
          <w:i/>
          <w:lang w:eastAsia="zh-CN"/>
        </w:rPr>
        <w:t>or</w:t>
      </w:r>
      <w:r w:rsidR="003213F4" w:rsidRPr="00C3671B">
        <w:rPr>
          <w:lang w:eastAsia="zh-CN"/>
        </w:rPr>
        <w:t xml:space="preserve"> client is entitled to terminate the fee agreement prior to the conclusion of the Arbitration.  We agree, noting that this is consistent with the principles of freedom of contract and party autonomy, and also provides clarity and certainty about the circumstances when ORFS arrangements for Arbitration can be brought to an end.</w:t>
      </w:r>
    </w:p>
    <w:p w14:paraId="3CCD3184" w14:textId="45A5DBED" w:rsidR="003213F4" w:rsidRPr="00C3671B" w:rsidRDefault="003213F4" w:rsidP="00AF02F8">
      <w:pPr>
        <w:rPr>
          <w:lang w:eastAsia="zh-CN"/>
        </w:rPr>
      </w:pPr>
    </w:p>
    <w:p w14:paraId="592CB2C1" w14:textId="3AC9ABB9" w:rsidR="003213F4" w:rsidRPr="00C3671B" w:rsidRDefault="003213F4" w:rsidP="00280E3A">
      <w:pPr>
        <w:widowControl/>
        <w:tabs>
          <w:tab w:val="clear" w:pos="1418"/>
          <w:tab w:val="left" w:pos="1545"/>
        </w:tabs>
        <w:adjustRightInd/>
        <w:rPr>
          <w:rFonts w:eastAsia="DengXian" w:cs="Arial"/>
          <w:lang w:eastAsia="zh-CN"/>
        </w:rPr>
      </w:pPr>
      <w:r w:rsidRPr="00C3671B">
        <w:rPr>
          <w:rFonts w:eastAsia="DengXian" w:cs="Arial"/>
          <w:lang w:eastAsia="zh-CN"/>
        </w:rPr>
        <w:t>1</w:t>
      </w:r>
      <w:r w:rsidR="00DE1CF6" w:rsidRPr="00C3671B">
        <w:rPr>
          <w:rFonts w:eastAsia="DengXian" w:cs="Arial"/>
          <w:lang w:eastAsia="zh-CN"/>
        </w:rPr>
        <w:t>9</w:t>
      </w:r>
      <w:r w:rsidRPr="00C3671B">
        <w:rPr>
          <w:rFonts w:eastAsia="DengXian" w:cs="Arial"/>
          <w:lang w:eastAsia="zh-CN"/>
        </w:rPr>
        <w:t>.</w:t>
      </w:r>
      <w:r w:rsidRPr="00C3671B">
        <w:rPr>
          <w:rFonts w:eastAsia="DengXian" w:cs="Arial"/>
          <w:lang w:eastAsia="zh-CN"/>
        </w:rPr>
        <w:tab/>
        <w:t>In terms of what those grounds for termination are, a more common view expressed by Respondents was that the general principles for termination should be regulated and provided for within the statutory regime, as a way of providing safeguards to stakeholders and enhancing clarity.  We agree that the relevant legislation should specify</w:t>
      </w:r>
      <w:r w:rsidR="005C5ACA" w:rsidRPr="00C3671B">
        <w:rPr>
          <w:rFonts w:eastAsiaTheme="minorEastAsia" w:cs="Arial"/>
        </w:rPr>
        <w:t>, on a non-exhaustive basis,</w:t>
      </w:r>
      <w:r w:rsidRPr="00C3671B">
        <w:rPr>
          <w:rFonts w:eastAsia="DengXian" w:cs="Arial"/>
          <w:lang w:eastAsia="zh-CN"/>
        </w:rPr>
        <w:t xml:space="preserve"> the principal grounds upon which an ORFS can be terminated by the Lawyer</w:t>
      </w:r>
      <w:r w:rsidR="00267316" w:rsidRPr="00C3671B">
        <w:rPr>
          <w:rFonts w:eastAsia="DengXian" w:cs="Arial"/>
          <w:lang w:eastAsia="zh-CN"/>
        </w:rPr>
        <w:t>, which</w:t>
      </w:r>
      <w:r w:rsidRPr="00C3671B">
        <w:rPr>
          <w:rFonts w:eastAsia="DengXian" w:cs="Arial"/>
          <w:lang w:eastAsia="zh-CN"/>
        </w:rPr>
        <w:t xml:space="preserve"> will provide the primary safeguards highlighted by the Respondents.  However, we do not consider it necessary to set out statutory grounds on which a client may terminate an ORFS</w:t>
      </w:r>
      <w:r w:rsidR="00267316" w:rsidRPr="00C3671B">
        <w:rPr>
          <w:rFonts w:eastAsia="DengXian" w:cs="Arial"/>
          <w:lang w:eastAsia="zh-CN"/>
        </w:rPr>
        <w:t>.  It</w:t>
      </w:r>
      <w:r w:rsidRPr="00C3671B">
        <w:rPr>
          <w:rFonts w:eastAsia="DengXian" w:cs="Arial"/>
          <w:lang w:eastAsia="zh-CN"/>
        </w:rPr>
        <w:t xml:space="preserve"> should be purely a matter for agreement with the Lawyer in accordance with basic contractual principles, so as to provide maximum flexibility for the benefit of the client.</w:t>
      </w:r>
    </w:p>
    <w:p w14:paraId="4FDDA74A" w14:textId="77777777" w:rsidR="003213F4" w:rsidRPr="00C3671B" w:rsidRDefault="003213F4" w:rsidP="00280E3A">
      <w:pPr>
        <w:rPr>
          <w:lang w:eastAsia="zh-CN"/>
        </w:rPr>
      </w:pPr>
    </w:p>
    <w:p w14:paraId="06F2F076" w14:textId="2E61016F" w:rsidR="003213F4" w:rsidRPr="00C3671B" w:rsidRDefault="00DE1CF6" w:rsidP="00280E3A">
      <w:pPr>
        <w:widowControl/>
        <w:tabs>
          <w:tab w:val="clear" w:pos="1418"/>
          <w:tab w:val="left" w:pos="1545"/>
        </w:tabs>
        <w:adjustRightInd/>
        <w:rPr>
          <w:rFonts w:eastAsia="DengXian" w:cs="Arial"/>
          <w:lang w:eastAsia="zh-CN"/>
        </w:rPr>
      </w:pPr>
      <w:r w:rsidRPr="00C3671B">
        <w:rPr>
          <w:rFonts w:eastAsia="DengXian" w:cs="Arial"/>
          <w:lang w:eastAsia="zh-CN"/>
        </w:rPr>
        <w:t>20</w:t>
      </w:r>
      <w:r w:rsidR="003213F4" w:rsidRPr="00C3671B">
        <w:rPr>
          <w:rFonts w:eastAsia="DengXian" w:cs="Arial"/>
          <w:lang w:eastAsia="zh-CN"/>
        </w:rPr>
        <w:t>.</w:t>
      </w:r>
      <w:r w:rsidR="003213F4" w:rsidRPr="00C3671B">
        <w:rPr>
          <w:rFonts w:eastAsia="DengXian" w:cs="Arial"/>
          <w:lang w:eastAsia="zh-CN"/>
        </w:rPr>
        <w:tab/>
      </w:r>
      <w:r w:rsidR="00226A15" w:rsidRPr="00C3671B">
        <w:rPr>
          <w:rFonts w:eastAsia="DengXian" w:cs="Arial"/>
          <w:lang w:eastAsia="zh-CN"/>
        </w:rPr>
        <w:t>As for the alternative basis on which the client shall pay the Lawyer</w:t>
      </w:r>
      <w:r w:rsidR="002B52FE" w:rsidRPr="00C3671B">
        <w:rPr>
          <w:rFonts w:eastAsia="DengXian" w:cs="Arial"/>
          <w:lang w:eastAsia="zh-CN"/>
        </w:rPr>
        <w:t xml:space="preserve"> in the event of such termination</w:t>
      </w:r>
      <w:r w:rsidR="00226A15" w:rsidRPr="00C3671B">
        <w:rPr>
          <w:rFonts w:eastAsia="DengXian" w:cs="Arial"/>
          <w:lang w:eastAsia="zh-CN"/>
        </w:rPr>
        <w:t>, w</w:t>
      </w:r>
      <w:r w:rsidR="00267316" w:rsidRPr="00C3671B">
        <w:rPr>
          <w:rFonts w:eastAsia="DengXian" w:cs="Arial"/>
          <w:lang w:eastAsia="zh-CN"/>
        </w:rPr>
        <w:t xml:space="preserve">e agree that the parties should be required to agree </w:t>
      </w:r>
      <w:r w:rsidR="00226A15" w:rsidRPr="00C3671B">
        <w:rPr>
          <w:rFonts w:eastAsia="DengXian" w:cs="Arial"/>
          <w:lang w:eastAsia="zh-CN"/>
        </w:rPr>
        <w:t>an</w:t>
      </w:r>
      <w:r w:rsidR="00267316" w:rsidRPr="00C3671B">
        <w:rPr>
          <w:rFonts w:eastAsia="DengXian" w:cs="Arial"/>
          <w:lang w:eastAsia="zh-CN"/>
        </w:rPr>
        <w:t xml:space="preserve"> alternative basis, if the relevant ORFS is terminated prior to the conclusion of the Arbitration.  The alternative basis should be set out in the ORFS, and should be subject to the caveat that the Lawyer may not charge more than the Lawyer</w:t>
      </w:r>
      <w:r w:rsidR="006B0C50" w:rsidRPr="00C3671B">
        <w:rPr>
          <w:rFonts w:eastAsia="DengXian" w:cs="Arial"/>
          <w:lang w:eastAsia="zh-CN"/>
        </w:rPr>
        <w:t>'</w:t>
      </w:r>
      <w:r w:rsidR="00267316" w:rsidRPr="00C3671B">
        <w:rPr>
          <w:rFonts w:eastAsia="DengXian" w:cs="Arial"/>
          <w:lang w:eastAsia="zh-CN"/>
        </w:rPr>
        <w:t xml:space="preserve">s costs and expenses for the work undertaken.  We therefore </w:t>
      </w:r>
      <w:r w:rsidR="00267316" w:rsidRPr="00C3671B">
        <w:rPr>
          <w:rFonts w:cs="Arial"/>
        </w:rPr>
        <w:t xml:space="preserve">make our </w:t>
      </w:r>
      <w:r w:rsidR="00267316" w:rsidRPr="00C3671B">
        <w:rPr>
          <w:rFonts w:cs="Arial"/>
          <w:b/>
        </w:rPr>
        <w:t>Final Recommendation 8</w:t>
      </w:r>
      <w:r w:rsidR="00760250" w:rsidRPr="00C3671B">
        <w:rPr>
          <w:rFonts w:cs="Arial"/>
          <w:b/>
        </w:rPr>
        <w:t xml:space="preserve"> </w:t>
      </w:r>
      <w:r w:rsidR="00760250" w:rsidRPr="00C3671B">
        <w:rPr>
          <w:rFonts w:cs="Arial"/>
          <w:lang w:val="en-US"/>
        </w:rPr>
        <w:t>as follows</w:t>
      </w:r>
      <w:r w:rsidR="00267316" w:rsidRPr="00C3671B">
        <w:rPr>
          <w:rFonts w:eastAsia="DengXian" w:cs="Arial"/>
          <w:lang w:eastAsia="zh-CN"/>
        </w:rPr>
        <w:t>:</w:t>
      </w:r>
    </w:p>
    <w:p w14:paraId="53A272E6" w14:textId="01D35955" w:rsidR="00267316" w:rsidRPr="00C3671B" w:rsidRDefault="00267316" w:rsidP="00280E3A">
      <w:pPr>
        <w:rPr>
          <w:lang w:eastAsia="zh-CN"/>
        </w:rPr>
      </w:pPr>
    </w:p>
    <w:p w14:paraId="76B7BE29" w14:textId="084D2634" w:rsidR="00267316" w:rsidRPr="00C3671B" w:rsidRDefault="006B0C50" w:rsidP="00267316">
      <w:pPr>
        <w:widowControl/>
        <w:tabs>
          <w:tab w:val="clear" w:pos="1418"/>
        </w:tabs>
        <w:adjustRightInd/>
        <w:ind w:left="720" w:right="720"/>
        <w:rPr>
          <w:rFonts w:cs="Arial"/>
          <w:i/>
          <w:lang w:val="en-US"/>
        </w:rPr>
      </w:pPr>
      <w:r w:rsidRPr="00C3671B">
        <w:rPr>
          <w:rFonts w:cs="Arial"/>
          <w:i/>
          <w:lang w:val="en-US"/>
        </w:rPr>
        <w:t>"</w:t>
      </w:r>
      <w:r w:rsidR="00267316" w:rsidRPr="00C3671B">
        <w:rPr>
          <w:rFonts w:cs="Arial"/>
          <w:i/>
          <w:lang w:val="en-US"/>
        </w:rPr>
        <w:t>We recommend that:</w:t>
      </w:r>
    </w:p>
    <w:p w14:paraId="0207130D" w14:textId="77777777" w:rsidR="00267316" w:rsidRPr="00C3671B" w:rsidRDefault="00267316" w:rsidP="00267316">
      <w:pPr>
        <w:widowControl/>
        <w:tabs>
          <w:tab w:val="clear" w:pos="1418"/>
        </w:tabs>
        <w:adjustRightInd/>
        <w:ind w:left="720" w:right="720"/>
        <w:rPr>
          <w:rFonts w:cs="Arial"/>
          <w:i/>
          <w:lang w:val="en-US"/>
        </w:rPr>
      </w:pPr>
    </w:p>
    <w:p w14:paraId="6472796A" w14:textId="222B1BEE" w:rsidR="00267316" w:rsidRPr="00C3671B" w:rsidRDefault="00267316" w:rsidP="00F4024F">
      <w:pPr>
        <w:pStyle w:val="ListParagraph"/>
        <w:widowControl/>
        <w:numPr>
          <w:ilvl w:val="0"/>
          <w:numId w:val="9"/>
        </w:numPr>
        <w:tabs>
          <w:tab w:val="clear" w:pos="1418"/>
        </w:tabs>
        <w:adjustRightInd/>
        <w:ind w:left="1418" w:right="720" w:hanging="709"/>
        <w:rPr>
          <w:rFonts w:cs="Arial"/>
          <w:i/>
          <w:lang w:val="en-US"/>
        </w:rPr>
      </w:pPr>
      <w:r w:rsidRPr="00C3671B">
        <w:rPr>
          <w:rFonts w:cs="Arial"/>
          <w:i/>
          <w:lang w:val="en-US"/>
        </w:rPr>
        <w:t>A CFA, DBA, or Hybrid DBA should specify whether, and if so in what circumstances, a Lawyer or client is entitled to terminate the ORFS prior to the conclusion of the Arbitration.</w:t>
      </w:r>
    </w:p>
    <w:p w14:paraId="6ADB418A" w14:textId="77777777" w:rsidR="003B038F" w:rsidRPr="00C3671B" w:rsidRDefault="003B038F" w:rsidP="003B038F">
      <w:pPr>
        <w:widowControl/>
        <w:tabs>
          <w:tab w:val="clear" w:pos="1418"/>
        </w:tabs>
        <w:adjustRightInd/>
        <w:ind w:left="709" w:right="720"/>
        <w:rPr>
          <w:rFonts w:cs="Arial"/>
          <w:i/>
          <w:lang w:val="en-US"/>
        </w:rPr>
      </w:pPr>
    </w:p>
    <w:p w14:paraId="06EC4809" w14:textId="68F89AFC" w:rsidR="003B038F" w:rsidRPr="00C3671B" w:rsidRDefault="003B038F" w:rsidP="00F4024F">
      <w:pPr>
        <w:pStyle w:val="ListParagraph"/>
        <w:widowControl/>
        <w:numPr>
          <w:ilvl w:val="0"/>
          <w:numId w:val="9"/>
        </w:numPr>
        <w:tabs>
          <w:tab w:val="clear" w:pos="1418"/>
        </w:tabs>
        <w:adjustRightInd/>
        <w:ind w:left="1418" w:right="720" w:hanging="709"/>
        <w:rPr>
          <w:rFonts w:cs="Arial"/>
          <w:i/>
          <w:lang w:val="en-US"/>
        </w:rPr>
      </w:pPr>
      <w:r w:rsidRPr="00C3671B">
        <w:rPr>
          <w:rFonts w:cs="Arial"/>
          <w:i/>
          <w:lang w:val="en-US"/>
        </w:rPr>
        <w:t>Subsidiary legislation should specify, on a non-exhaustive basis, that a Lawyer is entitled to terminate an ORFS prior to the conclusion of the Arbitration if the Lawyer reasonably believes that:</w:t>
      </w:r>
    </w:p>
    <w:p w14:paraId="662A80C3" w14:textId="77777777" w:rsidR="003B038F" w:rsidRPr="00C3671B" w:rsidRDefault="003B038F" w:rsidP="003B038F">
      <w:pPr>
        <w:widowControl/>
        <w:tabs>
          <w:tab w:val="clear" w:pos="1418"/>
        </w:tabs>
        <w:adjustRightInd/>
        <w:ind w:left="2160" w:right="720" w:hanging="720"/>
        <w:rPr>
          <w:rFonts w:cs="Arial"/>
          <w:i/>
          <w:lang w:val="en-US"/>
        </w:rPr>
      </w:pPr>
    </w:p>
    <w:p w14:paraId="180AABF8" w14:textId="77777777" w:rsidR="003B038F" w:rsidRPr="00C3671B" w:rsidRDefault="00267316" w:rsidP="003B038F">
      <w:pPr>
        <w:widowControl/>
        <w:tabs>
          <w:tab w:val="clear" w:pos="1418"/>
        </w:tabs>
        <w:adjustRightInd/>
        <w:ind w:left="2160" w:right="720" w:hanging="720"/>
        <w:rPr>
          <w:rFonts w:cs="Arial"/>
          <w:i/>
          <w:lang w:val="en-US"/>
        </w:rPr>
      </w:pPr>
      <w:r w:rsidRPr="00C3671B">
        <w:rPr>
          <w:rFonts w:cs="Arial"/>
          <w:i/>
          <w:lang w:val="en-US"/>
        </w:rPr>
        <w:t>(</w:t>
      </w:r>
      <w:proofErr w:type="spellStart"/>
      <w:r w:rsidRPr="00C3671B">
        <w:rPr>
          <w:rFonts w:cs="Arial"/>
          <w:i/>
          <w:lang w:val="en-US"/>
        </w:rPr>
        <w:t>i</w:t>
      </w:r>
      <w:proofErr w:type="spellEnd"/>
      <w:r w:rsidRPr="00C3671B">
        <w:rPr>
          <w:rFonts w:cs="Arial"/>
          <w:i/>
          <w:lang w:val="en-US"/>
        </w:rPr>
        <w:t>)</w:t>
      </w:r>
      <w:r w:rsidR="003B038F"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client has committed a material breach of the C</w:t>
      </w:r>
      <w:r w:rsidR="00703D4C" w:rsidRPr="00C3671B">
        <w:rPr>
          <w:rFonts w:cs="Arial"/>
          <w:i/>
          <w:lang w:val="en-US"/>
        </w:rPr>
        <w:t>FA, DBA or Hybrid DBA; or</w:t>
      </w:r>
    </w:p>
    <w:p w14:paraId="665DC7DF" w14:textId="77777777" w:rsidR="003B038F" w:rsidRPr="00C3671B" w:rsidRDefault="003B038F" w:rsidP="003B038F">
      <w:pPr>
        <w:widowControl/>
        <w:tabs>
          <w:tab w:val="clear" w:pos="1418"/>
        </w:tabs>
        <w:adjustRightInd/>
        <w:ind w:left="2160" w:right="720" w:hanging="720"/>
        <w:rPr>
          <w:rFonts w:cs="Arial"/>
          <w:i/>
          <w:lang w:val="en-US"/>
        </w:rPr>
      </w:pPr>
    </w:p>
    <w:p w14:paraId="6573F4C8" w14:textId="4FA9A62A" w:rsidR="00267316" w:rsidRPr="00C3671B" w:rsidRDefault="00703D4C" w:rsidP="003B038F">
      <w:pPr>
        <w:widowControl/>
        <w:tabs>
          <w:tab w:val="clear" w:pos="1418"/>
        </w:tabs>
        <w:adjustRightInd/>
        <w:ind w:left="2160" w:right="720" w:hanging="720"/>
        <w:rPr>
          <w:rFonts w:cs="Arial"/>
          <w:i/>
          <w:lang w:val="en-US"/>
        </w:rPr>
      </w:pPr>
      <w:r w:rsidRPr="00C3671B">
        <w:rPr>
          <w:rFonts w:cs="Arial"/>
          <w:i/>
          <w:lang w:val="en-US"/>
        </w:rPr>
        <w:lastRenderedPageBreak/>
        <w:t>(ii)</w:t>
      </w:r>
      <w:r w:rsidR="00E31FDF" w:rsidRPr="00C3671B">
        <w:rPr>
          <w:rFonts w:cs="Arial"/>
          <w:i/>
          <w:lang w:val="en-US"/>
        </w:rPr>
        <w:tab/>
      </w:r>
      <w:proofErr w:type="gramStart"/>
      <w:r w:rsidR="00267316" w:rsidRPr="00C3671B">
        <w:rPr>
          <w:rFonts w:cs="Arial"/>
          <w:i/>
          <w:lang w:val="en-US"/>
        </w:rPr>
        <w:t>the</w:t>
      </w:r>
      <w:proofErr w:type="gramEnd"/>
      <w:r w:rsidR="00267316" w:rsidRPr="00C3671B">
        <w:rPr>
          <w:rFonts w:cs="Arial"/>
          <w:i/>
          <w:lang w:val="en-US"/>
        </w:rPr>
        <w:t xml:space="preserve"> client has behaved or is behaving</w:t>
      </w:r>
      <w:r w:rsidR="003B038F" w:rsidRPr="00C3671B">
        <w:rPr>
          <w:rFonts w:cs="Arial"/>
          <w:i/>
          <w:lang w:val="en-US"/>
        </w:rPr>
        <w:t xml:space="preserve"> </w:t>
      </w:r>
      <w:r w:rsidR="00267316" w:rsidRPr="00C3671B">
        <w:rPr>
          <w:rFonts w:cs="Arial"/>
          <w:i/>
          <w:lang w:val="en-US"/>
        </w:rPr>
        <w:t>unreasonably.</w:t>
      </w:r>
      <w:r w:rsidR="00267316" w:rsidRPr="00C3671B">
        <w:rPr>
          <w:rFonts w:cs="Arial"/>
          <w:i/>
          <w:lang w:val="en-US"/>
        </w:rPr>
        <w:br/>
      </w:r>
    </w:p>
    <w:p w14:paraId="2C82985D" w14:textId="0F8CA610" w:rsidR="00267316" w:rsidRPr="00C3671B" w:rsidRDefault="00267316" w:rsidP="00F4024F">
      <w:pPr>
        <w:pStyle w:val="ListParagraph"/>
        <w:widowControl/>
        <w:numPr>
          <w:ilvl w:val="0"/>
          <w:numId w:val="9"/>
        </w:numPr>
        <w:tabs>
          <w:tab w:val="clear" w:pos="1418"/>
        </w:tabs>
        <w:adjustRightInd/>
        <w:ind w:left="1418" w:right="720" w:hanging="709"/>
        <w:rPr>
          <w:rFonts w:eastAsiaTheme="minorEastAsia" w:cs="Arial"/>
          <w:i/>
        </w:rPr>
      </w:pPr>
      <w:r w:rsidRPr="00C3671B">
        <w:rPr>
          <w:rFonts w:cs="Arial"/>
          <w:i/>
          <w:lang w:val="en-US"/>
        </w:rPr>
        <w:t>A CFA, DBA, or Hybrid DBA should specify an alternative basis (for example, hourly rates) on which the client shall pay the Lawyer in the event of such termination, save that the Lawyer may not charge the client more than the Lawyer</w:t>
      </w:r>
      <w:r w:rsidR="006B0C50" w:rsidRPr="00C3671B">
        <w:rPr>
          <w:rFonts w:cs="Arial"/>
          <w:i/>
          <w:lang w:val="en-US"/>
        </w:rPr>
        <w:t>'</w:t>
      </w:r>
      <w:r w:rsidRPr="00C3671B">
        <w:rPr>
          <w:rFonts w:cs="Arial"/>
          <w:i/>
          <w:lang w:val="en-US"/>
        </w:rPr>
        <w:t>s costs, expenses and disbursements for the work undertaken in respect of the Proceedings to which the CFA, DBA or Hybrid DBA relates.</w:t>
      </w:r>
    </w:p>
    <w:p w14:paraId="307F6EDD" w14:textId="63EABFB7" w:rsidR="00267316" w:rsidRPr="00C3671B" w:rsidRDefault="00267316" w:rsidP="00267316">
      <w:pPr>
        <w:pStyle w:val="ListParagraph"/>
        <w:widowControl/>
        <w:tabs>
          <w:tab w:val="clear" w:pos="1418"/>
        </w:tabs>
        <w:adjustRightInd/>
        <w:ind w:left="1080" w:right="720"/>
        <w:rPr>
          <w:rFonts w:eastAsiaTheme="minorEastAsia" w:cs="Arial"/>
          <w:i/>
        </w:rPr>
      </w:pPr>
      <w:r w:rsidRPr="00C3671B">
        <w:rPr>
          <w:rFonts w:cs="Arial"/>
          <w:i/>
          <w:lang w:val="en-US"/>
        </w:rPr>
        <w:t xml:space="preserve"> </w:t>
      </w:r>
    </w:p>
    <w:p w14:paraId="2416CA9A" w14:textId="50FE1704" w:rsidR="00267316" w:rsidRPr="00C3671B" w:rsidRDefault="00267316" w:rsidP="00F4024F">
      <w:pPr>
        <w:pStyle w:val="ListParagraph"/>
        <w:widowControl/>
        <w:numPr>
          <w:ilvl w:val="0"/>
          <w:numId w:val="9"/>
        </w:numPr>
        <w:tabs>
          <w:tab w:val="clear" w:pos="1418"/>
        </w:tabs>
        <w:adjustRightInd/>
        <w:ind w:left="1418" w:right="720" w:hanging="709"/>
        <w:rPr>
          <w:rFonts w:eastAsiaTheme="minorEastAsia" w:cs="Arial"/>
          <w:i/>
        </w:rPr>
      </w:pPr>
      <w:r w:rsidRPr="00C3671B">
        <w:rPr>
          <w:rFonts w:eastAsiaTheme="minorEastAsia" w:cs="Arial"/>
          <w:i/>
        </w:rPr>
        <w:t>The grounds on which a client may terminate a CFA, DBA or Hybrid DBA prior to the conclusion of the Arbitration should be a matter for agreement with the Lawyer in accordance with basic contractual principles, and no statutory requirements should apply.</w:t>
      </w:r>
      <w:r w:rsidR="006B0C50" w:rsidRPr="00C3671B">
        <w:rPr>
          <w:rFonts w:eastAsiaTheme="minorEastAsia" w:cs="Arial"/>
          <w:i/>
        </w:rPr>
        <w:t>"</w:t>
      </w:r>
    </w:p>
    <w:p w14:paraId="11E2D812" w14:textId="08A3C8FE" w:rsidR="0096360A" w:rsidRPr="00C3671B" w:rsidRDefault="0096360A" w:rsidP="00562F1A"/>
    <w:p w14:paraId="0E627EB6" w14:textId="77777777" w:rsidR="00B81508" w:rsidRPr="00C3671B" w:rsidRDefault="00B81508" w:rsidP="00562F1A"/>
    <w:p w14:paraId="5AB5DDB2" w14:textId="15403CCC" w:rsidR="0096360A" w:rsidRPr="00C3671B" w:rsidRDefault="0096360A" w:rsidP="0096360A">
      <w:pPr>
        <w:widowControl/>
        <w:tabs>
          <w:tab w:val="clear" w:pos="1418"/>
        </w:tabs>
        <w:adjustRightInd/>
        <w:rPr>
          <w:rFonts w:cs="Arial"/>
          <w:b/>
          <w:sz w:val="28"/>
        </w:rPr>
      </w:pPr>
      <w:r w:rsidRPr="00C3671B">
        <w:rPr>
          <w:rFonts w:cs="Arial"/>
          <w:b/>
          <w:sz w:val="28"/>
        </w:rPr>
        <w:t>Chapter 10: Treatment of barristers</w:t>
      </w:r>
      <w:r w:rsidR="006B0C50" w:rsidRPr="00C3671B">
        <w:rPr>
          <w:rFonts w:cs="Arial"/>
          <w:b/>
          <w:sz w:val="28"/>
        </w:rPr>
        <w:t>'</w:t>
      </w:r>
      <w:r w:rsidRPr="00C3671B">
        <w:rPr>
          <w:rFonts w:cs="Arial"/>
          <w:b/>
          <w:sz w:val="28"/>
        </w:rPr>
        <w:t xml:space="preserve"> fees</w:t>
      </w:r>
    </w:p>
    <w:p w14:paraId="7E822D28" w14:textId="6398099E" w:rsidR="003213F4" w:rsidRPr="00C3671B" w:rsidRDefault="0096360A" w:rsidP="0096360A">
      <w:pPr>
        <w:widowControl/>
        <w:tabs>
          <w:tab w:val="clear" w:pos="1418"/>
        </w:tabs>
        <w:adjustRightInd/>
        <w:rPr>
          <w:rFonts w:cs="Arial"/>
        </w:rPr>
      </w:pPr>
      <w:r w:rsidRPr="00C3671B">
        <w:rPr>
          <w:rFonts w:cs="Arial"/>
        </w:rPr>
        <w:t xml:space="preserve"> </w:t>
      </w:r>
    </w:p>
    <w:p w14:paraId="5A59BA7A" w14:textId="64145EAB" w:rsidR="00B63396" w:rsidRPr="00C3671B" w:rsidRDefault="00461002" w:rsidP="00280E3A">
      <w:r w:rsidRPr="00C3671B">
        <w:t>2</w:t>
      </w:r>
      <w:r w:rsidR="00DE1CF6" w:rsidRPr="00C3671B">
        <w:t>1</w:t>
      </w:r>
      <w:r w:rsidR="0096360A" w:rsidRPr="00C3671B">
        <w:t>.</w:t>
      </w:r>
      <w:r w:rsidR="0096360A" w:rsidRPr="00C3671B">
        <w:tab/>
        <w:t>Recommendation 9(</w:t>
      </w:r>
      <w:r w:rsidR="00B63396" w:rsidRPr="00C3671B">
        <w:t>1</w:t>
      </w:r>
      <w:r w:rsidR="0096360A" w:rsidRPr="00C3671B">
        <w:t xml:space="preserve">) in the CP recommends that </w:t>
      </w:r>
      <w:r w:rsidR="00B63396" w:rsidRPr="00C3671B">
        <w:t xml:space="preserve">clients </w:t>
      </w:r>
      <w:r w:rsidR="0096360A" w:rsidRPr="00C3671B">
        <w:t>should be able to agree, on a case by case basis, whether: (a) the DBA Payment (and thus the DBA Payment cap) includes barristers</w:t>
      </w:r>
      <w:r w:rsidR="006B0C50" w:rsidRPr="00C3671B">
        <w:t>'</w:t>
      </w:r>
      <w:r w:rsidR="0096360A" w:rsidRPr="00C3671B">
        <w:t xml:space="preserve"> fees; or (b) barristers</w:t>
      </w:r>
      <w:r w:rsidR="006B0C50" w:rsidRPr="00C3671B">
        <w:t>'</w:t>
      </w:r>
      <w:r w:rsidR="0096360A" w:rsidRPr="00C3671B">
        <w:t xml:space="preserve"> fees would be charged as a separate disbursement outside the DBA Payment.  All but one of the submissions that commented on Recommendation 9(1) supported the recommendation.  </w:t>
      </w:r>
      <w:r w:rsidR="00B63396" w:rsidRPr="00C3671B">
        <w:t>In light of the fact that t</w:t>
      </w:r>
      <w:r w:rsidR="00D176D1" w:rsidRPr="00C3671B">
        <w:t>he redrafted Damages-Based Agreements Regulations 2019 proposed in the 2019 DBA Reform Project</w:t>
      </w:r>
      <w:r w:rsidR="00D176D1" w:rsidRPr="00C3671B">
        <w:rPr>
          <w:rStyle w:val="FootnoteReference"/>
          <w:rFonts w:cs="Arial"/>
          <w:sz w:val="24"/>
        </w:rPr>
        <w:footnoteReference w:id="20"/>
      </w:r>
      <w:r w:rsidR="0096360A" w:rsidRPr="00C3671B">
        <w:t xml:space="preserve"> contemplate a client being able to choose whether to engage barristers through its solicitors or directly</w:t>
      </w:r>
      <w:r w:rsidR="00B63396" w:rsidRPr="00C3671B">
        <w:t>, and considering the overwhelming support for Recommendation 9(1), we agree with Recommendation 9(1)</w:t>
      </w:r>
      <w:r w:rsidR="0096360A" w:rsidRPr="00C3671B">
        <w:t xml:space="preserve">.  </w:t>
      </w:r>
    </w:p>
    <w:p w14:paraId="069B6F41" w14:textId="77777777" w:rsidR="00B63396" w:rsidRPr="00C3671B" w:rsidRDefault="00B63396" w:rsidP="00280E3A"/>
    <w:p w14:paraId="411B5496" w14:textId="1F42A763" w:rsidR="0096360A" w:rsidRPr="00C3671B" w:rsidRDefault="00B63396" w:rsidP="00280E3A">
      <w:r w:rsidRPr="00C3671B">
        <w:t>2</w:t>
      </w:r>
      <w:r w:rsidR="00DE1CF6" w:rsidRPr="00C3671B">
        <w:t>2</w:t>
      </w:r>
      <w:r w:rsidRPr="00C3671B">
        <w:t>.</w:t>
      </w:r>
      <w:r w:rsidRPr="00C3671B">
        <w:tab/>
      </w:r>
      <w:r w:rsidR="0096360A" w:rsidRPr="00C3671B">
        <w:t>For Recommendation 9(</w:t>
      </w:r>
      <w:r w:rsidRPr="00C3671B">
        <w:t>2</w:t>
      </w:r>
      <w:r w:rsidR="0096360A" w:rsidRPr="00C3671B">
        <w:t xml:space="preserve">) in the CP, a slight majority </w:t>
      </w:r>
      <w:r w:rsidR="00E323E8" w:rsidRPr="00C3671B">
        <w:t xml:space="preserve">of the Respondents that commented specifically </w:t>
      </w:r>
      <w:r w:rsidR="0096360A" w:rsidRPr="00C3671B">
        <w:t>agreed with the recommendation, namely that a solicitor</w:t>
      </w:r>
      <w:r w:rsidR="006B0C50" w:rsidRPr="00C3671B">
        <w:t>'</w:t>
      </w:r>
      <w:r w:rsidR="0096360A" w:rsidRPr="00C3671B">
        <w:t>s DBA Payment plus a barrister</w:t>
      </w:r>
      <w:r w:rsidR="006B0C50" w:rsidRPr="00C3671B">
        <w:t>'</w:t>
      </w:r>
      <w:r w:rsidR="0096360A" w:rsidRPr="00C3671B">
        <w:t xml:space="preserve">s DBA Payment in relation to the same claim or </w:t>
      </w:r>
      <w:r w:rsidR="00EE416F" w:rsidRPr="00C3671B">
        <w:t xml:space="preserve">litigation or arbitration proceedings </w:t>
      </w:r>
      <w:r w:rsidR="0096360A" w:rsidRPr="00C3671B">
        <w:t>should not exceed the prescribed DBA Payment cap.</w:t>
      </w:r>
      <w:r w:rsidR="00B81508" w:rsidRPr="00C3671B">
        <w:t xml:space="preserve">  </w:t>
      </w:r>
      <w:r w:rsidR="00A61382" w:rsidRPr="00C3671B">
        <w:t xml:space="preserve">In view of the feedback from the public and our Final Recommendation 7 on there being a prescribed cap for DBA Payment, we maintain Recommendation 9(2).  </w:t>
      </w:r>
      <w:r w:rsidRPr="00C3671B">
        <w:t xml:space="preserve">Based on Recommendation 9(1) and (2) in the CP (with some modifications), we </w:t>
      </w:r>
      <w:r w:rsidR="00B81508" w:rsidRPr="00C3671B">
        <w:t xml:space="preserve">make our </w:t>
      </w:r>
      <w:r w:rsidR="00B81508" w:rsidRPr="00C3671B">
        <w:rPr>
          <w:b/>
        </w:rPr>
        <w:t>Final Recommendation 9</w:t>
      </w:r>
      <w:r w:rsidR="0038095F" w:rsidRPr="00C3671B">
        <w:t xml:space="preserve"> as follows</w:t>
      </w:r>
      <w:r w:rsidR="00B81508" w:rsidRPr="00C3671B">
        <w:rPr>
          <w:rFonts w:eastAsia="DengXian"/>
          <w:lang w:eastAsia="zh-CN"/>
        </w:rPr>
        <w:t>:</w:t>
      </w:r>
    </w:p>
    <w:p w14:paraId="45ED9522" w14:textId="5376C833" w:rsidR="0096360A" w:rsidRPr="00C3671B" w:rsidRDefault="0096360A" w:rsidP="00280E3A"/>
    <w:p w14:paraId="2FB67150" w14:textId="47902D83" w:rsidR="00B81508" w:rsidRPr="00C3671B" w:rsidRDefault="006B0C50" w:rsidP="00B81508">
      <w:pPr>
        <w:widowControl/>
        <w:tabs>
          <w:tab w:val="clear" w:pos="1418"/>
        </w:tabs>
        <w:adjustRightInd/>
        <w:ind w:left="720" w:right="720"/>
        <w:rPr>
          <w:rFonts w:cs="Arial"/>
          <w:i/>
        </w:rPr>
      </w:pPr>
      <w:r w:rsidRPr="00C3671B">
        <w:rPr>
          <w:rFonts w:cs="Arial"/>
          <w:i/>
        </w:rPr>
        <w:t>"</w:t>
      </w:r>
      <w:r w:rsidR="00B81508" w:rsidRPr="00C3671B">
        <w:rPr>
          <w:rFonts w:cs="Arial"/>
          <w:i/>
        </w:rPr>
        <w:t>We recommend that:</w:t>
      </w:r>
    </w:p>
    <w:p w14:paraId="0525D2D2" w14:textId="77777777" w:rsidR="00B81508" w:rsidRPr="00C3671B" w:rsidRDefault="00B81508" w:rsidP="00280E3A"/>
    <w:p w14:paraId="17158414" w14:textId="1B5262CF" w:rsidR="00B81508" w:rsidRPr="00C3671B" w:rsidRDefault="00B81508" w:rsidP="00F4024F">
      <w:pPr>
        <w:pStyle w:val="ListParagraph"/>
        <w:widowControl/>
        <w:numPr>
          <w:ilvl w:val="0"/>
          <w:numId w:val="10"/>
        </w:numPr>
        <w:tabs>
          <w:tab w:val="clear" w:pos="1418"/>
        </w:tabs>
        <w:adjustRightInd/>
        <w:ind w:left="1418" w:right="720" w:hanging="709"/>
        <w:rPr>
          <w:rFonts w:cs="Arial"/>
          <w:i/>
        </w:rPr>
      </w:pPr>
      <w:r w:rsidRPr="00C3671B">
        <w:rPr>
          <w:rFonts w:cs="Arial"/>
          <w:i/>
        </w:rPr>
        <w:t>Clients should be able to agree, on a case by case basis, whether:</w:t>
      </w:r>
    </w:p>
    <w:p w14:paraId="2F78B92D" w14:textId="77777777" w:rsidR="00B81508" w:rsidRPr="00C3671B" w:rsidRDefault="00B81508" w:rsidP="00280E3A"/>
    <w:p w14:paraId="4564B8E2" w14:textId="5827D0B8" w:rsidR="00B81508" w:rsidRPr="00C3671B" w:rsidRDefault="00B81508" w:rsidP="001A541A">
      <w:pPr>
        <w:pStyle w:val="ListParagraph"/>
        <w:widowControl/>
        <w:numPr>
          <w:ilvl w:val="0"/>
          <w:numId w:val="21"/>
        </w:numPr>
        <w:tabs>
          <w:tab w:val="clear" w:pos="1418"/>
        </w:tabs>
        <w:adjustRightInd/>
        <w:ind w:right="720"/>
        <w:rPr>
          <w:rFonts w:cs="Arial"/>
          <w:i/>
        </w:rPr>
      </w:pPr>
      <w:r w:rsidRPr="00C3671B">
        <w:rPr>
          <w:rFonts w:cs="Arial"/>
          <w:i/>
          <w:lang w:val="en-US"/>
        </w:rPr>
        <w:t>the</w:t>
      </w:r>
      <w:r w:rsidRPr="00C3671B">
        <w:rPr>
          <w:rFonts w:cs="Arial"/>
          <w:i/>
        </w:rPr>
        <w:t xml:space="preserve"> DBA Payment (and thus the DBA Payment cap) </w:t>
      </w:r>
      <w:r w:rsidR="001A541A" w:rsidRPr="00C3671B">
        <w:rPr>
          <w:rFonts w:cs="Arial"/>
          <w:i/>
        </w:rPr>
        <w:tab/>
      </w:r>
      <w:r w:rsidRPr="00C3671B">
        <w:rPr>
          <w:rFonts w:cs="Arial"/>
          <w:i/>
        </w:rPr>
        <w:t>includes barristers</w:t>
      </w:r>
      <w:r w:rsidR="006B0C50" w:rsidRPr="00C3671B">
        <w:rPr>
          <w:rFonts w:cs="Arial"/>
          <w:i/>
        </w:rPr>
        <w:t>'</w:t>
      </w:r>
      <w:r w:rsidRPr="00C3671B">
        <w:rPr>
          <w:rFonts w:cs="Arial"/>
          <w:i/>
        </w:rPr>
        <w:t xml:space="preserve"> fees; or</w:t>
      </w:r>
    </w:p>
    <w:p w14:paraId="44157F28" w14:textId="77777777" w:rsidR="00B81508" w:rsidRPr="00C3671B" w:rsidRDefault="00B81508" w:rsidP="00280E3A"/>
    <w:p w14:paraId="07BBFF32" w14:textId="48BB68B0" w:rsidR="00B81508" w:rsidRPr="00C3671B" w:rsidRDefault="00B81508" w:rsidP="001A541A">
      <w:pPr>
        <w:pStyle w:val="ListParagraph"/>
        <w:widowControl/>
        <w:numPr>
          <w:ilvl w:val="0"/>
          <w:numId w:val="21"/>
        </w:numPr>
        <w:tabs>
          <w:tab w:val="clear" w:pos="1418"/>
        </w:tabs>
        <w:adjustRightInd/>
        <w:ind w:right="720"/>
        <w:rPr>
          <w:rFonts w:cs="Arial"/>
          <w:i/>
        </w:rPr>
      </w:pPr>
      <w:proofErr w:type="gramStart"/>
      <w:r w:rsidRPr="00C3671B">
        <w:rPr>
          <w:rFonts w:cs="Arial"/>
          <w:i/>
        </w:rPr>
        <w:t>barristers</w:t>
      </w:r>
      <w:proofErr w:type="gramEnd"/>
      <w:r w:rsidR="006B0C50" w:rsidRPr="00C3671B">
        <w:rPr>
          <w:rFonts w:cs="Arial"/>
          <w:i/>
        </w:rPr>
        <w:t>'</w:t>
      </w:r>
      <w:r w:rsidRPr="00C3671B">
        <w:rPr>
          <w:rFonts w:cs="Arial"/>
          <w:i/>
        </w:rPr>
        <w:t xml:space="preserve"> fees will be charged as a separate disbursement outside the DBA Payment.</w:t>
      </w:r>
    </w:p>
    <w:p w14:paraId="5239D696" w14:textId="77777777" w:rsidR="00B81508" w:rsidRPr="00C3671B" w:rsidRDefault="00B81508" w:rsidP="00280E3A"/>
    <w:p w14:paraId="0FEA25E4" w14:textId="52E5D4D2" w:rsidR="00B81508" w:rsidRPr="00C3671B" w:rsidRDefault="00B81508" w:rsidP="00F4024F">
      <w:pPr>
        <w:pStyle w:val="ListParagraph"/>
        <w:widowControl/>
        <w:numPr>
          <w:ilvl w:val="0"/>
          <w:numId w:val="10"/>
        </w:numPr>
        <w:tabs>
          <w:tab w:val="clear" w:pos="1418"/>
        </w:tabs>
        <w:adjustRightInd/>
        <w:ind w:left="1418" w:right="720" w:hanging="709"/>
        <w:rPr>
          <w:rFonts w:cs="Arial"/>
          <w:i/>
        </w:rPr>
      </w:pPr>
      <w:r w:rsidRPr="00C3671B">
        <w:rPr>
          <w:rFonts w:cs="Arial"/>
          <w:i/>
        </w:rPr>
        <w:t>The DBA, including Hybrid DBA, should specify whether barristers</w:t>
      </w:r>
      <w:r w:rsidR="006B0C50" w:rsidRPr="00C3671B">
        <w:rPr>
          <w:rFonts w:cs="Arial"/>
          <w:i/>
        </w:rPr>
        <w:t>'</w:t>
      </w:r>
      <w:r w:rsidRPr="00C3671B">
        <w:rPr>
          <w:rFonts w:cs="Arial"/>
          <w:i/>
        </w:rPr>
        <w:t xml:space="preserve"> fees will be absorbed as part of the DBA Payment, or whether they are to be treated as </w:t>
      </w:r>
      <w:r w:rsidR="006B0C50" w:rsidRPr="00C3671B">
        <w:rPr>
          <w:rFonts w:cs="Arial"/>
          <w:i/>
        </w:rPr>
        <w:t>'</w:t>
      </w:r>
      <w:r w:rsidRPr="00C3671B">
        <w:rPr>
          <w:rFonts w:cs="Arial"/>
          <w:i/>
        </w:rPr>
        <w:t>expenses</w:t>
      </w:r>
      <w:r w:rsidR="006B0C50" w:rsidRPr="00C3671B">
        <w:rPr>
          <w:rFonts w:cs="Arial"/>
          <w:i/>
        </w:rPr>
        <w:t>'</w:t>
      </w:r>
      <w:r w:rsidRPr="00C3671B">
        <w:rPr>
          <w:rFonts w:cs="Arial"/>
          <w:i/>
        </w:rPr>
        <w:t xml:space="preserve"> which the client is required to pay in addition to the DBA Payment.</w:t>
      </w:r>
    </w:p>
    <w:p w14:paraId="24BC56CC" w14:textId="77777777" w:rsidR="00B81508" w:rsidRPr="00C3671B" w:rsidRDefault="00B81508" w:rsidP="00280E3A"/>
    <w:p w14:paraId="0EEB2AF1" w14:textId="14DA45C0" w:rsidR="00B81508" w:rsidRPr="00C3671B" w:rsidRDefault="00B81508" w:rsidP="00F4024F">
      <w:pPr>
        <w:pStyle w:val="ListParagraph"/>
        <w:widowControl/>
        <w:numPr>
          <w:ilvl w:val="0"/>
          <w:numId w:val="10"/>
        </w:numPr>
        <w:tabs>
          <w:tab w:val="clear" w:pos="1418"/>
        </w:tabs>
        <w:adjustRightInd/>
        <w:ind w:left="1418" w:right="720" w:hanging="709"/>
        <w:rPr>
          <w:rFonts w:cs="Arial"/>
          <w:i/>
        </w:rPr>
      </w:pPr>
      <w:r w:rsidRPr="00C3671B">
        <w:rPr>
          <w:rFonts w:cs="Arial"/>
          <w:i/>
        </w:rPr>
        <w:t>To the extent that barristers can be, and are, engaged directly, via a separate DBA, including Hybrid DBA, between client and barrister, a solicitor</w:t>
      </w:r>
      <w:r w:rsidR="006B0C50" w:rsidRPr="00C3671B">
        <w:rPr>
          <w:rFonts w:cs="Arial"/>
          <w:i/>
        </w:rPr>
        <w:t>'</w:t>
      </w:r>
      <w:r w:rsidRPr="00C3671B">
        <w:rPr>
          <w:rFonts w:cs="Arial"/>
          <w:i/>
        </w:rPr>
        <w:t>s DBA Payment plus a barrister</w:t>
      </w:r>
      <w:r w:rsidR="006B0C50" w:rsidRPr="00C3671B">
        <w:rPr>
          <w:rFonts w:cs="Arial"/>
          <w:i/>
        </w:rPr>
        <w:t>'</w:t>
      </w:r>
      <w:r w:rsidRPr="00C3671B">
        <w:rPr>
          <w:rFonts w:cs="Arial"/>
          <w:i/>
        </w:rPr>
        <w:t>s DBA Payment in relation to the same claim or Proceedings should not exceed the prescribed DBA Payment cap.</w:t>
      </w:r>
      <w:r w:rsidR="006B0C50" w:rsidRPr="00C3671B">
        <w:rPr>
          <w:rFonts w:cs="Arial"/>
          <w:i/>
        </w:rPr>
        <w:t>"</w:t>
      </w:r>
    </w:p>
    <w:p w14:paraId="79CCABD8" w14:textId="15E224B2" w:rsidR="00562F1A" w:rsidRPr="00C3671B" w:rsidRDefault="00562F1A" w:rsidP="00280E3A"/>
    <w:p w14:paraId="1FA68D3E" w14:textId="77777777" w:rsidR="00EB2174" w:rsidRPr="00C3671B" w:rsidRDefault="00EB2174" w:rsidP="00280E3A"/>
    <w:p w14:paraId="1BEBBB2B" w14:textId="77777777" w:rsidR="000B2BFD" w:rsidRPr="00C3671B" w:rsidRDefault="000B2BFD" w:rsidP="00280E3A">
      <w:pPr>
        <w:widowControl/>
        <w:tabs>
          <w:tab w:val="clear" w:pos="1418"/>
          <w:tab w:val="left" w:pos="1545"/>
        </w:tabs>
        <w:adjustRightInd/>
        <w:rPr>
          <w:rFonts w:cs="Arial"/>
          <w:b/>
          <w:sz w:val="28"/>
        </w:rPr>
      </w:pPr>
      <w:r w:rsidRPr="00C3671B">
        <w:rPr>
          <w:rFonts w:cs="Arial"/>
          <w:b/>
          <w:sz w:val="28"/>
        </w:rPr>
        <w:t>Chapter 11: Hybrid DBAs should be permitted</w:t>
      </w:r>
    </w:p>
    <w:p w14:paraId="454024F7" w14:textId="77777777" w:rsidR="000B2BFD" w:rsidRPr="00C3671B" w:rsidRDefault="000B2BFD" w:rsidP="00280E3A"/>
    <w:p w14:paraId="633776A8" w14:textId="68F900A6" w:rsidR="0096360A" w:rsidRPr="00C3671B" w:rsidRDefault="000B2BFD" w:rsidP="001C1B35">
      <w:pPr>
        <w:widowControl/>
        <w:tabs>
          <w:tab w:val="clear" w:pos="1418"/>
          <w:tab w:val="left" w:pos="1545"/>
        </w:tabs>
        <w:adjustRightInd/>
        <w:rPr>
          <w:rFonts w:cs="Arial"/>
        </w:rPr>
      </w:pPr>
      <w:r w:rsidRPr="00C3671B">
        <w:rPr>
          <w:rFonts w:cs="Arial"/>
        </w:rPr>
        <w:t>2</w:t>
      </w:r>
      <w:r w:rsidR="00DE1CF6" w:rsidRPr="00C3671B">
        <w:rPr>
          <w:rFonts w:cs="Arial"/>
        </w:rPr>
        <w:t>3</w:t>
      </w:r>
      <w:r w:rsidRPr="00C3671B">
        <w:rPr>
          <w:rFonts w:cs="Arial"/>
        </w:rPr>
        <w:t>.</w:t>
      </w:r>
      <w:r w:rsidRPr="00C3671B">
        <w:rPr>
          <w:rFonts w:cs="Arial"/>
        </w:rPr>
        <w:tab/>
        <w:t>Recommendation 10 in the CP recommends that Hybrid DBAs should be permitted and</w:t>
      </w:r>
      <w:r w:rsidR="007A39BA" w:rsidRPr="00C3671B">
        <w:rPr>
          <w:rFonts w:cs="Arial"/>
        </w:rPr>
        <w:t xml:space="preserve"> invites submissions on the following issues</w:t>
      </w:r>
      <w:r w:rsidRPr="00C3671B">
        <w:rPr>
          <w:rFonts w:cs="Arial"/>
        </w:rPr>
        <w:t xml:space="preserve"> in the event that the claim is unsuccessful</w:t>
      </w:r>
      <w:r w:rsidR="00880C27" w:rsidRPr="00C3671B">
        <w:rPr>
          <w:rFonts w:cs="Arial"/>
        </w:rPr>
        <w:t xml:space="preserve"> (such that no financial benefit is obtained)</w:t>
      </w:r>
      <w:r w:rsidRPr="00C3671B">
        <w:rPr>
          <w:rFonts w:cs="Arial"/>
        </w:rPr>
        <w:t>:</w:t>
      </w:r>
    </w:p>
    <w:p w14:paraId="773A669B" w14:textId="1DB9234F" w:rsidR="000B2BFD" w:rsidRPr="00C3671B" w:rsidRDefault="000B2BFD" w:rsidP="001C1B35">
      <w:pPr>
        <w:widowControl/>
        <w:tabs>
          <w:tab w:val="clear" w:pos="1418"/>
          <w:tab w:val="left" w:pos="1545"/>
        </w:tabs>
        <w:adjustRightInd/>
        <w:rPr>
          <w:rFonts w:cs="Arial"/>
        </w:rPr>
      </w:pPr>
    </w:p>
    <w:p w14:paraId="7A379637" w14:textId="77D0CD28" w:rsidR="000B2BFD" w:rsidRPr="00C3671B" w:rsidRDefault="000B2BFD" w:rsidP="000B2BFD">
      <w:pPr>
        <w:pStyle w:val="Indent1"/>
        <w:ind w:left="1418" w:rightChars="271" w:right="650" w:hanging="709"/>
      </w:pPr>
      <w:r w:rsidRPr="00C3671B">
        <w:t xml:space="preserve">(a) </w:t>
      </w:r>
      <w:r w:rsidRPr="00C3671B">
        <w:tab/>
      </w:r>
      <w:proofErr w:type="gramStart"/>
      <w:r w:rsidRPr="00C3671B">
        <w:t>whether</w:t>
      </w:r>
      <w:proofErr w:type="gramEnd"/>
      <w:r w:rsidRPr="00C3671B">
        <w:t xml:space="preserve"> the Lawyer should be permitted to retain only a proportion of the costs incurred in pursuing the unsuccessful claim; </w:t>
      </w:r>
    </w:p>
    <w:p w14:paraId="418AC0E7" w14:textId="77777777" w:rsidR="000B2BFD" w:rsidRPr="00C3671B" w:rsidRDefault="000B2BFD" w:rsidP="000B2BFD">
      <w:pPr>
        <w:pStyle w:val="Indent1"/>
        <w:ind w:left="709" w:rightChars="271" w:right="650"/>
        <w:rPr>
          <w:rFonts w:cs="Arial"/>
          <w:lang w:val="en-US"/>
        </w:rPr>
      </w:pPr>
    </w:p>
    <w:p w14:paraId="031740C1" w14:textId="1BC434CE" w:rsidR="000B2BFD" w:rsidRPr="00C3671B" w:rsidRDefault="000B2BFD" w:rsidP="000B2BFD">
      <w:pPr>
        <w:pStyle w:val="Indent1"/>
        <w:ind w:left="1418" w:rightChars="271" w:right="650" w:hanging="709"/>
      </w:pPr>
      <w:r w:rsidRPr="00C3671B">
        <w:t xml:space="preserve">(b) </w:t>
      </w:r>
      <w:r w:rsidRPr="00C3671B">
        <w:tab/>
      </w:r>
      <w:proofErr w:type="gramStart"/>
      <w:r w:rsidRPr="00C3671B">
        <w:rPr>
          <w:rFonts w:eastAsia="細明體"/>
          <w:bCs/>
          <w:lang w:eastAsia="en-GB"/>
        </w:rPr>
        <w:t>if</w:t>
      </w:r>
      <w:proofErr w:type="gramEnd"/>
      <w:r w:rsidRPr="00C3671B">
        <w:rPr>
          <w:rFonts w:eastAsia="細明體"/>
          <w:bCs/>
          <w:lang w:eastAsia="en-GB"/>
        </w:rPr>
        <w:t xml:space="preserve"> the answer to sub-paragraph (a) is </w:t>
      </w:r>
      <w:r w:rsidR="006B0C50" w:rsidRPr="00C3671B">
        <w:rPr>
          <w:rFonts w:eastAsia="細明體"/>
          <w:bCs/>
          <w:lang w:eastAsia="en-GB"/>
        </w:rPr>
        <w:t>"</w:t>
      </w:r>
      <w:r w:rsidRPr="00C3671B">
        <w:rPr>
          <w:rFonts w:eastAsia="細明體"/>
          <w:bCs/>
          <w:lang w:eastAsia="en-GB"/>
        </w:rPr>
        <w:t>yes</w:t>
      </w:r>
      <w:r w:rsidR="006B0C50" w:rsidRPr="00C3671B">
        <w:rPr>
          <w:rFonts w:eastAsia="細明體"/>
          <w:bCs/>
          <w:lang w:eastAsia="en-GB"/>
        </w:rPr>
        <w:t>"</w:t>
      </w:r>
      <w:r w:rsidRPr="00C3671B">
        <w:rPr>
          <w:rFonts w:eastAsia="細明體"/>
          <w:bCs/>
          <w:lang w:eastAsia="en-GB"/>
        </w:rPr>
        <w:t xml:space="preserve">, </w:t>
      </w:r>
      <w:r w:rsidRPr="00C3671B">
        <w:t>what an appropriate cap should be in these circumstances; and</w:t>
      </w:r>
    </w:p>
    <w:p w14:paraId="2E1BCFA1" w14:textId="77777777" w:rsidR="000B2BFD" w:rsidRPr="00C3671B" w:rsidRDefault="000B2BFD" w:rsidP="000B2BFD">
      <w:pPr>
        <w:pStyle w:val="Indent1"/>
        <w:ind w:left="709" w:rightChars="271" w:right="650"/>
        <w:rPr>
          <w:rFonts w:cs="Arial"/>
          <w:lang w:val="en-US"/>
        </w:rPr>
      </w:pPr>
    </w:p>
    <w:p w14:paraId="628C51BB" w14:textId="6C122B9A" w:rsidR="000B2BFD" w:rsidRPr="00C3671B" w:rsidRDefault="000B2BFD" w:rsidP="000B2BFD">
      <w:pPr>
        <w:pStyle w:val="Indent1"/>
        <w:ind w:left="1418" w:rightChars="271" w:right="650" w:hanging="709"/>
        <w:rPr>
          <w:rFonts w:cs="Arial"/>
        </w:rPr>
      </w:pPr>
      <w:r w:rsidRPr="00C3671B">
        <w:rPr>
          <w:rFonts w:eastAsia="細明體"/>
          <w:bCs/>
          <w:lang w:eastAsia="en-GB"/>
        </w:rPr>
        <w:t>(c)</w:t>
      </w:r>
      <w:r w:rsidRPr="00C3671B">
        <w:rPr>
          <w:rFonts w:eastAsia="細明體"/>
          <w:bCs/>
          <w:lang w:eastAsia="en-GB"/>
        </w:rPr>
        <w:tab/>
        <w:t xml:space="preserve">if the answer to sub-paragraph (a) is </w:t>
      </w:r>
      <w:r w:rsidR="006B0C50" w:rsidRPr="00C3671B">
        <w:rPr>
          <w:rFonts w:eastAsia="細明體"/>
          <w:bCs/>
          <w:lang w:eastAsia="en-GB"/>
        </w:rPr>
        <w:t>"</w:t>
      </w:r>
      <w:r w:rsidRPr="00C3671B">
        <w:rPr>
          <w:rFonts w:eastAsia="細明體"/>
          <w:bCs/>
          <w:lang w:eastAsia="en-GB"/>
        </w:rPr>
        <w:t>yes</w:t>
      </w:r>
      <w:r w:rsidR="006B0C50" w:rsidRPr="00C3671B">
        <w:rPr>
          <w:rFonts w:eastAsia="細明體"/>
          <w:bCs/>
          <w:lang w:eastAsia="en-GB"/>
        </w:rPr>
        <w:t>"</w:t>
      </w:r>
      <w:r w:rsidRPr="00C3671B">
        <w:rPr>
          <w:rFonts w:eastAsia="細明體"/>
          <w:bCs/>
          <w:lang w:eastAsia="en-GB"/>
        </w:rPr>
        <w:t xml:space="preserve">, </w:t>
      </w:r>
      <w:r w:rsidRPr="00C3671B">
        <w:t>whether the relevant regulations should provide that, if the DBA Payment is less than the capped amount of irrecoverable costs, the Lawyer is entitled to retain the capped amount of irrecoverable costs instead of the DBA Payment.</w:t>
      </w:r>
      <w:r w:rsidRPr="00C3671B">
        <w:rPr>
          <w:rFonts w:cs="Arial"/>
        </w:rPr>
        <w:tab/>
      </w:r>
    </w:p>
    <w:p w14:paraId="1FA5CAEB" w14:textId="25782AF4" w:rsidR="000B2BFD" w:rsidRPr="00C3671B" w:rsidRDefault="000B2BFD" w:rsidP="00280E3A"/>
    <w:p w14:paraId="0E149DA6" w14:textId="54D5E737" w:rsidR="007E14F4" w:rsidRPr="00C3671B" w:rsidRDefault="007E14F4" w:rsidP="00280E3A">
      <w:r w:rsidRPr="00C3671B">
        <w:rPr>
          <w:rFonts w:cs="Arial"/>
        </w:rPr>
        <w:t>2</w:t>
      </w:r>
      <w:r w:rsidR="00DE1CF6" w:rsidRPr="00C3671B">
        <w:rPr>
          <w:rFonts w:cs="Arial"/>
        </w:rPr>
        <w:t>4</w:t>
      </w:r>
      <w:r w:rsidRPr="00C3671B">
        <w:rPr>
          <w:rFonts w:cs="Arial"/>
        </w:rPr>
        <w:t>.</w:t>
      </w:r>
      <w:r w:rsidRPr="00C3671B">
        <w:rPr>
          <w:rFonts w:cs="Arial"/>
        </w:rPr>
        <w:tab/>
      </w:r>
      <w:r w:rsidR="00897240" w:rsidRPr="00C3671B">
        <w:rPr>
          <w:rFonts w:cs="Arial"/>
        </w:rPr>
        <w:t>A</w:t>
      </w:r>
      <w:r w:rsidRPr="00C3671B">
        <w:rPr>
          <w:rFonts w:cs="Arial"/>
        </w:rPr>
        <w:t xml:space="preserve">ll but one </w:t>
      </w:r>
      <w:r w:rsidR="00897240" w:rsidRPr="00C3671B">
        <w:rPr>
          <w:rFonts w:cs="Arial"/>
        </w:rPr>
        <w:t xml:space="preserve">of the </w:t>
      </w:r>
      <w:r w:rsidRPr="00C3671B">
        <w:rPr>
          <w:rFonts w:cs="Arial"/>
        </w:rPr>
        <w:t>Respondent</w:t>
      </w:r>
      <w:r w:rsidR="00897240" w:rsidRPr="00C3671B">
        <w:rPr>
          <w:rFonts w:cs="Arial"/>
        </w:rPr>
        <w:t>s</w:t>
      </w:r>
      <w:r w:rsidRPr="00C3671B">
        <w:rPr>
          <w:rFonts w:cs="Arial"/>
        </w:rPr>
        <w:t xml:space="preserve"> </w:t>
      </w:r>
      <w:r w:rsidR="00897240" w:rsidRPr="00C3671B">
        <w:rPr>
          <w:rFonts w:cs="Arial"/>
        </w:rPr>
        <w:t xml:space="preserve">who commented specifically on Recommendation 10 </w:t>
      </w:r>
      <w:r w:rsidRPr="00C3671B">
        <w:rPr>
          <w:rFonts w:cs="Arial"/>
        </w:rPr>
        <w:t xml:space="preserve">agreed with the basic proposal that Hong Kong should allow Hybrid DBAs.  </w:t>
      </w:r>
      <w:r w:rsidRPr="00C3671B">
        <w:t xml:space="preserve">We are of the view that Hong Kong would benefit from a broad, flexible ORFS regime for Arbitration.  Against this background, we agree that there is no reason to exclude Hybrid DBAs if, as we recommend, Hong Kong permits CFAs and DBAs in their </w:t>
      </w:r>
      <w:r w:rsidR="006B0C50" w:rsidRPr="00C3671B">
        <w:t>"</w:t>
      </w:r>
      <w:r w:rsidRPr="00C3671B">
        <w:t>pure</w:t>
      </w:r>
      <w:r w:rsidR="006B0C50" w:rsidRPr="00C3671B">
        <w:t>"</w:t>
      </w:r>
      <w:r w:rsidRPr="00C3671B">
        <w:t xml:space="preserve"> forms.  We also agree with </w:t>
      </w:r>
      <w:r w:rsidR="00880C27" w:rsidRPr="00C3671B">
        <w:t>some Respondents</w:t>
      </w:r>
      <w:r w:rsidRPr="00C3671B">
        <w:t xml:space="preserve"> that permitting Hybrid DBAs would aid cash flow, particularly for long-running matters, by enabling Lawyers to keep some money coming in during the life of the dispute.  </w:t>
      </w:r>
    </w:p>
    <w:p w14:paraId="537D134D" w14:textId="324FF85C" w:rsidR="007E14F4" w:rsidRPr="00C3671B" w:rsidRDefault="007E14F4" w:rsidP="00280E3A"/>
    <w:p w14:paraId="40F7A635" w14:textId="47AFC1F5" w:rsidR="007E14F4" w:rsidRPr="00C3671B" w:rsidRDefault="007E14F4" w:rsidP="00280E3A">
      <w:r w:rsidRPr="00C3671B">
        <w:t>2</w:t>
      </w:r>
      <w:r w:rsidR="00DE1CF6" w:rsidRPr="00C3671B">
        <w:t>5</w:t>
      </w:r>
      <w:r w:rsidRPr="00C3671B">
        <w:t>.</w:t>
      </w:r>
      <w:r w:rsidRPr="00C3671B">
        <w:tab/>
      </w:r>
      <w:r w:rsidR="00387E31" w:rsidRPr="00C3671B">
        <w:t>R</w:t>
      </w:r>
      <w:r w:rsidRPr="00C3671B">
        <w:t xml:space="preserve">esponses to Recommendation 10(a) were almost evenly divided.  However, having carefully considered the arguments for and against this proposal, we are persuaded that the benefits of allowing Lawyers to retain only </w:t>
      </w:r>
      <w:r w:rsidRPr="00C3671B">
        <w:lastRenderedPageBreak/>
        <w:t>a proportion of their costs incurred in pursuing an unsuccessful claim outweigh any undesirable implications of restricting their freedom to negotiate terms with their clients.</w:t>
      </w:r>
    </w:p>
    <w:p w14:paraId="08FAAA17" w14:textId="0D0D4F11" w:rsidR="007E14F4" w:rsidRPr="00C3671B" w:rsidRDefault="007E14F4" w:rsidP="00280E3A"/>
    <w:p w14:paraId="57B5B0BE" w14:textId="33D5D520" w:rsidR="00C420D2" w:rsidRPr="00C3671B" w:rsidRDefault="00387E31" w:rsidP="00280E3A">
      <w:pPr>
        <w:widowControl/>
        <w:tabs>
          <w:tab w:val="clear" w:pos="1418"/>
          <w:tab w:val="left" w:pos="1545"/>
        </w:tabs>
        <w:adjustRightInd/>
      </w:pPr>
      <w:r w:rsidRPr="00C3671B">
        <w:rPr>
          <w:rFonts w:cs="Arial"/>
        </w:rPr>
        <w:t>2</w:t>
      </w:r>
      <w:r w:rsidR="00DE1CF6" w:rsidRPr="00C3671B">
        <w:rPr>
          <w:rFonts w:cs="Arial"/>
        </w:rPr>
        <w:t>6</w:t>
      </w:r>
      <w:r w:rsidRPr="00C3671B">
        <w:rPr>
          <w:rFonts w:cs="Arial"/>
        </w:rPr>
        <w:t>.</w:t>
      </w:r>
      <w:r w:rsidRPr="00C3671B">
        <w:rPr>
          <w:rFonts w:cs="Arial"/>
        </w:rPr>
        <w:tab/>
        <w:t xml:space="preserve">As for Recommendation 10(b), </w:t>
      </w:r>
      <w:r w:rsidR="00C420D2" w:rsidRPr="00C3671B">
        <w:rPr>
          <w:rFonts w:cs="Arial"/>
        </w:rPr>
        <w:t xml:space="preserve">although all but one </w:t>
      </w:r>
      <w:r w:rsidR="001B03B8" w:rsidRPr="00C3671B">
        <w:rPr>
          <w:rFonts w:cs="Arial"/>
        </w:rPr>
        <w:t xml:space="preserve">of the </w:t>
      </w:r>
      <w:r w:rsidR="007E14F4" w:rsidRPr="00C3671B">
        <w:rPr>
          <w:rFonts w:cs="Arial"/>
        </w:rPr>
        <w:t xml:space="preserve">Respondents that supported Recommendation 10(a) </w:t>
      </w:r>
      <w:r w:rsidR="00C420D2" w:rsidRPr="00C3671B">
        <w:rPr>
          <w:rFonts w:cs="Arial"/>
        </w:rPr>
        <w:t xml:space="preserve">suggested that </w:t>
      </w:r>
      <w:r w:rsidR="00C420D2" w:rsidRPr="00C3671B">
        <w:rPr>
          <w:rFonts w:cs="Arial"/>
          <w:b/>
        </w:rPr>
        <w:t>30%</w:t>
      </w:r>
      <w:r w:rsidR="00C420D2" w:rsidRPr="00C3671B">
        <w:rPr>
          <w:rFonts w:cs="Arial"/>
        </w:rPr>
        <w:t xml:space="preserve"> was the appropriate cap, we recommend capping at </w:t>
      </w:r>
      <w:r w:rsidR="00C420D2" w:rsidRPr="00C3671B">
        <w:rPr>
          <w:rFonts w:cs="Arial"/>
          <w:b/>
        </w:rPr>
        <w:t xml:space="preserve">50% </w:t>
      </w:r>
      <w:r w:rsidR="00C420D2" w:rsidRPr="00C3671B">
        <w:rPr>
          <w:rFonts w:cs="Arial"/>
        </w:rPr>
        <w:t xml:space="preserve">the costs that a Lawyer </w:t>
      </w:r>
      <w:r w:rsidR="00C420D2" w:rsidRPr="00C3671B">
        <w:t>can retain if the case is unsuccessful for the reason</w:t>
      </w:r>
      <w:r w:rsidR="00D176D1" w:rsidRPr="00C3671B">
        <w:t>s</w:t>
      </w:r>
      <w:r w:rsidR="00C420D2" w:rsidRPr="00C3671B">
        <w:t xml:space="preserve"> below:</w:t>
      </w:r>
    </w:p>
    <w:p w14:paraId="24D95196" w14:textId="1F011E2E" w:rsidR="00C420D2" w:rsidRPr="00C3671B" w:rsidRDefault="00C420D2" w:rsidP="00280E3A"/>
    <w:p w14:paraId="705C2B63" w14:textId="07E8A7FE" w:rsidR="00C420D2" w:rsidRPr="00C3671B" w:rsidRDefault="00ED3477" w:rsidP="00F4024F">
      <w:pPr>
        <w:pStyle w:val="Indent1"/>
        <w:numPr>
          <w:ilvl w:val="0"/>
          <w:numId w:val="15"/>
        </w:numPr>
        <w:ind w:rightChars="271" w:right="650"/>
      </w:pPr>
      <w:r w:rsidRPr="00C3671B">
        <w:t>R</w:t>
      </w:r>
      <w:r w:rsidR="00C420D2" w:rsidRPr="00C3671B">
        <w:t>espondents were almost evenly divided between those who supported capping such costs and those who favoured no cap at all;</w:t>
      </w:r>
    </w:p>
    <w:p w14:paraId="038170A0" w14:textId="77777777" w:rsidR="00D518C6" w:rsidRPr="00C3671B" w:rsidRDefault="00D518C6" w:rsidP="00985309">
      <w:pPr>
        <w:pStyle w:val="Indent1"/>
        <w:ind w:left="1429" w:rightChars="271" w:right="650" w:firstLine="0"/>
      </w:pPr>
    </w:p>
    <w:p w14:paraId="1AABE2A1" w14:textId="6028C96B" w:rsidR="00C420D2" w:rsidRPr="00C3671B" w:rsidRDefault="00D176D1" w:rsidP="00280E3A">
      <w:pPr>
        <w:pStyle w:val="Indent1"/>
        <w:numPr>
          <w:ilvl w:val="0"/>
          <w:numId w:val="15"/>
        </w:numPr>
        <w:spacing w:after="120"/>
        <w:ind w:left="1426" w:rightChars="271" w:right="650"/>
      </w:pPr>
      <w:r w:rsidRPr="00C3671B">
        <w:rPr>
          <w:rFonts w:cs="Arial"/>
        </w:rPr>
        <w:t>there was</w:t>
      </w:r>
      <w:r w:rsidR="00C420D2" w:rsidRPr="00C3671B">
        <w:rPr>
          <w:rFonts w:cs="Arial"/>
        </w:rPr>
        <w:t xml:space="preserve"> a general support from the Respondents for a broad, flexible ORFS regime for Arbitration in Hong Kong;</w:t>
      </w:r>
      <w:r w:rsidRPr="00C3671B">
        <w:rPr>
          <w:rFonts w:cs="Arial"/>
        </w:rPr>
        <w:t xml:space="preserve"> and</w:t>
      </w:r>
    </w:p>
    <w:p w14:paraId="0985490E" w14:textId="63306FD4" w:rsidR="00C420D2" w:rsidRPr="00C3671B" w:rsidRDefault="00D176D1" w:rsidP="00AF02F8">
      <w:pPr>
        <w:pStyle w:val="Indent1"/>
        <w:widowControl/>
        <w:numPr>
          <w:ilvl w:val="0"/>
          <w:numId w:val="15"/>
        </w:numPr>
        <w:ind w:rightChars="271" w:right="650"/>
      </w:pPr>
      <w:proofErr w:type="gramStart"/>
      <w:r w:rsidRPr="00C3671B">
        <w:rPr>
          <w:rFonts w:cs="Arial"/>
        </w:rPr>
        <w:t>a</w:t>
      </w:r>
      <w:proofErr w:type="gramEnd"/>
      <w:r w:rsidR="00C420D2" w:rsidRPr="00C3671B">
        <w:rPr>
          <w:rFonts w:cs="Arial"/>
        </w:rPr>
        <w:t xml:space="preserve"> </w:t>
      </w:r>
      <w:r w:rsidR="00387E31" w:rsidRPr="00C3671B">
        <w:rPr>
          <w:rFonts w:cs="Arial"/>
        </w:rPr>
        <w:t xml:space="preserve">cap of 50% on </w:t>
      </w:r>
      <w:r w:rsidR="006B0C50" w:rsidRPr="00C3671B">
        <w:rPr>
          <w:rFonts w:cs="Arial"/>
        </w:rPr>
        <w:t>"</w:t>
      </w:r>
      <w:r w:rsidR="00387E31" w:rsidRPr="00C3671B">
        <w:rPr>
          <w:rFonts w:cs="Arial"/>
        </w:rPr>
        <w:t>pure</w:t>
      </w:r>
      <w:r w:rsidR="006B0C50" w:rsidRPr="00C3671B">
        <w:rPr>
          <w:rFonts w:cs="Arial"/>
        </w:rPr>
        <w:t>"</w:t>
      </w:r>
      <w:r w:rsidR="00387E31" w:rsidRPr="00C3671B">
        <w:rPr>
          <w:rFonts w:cs="Arial"/>
        </w:rPr>
        <w:t xml:space="preserve"> DBA Payments </w:t>
      </w:r>
      <w:r w:rsidRPr="00C3671B">
        <w:rPr>
          <w:rFonts w:cs="Arial"/>
        </w:rPr>
        <w:t xml:space="preserve">is </w:t>
      </w:r>
      <w:r w:rsidR="00387E31" w:rsidRPr="00C3671B">
        <w:rPr>
          <w:rFonts w:cs="Arial"/>
        </w:rPr>
        <w:t>pro</w:t>
      </w:r>
      <w:r w:rsidR="00AF1F58" w:rsidRPr="00C3671B">
        <w:rPr>
          <w:rFonts w:cs="Arial"/>
        </w:rPr>
        <w:t>posed in Final Recommendation 7.</w:t>
      </w:r>
    </w:p>
    <w:p w14:paraId="04985348" w14:textId="777079DF" w:rsidR="00387E31" w:rsidRPr="00C3671B" w:rsidRDefault="00387E31" w:rsidP="00280E3A"/>
    <w:p w14:paraId="20385AB4" w14:textId="5B1C45BF" w:rsidR="00387E31" w:rsidRPr="00C3671B" w:rsidRDefault="00387E31" w:rsidP="00280E3A">
      <w:r w:rsidRPr="00C3671B">
        <w:t>2</w:t>
      </w:r>
      <w:r w:rsidR="00DE1CF6" w:rsidRPr="00C3671B">
        <w:t>7</w:t>
      </w:r>
      <w:r w:rsidRPr="00C3671B">
        <w:t>.</w:t>
      </w:r>
      <w:r w:rsidRPr="00C3671B">
        <w:tab/>
      </w:r>
      <w:r w:rsidR="00AF1F58" w:rsidRPr="00C3671B">
        <w:t xml:space="preserve">The majority of Respondents who commented on Recommendation 10(c) agreed with the recommendation.  </w:t>
      </w:r>
      <w:r w:rsidRPr="00C3671B">
        <w:t>In order to avoid the anomalous situation</w:t>
      </w:r>
      <w:r w:rsidR="00A9151A" w:rsidRPr="00C3671B">
        <w:t>,</w:t>
      </w:r>
      <w:r w:rsidR="00AF1F58" w:rsidRPr="00C3671B">
        <w:t xml:space="preserve"> in which a Lawyer could recover more of his fees if the client receives no financial benefit from its case, than if the client receives only a small financial benefit</w:t>
      </w:r>
      <w:r w:rsidRPr="00C3671B">
        <w:t xml:space="preserve">, </w:t>
      </w:r>
      <w:r w:rsidR="00AF1F58" w:rsidRPr="00C3671B">
        <w:t>we recommend retaining Recommendation 10(c)</w:t>
      </w:r>
      <w:r w:rsidR="002738F5" w:rsidRPr="00C3671B">
        <w:t xml:space="preserve"> (with some modifications) in the CP </w:t>
      </w:r>
      <w:r w:rsidR="0018723A" w:rsidRPr="00C3671B">
        <w:t>and make</w:t>
      </w:r>
      <w:r w:rsidR="002738F5" w:rsidRPr="00C3671B">
        <w:t xml:space="preserve"> </w:t>
      </w:r>
      <w:r w:rsidRPr="00C3671B">
        <w:rPr>
          <w:rFonts w:cs="Arial"/>
        </w:rPr>
        <w:t xml:space="preserve">our </w:t>
      </w:r>
      <w:r w:rsidRPr="00C3671B">
        <w:rPr>
          <w:rFonts w:cs="Arial"/>
          <w:b/>
        </w:rPr>
        <w:t>Final Recommendation 10</w:t>
      </w:r>
      <w:r w:rsidR="00ED3477" w:rsidRPr="00C3671B">
        <w:rPr>
          <w:rFonts w:cs="Arial"/>
        </w:rPr>
        <w:t xml:space="preserve"> as follows</w:t>
      </w:r>
      <w:r w:rsidRPr="00C3671B">
        <w:rPr>
          <w:rFonts w:eastAsia="DengXian" w:cs="Arial"/>
          <w:lang w:eastAsia="zh-CN"/>
        </w:rPr>
        <w:t>:</w:t>
      </w:r>
    </w:p>
    <w:p w14:paraId="30A2E065" w14:textId="5C79DD90" w:rsidR="007E14F4" w:rsidRPr="00C3671B" w:rsidRDefault="007E14F4" w:rsidP="00280E3A"/>
    <w:p w14:paraId="35239EA2" w14:textId="116BE6B8" w:rsidR="00387E31" w:rsidRPr="00C3671B" w:rsidRDefault="006B0C50" w:rsidP="00387E31">
      <w:pPr>
        <w:widowControl/>
        <w:tabs>
          <w:tab w:val="clear" w:pos="1418"/>
        </w:tabs>
        <w:adjustRightInd/>
        <w:ind w:left="720" w:right="720"/>
        <w:rPr>
          <w:rFonts w:cs="Arial"/>
          <w:i/>
        </w:rPr>
      </w:pPr>
      <w:r w:rsidRPr="00C3671B">
        <w:rPr>
          <w:rFonts w:cs="Arial"/>
          <w:i/>
        </w:rPr>
        <w:t>"</w:t>
      </w:r>
      <w:r w:rsidR="00387E31" w:rsidRPr="00C3671B">
        <w:rPr>
          <w:rFonts w:cs="Arial"/>
          <w:i/>
        </w:rPr>
        <w:t>We recommend that:</w:t>
      </w:r>
      <w:r w:rsidR="00387E31" w:rsidRPr="00C3671B">
        <w:rPr>
          <w:rFonts w:cs="Arial"/>
          <w:i/>
        </w:rPr>
        <w:tab/>
      </w:r>
    </w:p>
    <w:p w14:paraId="32898C50" w14:textId="77777777" w:rsidR="00387E31" w:rsidRPr="00C3671B" w:rsidRDefault="00387E31" w:rsidP="00280E3A"/>
    <w:p w14:paraId="61D89C45" w14:textId="05FB2DFF" w:rsidR="00387E31" w:rsidRPr="00C3671B" w:rsidRDefault="00387E31" w:rsidP="00F4024F">
      <w:pPr>
        <w:pStyle w:val="ListParagraph"/>
        <w:widowControl/>
        <w:numPr>
          <w:ilvl w:val="0"/>
          <w:numId w:val="11"/>
        </w:numPr>
        <w:tabs>
          <w:tab w:val="clear" w:pos="1418"/>
        </w:tabs>
        <w:adjustRightInd/>
        <w:ind w:left="1418" w:right="720" w:hanging="709"/>
        <w:rPr>
          <w:rFonts w:cs="Arial"/>
          <w:i/>
        </w:rPr>
      </w:pPr>
      <w:r w:rsidRPr="00C3671B">
        <w:rPr>
          <w:rFonts w:cs="Arial"/>
          <w:i/>
        </w:rPr>
        <w:t>Prohibitions on the use of Hybrid DBAs in Arbitration by Lawyers should be lifted, so that Lawyers may choose to enter into Hybrid DBAs for Arbitration.</w:t>
      </w:r>
    </w:p>
    <w:p w14:paraId="4DF000A5" w14:textId="77777777" w:rsidR="00387E31" w:rsidRPr="00C3671B" w:rsidRDefault="00387E31" w:rsidP="00280E3A"/>
    <w:p w14:paraId="0B55A445" w14:textId="4E799238" w:rsidR="00387E31" w:rsidRPr="00C3671B" w:rsidRDefault="00387E31" w:rsidP="00F4024F">
      <w:pPr>
        <w:pStyle w:val="ListParagraph"/>
        <w:widowControl/>
        <w:numPr>
          <w:ilvl w:val="0"/>
          <w:numId w:val="11"/>
        </w:numPr>
        <w:tabs>
          <w:tab w:val="clear" w:pos="1418"/>
        </w:tabs>
        <w:adjustRightInd/>
        <w:ind w:left="1418" w:right="720" w:hanging="709"/>
        <w:rPr>
          <w:rFonts w:cs="Arial"/>
          <w:i/>
        </w:rPr>
      </w:pPr>
      <w:r w:rsidRPr="00C3671B">
        <w:rPr>
          <w:rFonts w:cs="Arial"/>
          <w:i/>
        </w:rPr>
        <w:t>In the event that a case under a Hybrid DBA is unsuccessful (such that no Financial Benefit is obtained),</w:t>
      </w:r>
    </w:p>
    <w:p w14:paraId="6F8B94E0" w14:textId="77777777" w:rsidR="00387E31" w:rsidRPr="00C3671B" w:rsidRDefault="00387E31" w:rsidP="00280E3A"/>
    <w:p w14:paraId="58DB3CDA" w14:textId="229DA36E" w:rsidR="00387E31" w:rsidRPr="00C3671B" w:rsidRDefault="00387E31" w:rsidP="001A541A">
      <w:pPr>
        <w:pStyle w:val="ListParagraph"/>
        <w:widowControl/>
        <w:numPr>
          <w:ilvl w:val="0"/>
          <w:numId w:val="22"/>
        </w:numPr>
        <w:tabs>
          <w:tab w:val="clear" w:pos="1418"/>
        </w:tabs>
        <w:adjustRightInd/>
        <w:ind w:right="720"/>
        <w:rPr>
          <w:rFonts w:cs="Arial"/>
          <w:i/>
        </w:rPr>
      </w:pPr>
      <w:r w:rsidRPr="00C3671B">
        <w:rPr>
          <w:rFonts w:cs="Arial"/>
          <w:i/>
        </w:rPr>
        <w:t xml:space="preserve">the Lawyer should be permitted to retain only a proportion of the </w:t>
      </w:r>
      <w:r w:rsidR="002738F5" w:rsidRPr="00C3671B">
        <w:rPr>
          <w:rFonts w:cs="Arial"/>
          <w:i/>
        </w:rPr>
        <w:t xml:space="preserve">'benchmark' </w:t>
      </w:r>
      <w:r w:rsidRPr="00C3671B">
        <w:rPr>
          <w:rFonts w:cs="Arial"/>
          <w:i/>
        </w:rPr>
        <w:t>costs he or she has incurred in pursuing the unsuccessful claim; and</w:t>
      </w:r>
    </w:p>
    <w:p w14:paraId="6DBA4B30" w14:textId="77777777" w:rsidR="00387E31" w:rsidRPr="00C3671B" w:rsidRDefault="00387E31" w:rsidP="00280E3A"/>
    <w:p w14:paraId="1EE36208" w14:textId="3255234E" w:rsidR="00387E31" w:rsidRPr="00C3671B" w:rsidRDefault="00387E31" w:rsidP="001A541A">
      <w:pPr>
        <w:pStyle w:val="ListParagraph"/>
        <w:widowControl/>
        <w:numPr>
          <w:ilvl w:val="0"/>
          <w:numId w:val="22"/>
        </w:numPr>
        <w:tabs>
          <w:tab w:val="clear" w:pos="1418"/>
        </w:tabs>
        <w:adjustRightInd/>
        <w:ind w:right="720"/>
        <w:rPr>
          <w:rFonts w:cs="Arial"/>
          <w:i/>
        </w:rPr>
      </w:pPr>
      <w:proofErr w:type="gramStart"/>
      <w:r w:rsidRPr="00C3671B">
        <w:rPr>
          <w:rFonts w:cs="Arial"/>
          <w:i/>
        </w:rPr>
        <w:t>that</w:t>
      </w:r>
      <w:proofErr w:type="gramEnd"/>
      <w:r w:rsidRPr="00C3671B">
        <w:rPr>
          <w:rFonts w:cs="Arial"/>
          <w:i/>
        </w:rPr>
        <w:t xml:space="preserve"> proportion should be capped at 50% of the irrecoverable costs incurred in pursuing the unsuccessful claim.</w:t>
      </w:r>
    </w:p>
    <w:p w14:paraId="14348E79" w14:textId="77777777" w:rsidR="00387E31" w:rsidRPr="00C3671B" w:rsidRDefault="00387E31" w:rsidP="00280E3A"/>
    <w:p w14:paraId="4A35D379" w14:textId="6B80A930" w:rsidR="00387E31" w:rsidRPr="00C3671B" w:rsidRDefault="00387E31" w:rsidP="00F4024F">
      <w:pPr>
        <w:pStyle w:val="ListParagraph"/>
        <w:widowControl/>
        <w:numPr>
          <w:ilvl w:val="0"/>
          <w:numId w:val="11"/>
        </w:numPr>
        <w:tabs>
          <w:tab w:val="clear" w:pos="1418"/>
        </w:tabs>
        <w:adjustRightInd/>
        <w:ind w:left="1418" w:right="720" w:hanging="709"/>
        <w:rPr>
          <w:rFonts w:cs="Arial"/>
          <w:i/>
        </w:rPr>
      </w:pPr>
      <w:r w:rsidRPr="00C3671B">
        <w:rPr>
          <w:rFonts w:cs="Arial"/>
          <w:i/>
        </w:rPr>
        <w:t>The relevant regulations should provide that, if the DBA Payment</w:t>
      </w:r>
      <w:r w:rsidR="002738F5" w:rsidRPr="00C3671B">
        <w:rPr>
          <w:rFonts w:cs="Arial"/>
          <w:i/>
        </w:rPr>
        <w:t xml:space="preserve"> plus the recoverable costs</w:t>
      </w:r>
      <w:r w:rsidRPr="00C3671B">
        <w:rPr>
          <w:rFonts w:cs="Arial"/>
          <w:i/>
        </w:rPr>
        <w:t xml:space="preserve"> for a Hybrid DBA (in a successful scenario) is less than the capped amount of irrecoverable costs</w:t>
      </w:r>
      <w:r w:rsidR="002738F5" w:rsidRPr="00C3671B">
        <w:rPr>
          <w:rFonts w:cs="Arial"/>
          <w:i/>
        </w:rPr>
        <w:t xml:space="preserve"> (which is 50% of the irrecoverable costs incurred in pursuing the unsuccessful claim)</w:t>
      </w:r>
      <w:r w:rsidRPr="00C3671B">
        <w:rPr>
          <w:rFonts w:cs="Arial"/>
          <w:i/>
        </w:rPr>
        <w:t xml:space="preserve">, the Lawyer is entitled to retain the capped amount of </w:t>
      </w:r>
      <w:r w:rsidRPr="00C3671B">
        <w:rPr>
          <w:rFonts w:cs="Arial"/>
          <w:i/>
        </w:rPr>
        <w:lastRenderedPageBreak/>
        <w:t>irrecoverable costs instead of the DBA Payment</w:t>
      </w:r>
      <w:r w:rsidR="002738F5" w:rsidRPr="00C3671B">
        <w:rPr>
          <w:rFonts w:cs="Arial"/>
          <w:i/>
        </w:rPr>
        <w:t xml:space="preserve"> plus the recoverable costs</w:t>
      </w:r>
      <w:r w:rsidRPr="00C3671B">
        <w:rPr>
          <w:rFonts w:cs="Arial"/>
          <w:i/>
        </w:rPr>
        <w:t>.</w:t>
      </w:r>
      <w:r w:rsidR="006B0C50" w:rsidRPr="00C3671B">
        <w:rPr>
          <w:rFonts w:cs="Arial"/>
          <w:i/>
        </w:rPr>
        <w:t>"</w:t>
      </w:r>
    </w:p>
    <w:p w14:paraId="1B00D5F0" w14:textId="20E8162D" w:rsidR="006A16F9" w:rsidRPr="00C3671B" w:rsidRDefault="006A16F9" w:rsidP="00280E3A"/>
    <w:p w14:paraId="02A77286" w14:textId="77777777" w:rsidR="001127BC" w:rsidRPr="00C3671B" w:rsidRDefault="001127BC" w:rsidP="00280E3A"/>
    <w:p w14:paraId="583ABE50" w14:textId="30E2DCE5" w:rsidR="006A16F9" w:rsidRPr="00C3671B" w:rsidRDefault="006A16F9" w:rsidP="00280E3A">
      <w:pPr>
        <w:widowControl/>
        <w:tabs>
          <w:tab w:val="clear" w:pos="1418"/>
          <w:tab w:val="left" w:pos="1665"/>
        </w:tabs>
        <w:adjustRightInd/>
        <w:rPr>
          <w:rFonts w:cs="Arial"/>
          <w:b/>
          <w:sz w:val="28"/>
        </w:rPr>
      </w:pPr>
      <w:r w:rsidRPr="00C3671B">
        <w:rPr>
          <w:rFonts w:cs="Arial"/>
          <w:b/>
          <w:sz w:val="28"/>
        </w:rPr>
        <w:t>Chapter 12: Clear and simple legislation and regulation</w:t>
      </w:r>
    </w:p>
    <w:p w14:paraId="4F658085" w14:textId="6D68BF7D" w:rsidR="006A16F9" w:rsidRPr="00C3671B" w:rsidRDefault="006A16F9" w:rsidP="00280E3A"/>
    <w:p w14:paraId="1607FC22" w14:textId="063E6F06" w:rsidR="006A16F9" w:rsidRPr="00C3671B" w:rsidRDefault="00954B80" w:rsidP="00280E3A">
      <w:r w:rsidRPr="00C3671B">
        <w:t>2</w:t>
      </w:r>
      <w:r w:rsidR="00DE1CF6" w:rsidRPr="00C3671B">
        <w:t>8</w:t>
      </w:r>
      <w:r w:rsidR="006A16F9" w:rsidRPr="00C3671B">
        <w:t>.</w:t>
      </w:r>
      <w:r w:rsidR="006A16F9" w:rsidRPr="00C3671B">
        <w:tab/>
        <w:t xml:space="preserve">Recommendation 11 in the CP recommends that appropriate amendments in clear and simple terms be made to: (a) the Arbitration Ordinance, (b) the Legal Practitioners Ordinance, (c) </w:t>
      </w:r>
      <w:r w:rsidR="0038095F" w:rsidRPr="00C3671B">
        <w:t>T</w:t>
      </w:r>
      <w:r w:rsidR="006A16F9" w:rsidRPr="00C3671B">
        <w:t>he Hong Kong Solicitors</w:t>
      </w:r>
      <w:r w:rsidR="006B0C50" w:rsidRPr="00C3671B">
        <w:t>'</w:t>
      </w:r>
      <w:r w:rsidR="006A16F9" w:rsidRPr="00C3671B">
        <w:t xml:space="preserve"> Guide to Professional Conduct, (d) the </w:t>
      </w:r>
      <w:r w:rsidR="006C7167" w:rsidRPr="00C3671B">
        <w:t>Hong Kong Bar Association</w:t>
      </w:r>
      <w:r w:rsidR="006B0C50" w:rsidRPr="00C3671B">
        <w:t>'</w:t>
      </w:r>
      <w:r w:rsidR="006C7167" w:rsidRPr="00C3671B">
        <w:t>s (</w:t>
      </w:r>
      <w:r w:rsidR="006B0C50" w:rsidRPr="00C3671B">
        <w:t>"</w:t>
      </w:r>
      <w:r w:rsidR="006C7167" w:rsidRPr="00C3671B">
        <w:rPr>
          <w:b/>
        </w:rPr>
        <w:t>HKBA</w:t>
      </w:r>
      <w:r w:rsidR="006B0C50" w:rsidRPr="00C3671B">
        <w:rPr>
          <w:b/>
        </w:rPr>
        <w:t>'</w:t>
      </w:r>
      <w:r w:rsidR="006C7167" w:rsidRPr="00C3671B">
        <w:rPr>
          <w:b/>
        </w:rPr>
        <w:t>s</w:t>
      </w:r>
      <w:r w:rsidR="006B0C50" w:rsidRPr="00C3671B">
        <w:t>"</w:t>
      </w:r>
      <w:r w:rsidR="006C7167" w:rsidRPr="00C3671B">
        <w:t>)</w:t>
      </w:r>
      <w:r w:rsidR="006A16F9" w:rsidRPr="00C3671B">
        <w:t xml:space="preserve"> Code of Conduct, and (e) any other applicable legislation or regulation to provide (as applicable) that CFAs and/or DBAs and/or Hybrid DBAs are permitted under Hong Kong law for Arbitration.  </w:t>
      </w:r>
      <w:r w:rsidR="006A16F9" w:rsidRPr="00C3671B">
        <w:rPr>
          <w:lang w:eastAsia="zh-CN"/>
        </w:rPr>
        <w:t xml:space="preserve">Given the unanimous support from all the Respondents who commented on Recommendation 11, </w:t>
      </w:r>
      <w:r w:rsidR="00926741" w:rsidRPr="00C3671B">
        <w:rPr>
          <w:lang w:eastAsia="zh-CN"/>
        </w:rPr>
        <w:t>it is therefore adopted (</w:t>
      </w:r>
      <w:r w:rsidR="00695382" w:rsidRPr="00C3671B">
        <w:rPr>
          <w:lang w:eastAsia="zh-CN"/>
        </w:rPr>
        <w:t xml:space="preserve">with some modifications) as our </w:t>
      </w:r>
      <w:r w:rsidR="00695382" w:rsidRPr="00C3671B">
        <w:rPr>
          <w:b/>
          <w:lang w:eastAsia="zh-CN"/>
        </w:rPr>
        <w:t>Final Recommendation 11</w:t>
      </w:r>
      <w:r w:rsidR="00760250" w:rsidRPr="00C3671B">
        <w:rPr>
          <w:b/>
          <w:lang w:eastAsia="zh-CN"/>
        </w:rPr>
        <w:t xml:space="preserve"> </w:t>
      </w:r>
      <w:r w:rsidR="00760250" w:rsidRPr="00C3671B">
        <w:rPr>
          <w:lang w:val="en-US"/>
        </w:rPr>
        <w:t>as follows</w:t>
      </w:r>
      <w:r w:rsidR="00695382" w:rsidRPr="00C3671B">
        <w:rPr>
          <w:lang w:eastAsia="zh-CN"/>
        </w:rPr>
        <w:t>:</w:t>
      </w:r>
      <w:r w:rsidR="00695382" w:rsidRPr="00C3671B">
        <w:t xml:space="preserve"> </w:t>
      </w:r>
    </w:p>
    <w:p w14:paraId="141BE57F" w14:textId="28170CC8" w:rsidR="003C2341" w:rsidRPr="00C3671B" w:rsidRDefault="003C2341" w:rsidP="00280E3A"/>
    <w:p w14:paraId="14C21404" w14:textId="7B24DBDC" w:rsidR="003C2341" w:rsidRPr="00C3671B" w:rsidRDefault="006B0C50" w:rsidP="003C2341">
      <w:pPr>
        <w:widowControl/>
        <w:tabs>
          <w:tab w:val="clear" w:pos="1418"/>
        </w:tabs>
        <w:adjustRightInd/>
        <w:ind w:left="720" w:right="720"/>
        <w:rPr>
          <w:rFonts w:cs="Arial"/>
          <w:i/>
        </w:rPr>
      </w:pPr>
      <w:r w:rsidRPr="00C3671B">
        <w:rPr>
          <w:rFonts w:cs="Arial"/>
          <w:i/>
        </w:rPr>
        <w:t>"</w:t>
      </w:r>
      <w:r w:rsidR="003C2341" w:rsidRPr="00C3671B">
        <w:rPr>
          <w:rFonts w:cs="Arial"/>
          <w:i/>
        </w:rPr>
        <w:t>We recommend that:</w:t>
      </w:r>
    </w:p>
    <w:p w14:paraId="748692B9" w14:textId="77777777" w:rsidR="003C2341" w:rsidRPr="00C3671B" w:rsidRDefault="003C2341" w:rsidP="003C2341">
      <w:pPr>
        <w:widowControl/>
        <w:tabs>
          <w:tab w:val="clear" w:pos="1418"/>
        </w:tabs>
        <w:adjustRightInd/>
        <w:ind w:left="720" w:right="720"/>
        <w:rPr>
          <w:rFonts w:cs="Arial"/>
          <w:i/>
        </w:rPr>
      </w:pPr>
    </w:p>
    <w:p w14:paraId="69B7C907" w14:textId="681FE174" w:rsidR="003C2341" w:rsidRPr="00C3671B" w:rsidRDefault="003C2341" w:rsidP="00F4024F">
      <w:pPr>
        <w:pStyle w:val="ListParagraph"/>
        <w:widowControl/>
        <w:numPr>
          <w:ilvl w:val="0"/>
          <w:numId w:val="12"/>
        </w:numPr>
        <w:tabs>
          <w:tab w:val="clear" w:pos="1418"/>
        </w:tabs>
        <w:adjustRightInd/>
        <w:ind w:left="1418" w:right="720" w:hanging="709"/>
        <w:rPr>
          <w:rFonts w:cs="Arial"/>
          <w:i/>
        </w:rPr>
      </w:pPr>
      <w:r w:rsidRPr="00C3671B">
        <w:rPr>
          <w:rFonts w:cs="Arial"/>
          <w:i/>
        </w:rPr>
        <w:t>Section 64(1</w:t>
      </w:r>
      <w:proofErr w:type="gramStart"/>
      <w:r w:rsidRPr="00C3671B">
        <w:rPr>
          <w:rFonts w:cs="Arial"/>
          <w:i/>
        </w:rPr>
        <w:t>)(</w:t>
      </w:r>
      <w:proofErr w:type="gramEnd"/>
      <w:r w:rsidRPr="00C3671B">
        <w:rPr>
          <w:rFonts w:cs="Arial"/>
          <w:i/>
        </w:rPr>
        <w:t xml:space="preserve">b) of the Legal Practitioners Ordinance should be amended </w:t>
      </w:r>
      <w:r w:rsidR="00A869EB" w:rsidRPr="00C3671B">
        <w:rPr>
          <w:rFonts w:cs="Arial"/>
          <w:i/>
        </w:rPr>
        <w:t>such that</w:t>
      </w:r>
      <w:r w:rsidRPr="00C3671B">
        <w:rPr>
          <w:rFonts w:cs="Arial"/>
          <w:i/>
        </w:rPr>
        <w:t xml:space="preserve"> CFAs, DBAs and Hybrid DBAs for Arbitration </w:t>
      </w:r>
      <w:r w:rsidR="00A869EB" w:rsidRPr="00C3671B">
        <w:rPr>
          <w:rFonts w:cs="Arial"/>
          <w:i/>
        </w:rPr>
        <w:t xml:space="preserve">would </w:t>
      </w:r>
      <w:r w:rsidR="00ED3477" w:rsidRPr="00C3671B">
        <w:rPr>
          <w:rFonts w:cs="Arial"/>
          <w:i/>
        </w:rPr>
        <w:t xml:space="preserve">be </w:t>
      </w:r>
      <w:r w:rsidR="00A869EB" w:rsidRPr="00C3671B">
        <w:rPr>
          <w:rFonts w:cs="Arial"/>
          <w:i/>
        </w:rPr>
        <w:t xml:space="preserve">valid </w:t>
      </w:r>
      <w:r w:rsidRPr="00C3671B">
        <w:rPr>
          <w:rFonts w:cs="Arial"/>
          <w:i/>
        </w:rPr>
        <w:t>under Hong Kong law.</w:t>
      </w:r>
      <w:r w:rsidR="007E3C0F" w:rsidRPr="00C3671B">
        <w:rPr>
          <w:rStyle w:val="FootnoteReference"/>
          <w:rFonts w:cs="Arial"/>
          <w:sz w:val="24"/>
        </w:rPr>
        <w:footnoteReference w:id="21"/>
      </w:r>
      <w:r w:rsidRPr="00C3671B">
        <w:rPr>
          <w:rFonts w:cs="Arial"/>
          <w:i/>
        </w:rPr>
        <w:t xml:space="preserve"> </w:t>
      </w:r>
    </w:p>
    <w:p w14:paraId="4AA7FB44" w14:textId="77777777" w:rsidR="003C2341" w:rsidRPr="00C3671B" w:rsidRDefault="003C2341" w:rsidP="003C2341">
      <w:pPr>
        <w:widowControl/>
        <w:tabs>
          <w:tab w:val="clear" w:pos="1418"/>
        </w:tabs>
        <w:adjustRightInd/>
        <w:ind w:left="720" w:right="720"/>
        <w:rPr>
          <w:rFonts w:cs="Arial"/>
          <w:i/>
        </w:rPr>
      </w:pPr>
    </w:p>
    <w:p w14:paraId="295F44DC" w14:textId="2A1918E7" w:rsidR="003C2341" w:rsidRPr="00C3671B" w:rsidRDefault="003C2341" w:rsidP="00F4024F">
      <w:pPr>
        <w:pStyle w:val="ListParagraph"/>
        <w:widowControl/>
        <w:numPr>
          <w:ilvl w:val="0"/>
          <w:numId w:val="12"/>
        </w:numPr>
        <w:tabs>
          <w:tab w:val="clear" w:pos="1418"/>
        </w:tabs>
        <w:adjustRightInd/>
        <w:ind w:left="1418" w:right="720" w:hanging="709"/>
        <w:rPr>
          <w:rFonts w:cs="Arial"/>
          <w:i/>
        </w:rPr>
      </w:pPr>
      <w:r w:rsidRPr="00C3671B">
        <w:rPr>
          <w:rFonts w:cs="Arial"/>
          <w:i/>
        </w:rPr>
        <w:t>Part 10A of the Arbitration Ordinance should be amended, and a new Part 10B added,</w:t>
      </w:r>
      <w:r w:rsidR="00A869EB" w:rsidRPr="00C3671B">
        <w:rPr>
          <w:rFonts w:cs="Arial"/>
          <w:i/>
        </w:rPr>
        <w:t xml:space="preserve"> such that</w:t>
      </w:r>
      <w:r w:rsidRPr="00C3671B">
        <w:rPr>
          <w:rFonts w:cs="Arial"/>
          <w:i/>
        </w:rPr>
        <w:t xml:space="preserve"> CFAs, DBAs and Hybrid DBAs for Arbitration </w:t>
      </w:r>
      <w:r w:rsidR="00A869EB" w:rsidRPr="00C3671B">
        <w:rPr>
          <w:rFonts w:cs="Arial"/>
          <w:i/>
        </w:rPr>
        <w:t xml:space="preserve">would be valid </w:t>
      </w:r>
      <w:r w:rsidRPr="00C3671B">
        <w:rPr>
          <w:rFonts w:cs="Arial"/>
          <w:i/>
        </w:rPr>
        <w:t>under Hong Kong law.</w:t>
      </w:r>
      <w:r w:rsidR="007E3C0F" w:rsidRPr="00C3671B">
        <w:rPr>
          <w:rStyle w:val="FootnoteReference"/>
          <w:rFonts w:cs="Arial"/>
          <w:sz w:val="24"/>
        </w:rPr>
        <w:footnoteReference w:id="22"/>
      </w:r>
      <w:r w:rsidRPr="00C3671B">
        <w:rPr>
          <w:rFonts w:cs="Arial"/>
          <w:i/>
        </w:rPr>
        <w:t xml:space="preserve"> </w:t>
      </w:r>
    </w:p>
    <w:p w14:paraId="46E167A4" w14:textId="77777777" w:rsidR="003C2341" w:rsidRPr="00C3671B" w:rsidRDefault="003C2341" w:rsidP="003C2341">
      <w:pPr>
        <w:widowControl/>
        <w:tabs>
          <w:tab w:val="clear" w:pos="1418"/>
        </w:tabs>
        <w:adjustRightInd/>
        <w:ind w:left="720" w:right="720"/>
        <w:rPr>
          <w:rFonts w:cs="Arial"/>
          <w:i/>
        </w:rPr>
      </w:pPr>
    </w:p>
    <w:p w14:paraId="0C575450" w14:textId="0542368F" w:rsidR="00926741" w:rsidRPr="00C3671B" w:rsidRDefault="003C2341" w:rsidP="00F4024F">
      <w:pPr>
        <w:pStyle w:val="ListParagraph"/>
        <w:widowControl/>
        <w:numPr>
          <w:ilvl w:val="0"/>
          <w:numId w:val="12"/>
        </w:numPr>
        <w:tabs>
          <w:tab w:val="clear" w:pos="1418"/>
        </w:tabs>
        <w:adjustRightInd/>
        <w:ind w:left="1418" w:right="720" w:hanging="709"/>
        <w:rPr>
          <w:rFonts w:cs="Arial"/>
          <w:i/>
        </w:rPr>
      </w:pPr>
      <w:r w:rsidRPr="00C3671B">
        <w:rPr>
          <w:rFonts w:cs="Arial"/>
          <w:i/>
        </w:rPr>
        <w:t>The Hong Kong Solicitors</w:t>
      </w:r>
      <w:r w:rsidR="006B0C50" w:rsidRPr="00C3671B">
        <w:rPr>
          <w:rFonts w:cs="Arial"/>
          <w:i/>
        </w:rPr>
        <w:t>'</w:t>
      </w:r>
      <w:r w:rsidRPr="00C3671B">
        <w:rPr>
          <w:rFonts w:cs="Arial"/>
          <w:i/>
        </w:rPr>
        <w:t xml:space="preserve"> Guide to Professional Conduct should be amended to permit solicitors to enter into ORFSs for Arbitration.</w:t>
      </w:r>
    </w:p>
    <w:p w14:paraId="50218364" w14:textId="77777777" w:rsidR="00926741" w:rsidRPr="00C3671B" w:rsidRDefault="00926741" w:rsidP="00926741">
      <w:pPr>
        <w:pStyle w:val="ListParagraph"/>
        <w:rPr>
          <w:rFonts w:cs="Arial"/>
          <w:i/>
        </w:rPr>
      </w:pPr>
    </w:p>
    <w:p w14:paraId="6578AD82" w14:textId="56C48D6E" w:rsidR="003C2341" w:rsidRPr="00C3671B" w:rsidRDefault="00926741" w:rsidP="00F4024F">
      <w:pPr>
        <w:pStyle w:val="ListParagraph"/>
        <w:widowControl/>
        <w:numPr>
          <w:ilvl w:val="0"/>
          <w:numId w:val="12"/>
        </w:numPr>
        <w:tabs>
          <w:tab w:val="clear" w:pos="1418"/>
        </w:tabs>
        <w:adjustRightInd/>
        <w:ind w:left="1418" w:right="720" w:hanging="709"/>
        <w:rPr>
          <w:rFonts w:cs="Arial"/>
          <w:i/>
        </w:rPr>
      </w:pPr>
      <w:r w:rsidRPr="00C3671B">
        <w:rPr>
          <w:rFonts w:cs="Arial"/>
          <w:i/>
        </w:rPr>
        <w:t>The HKBA</w:t>
      </w:r>
      <w:r w:rsidR="006B0C50" w:rsidRPr="00C3671B">
        <w:rPr>
          <w:rFonts w:cs="Arial"/>
          <w:i/>
        </w:rPr>
        <w:t>'</w:t>
      </w:r>
      <w:r w:rsidRPr="00C3671B">
        <w:rPr>
          <w:rFonts w:cs="Arial"/>
          <w:i/>
        </w:rPr>
        <w:t>s Code of Conduct should be amended so that barristers may enter into ORFSs for Arbitration, and may also decline instructions involving ORFSs for Arbitration.</w:t>
      </w:r>
      <w:r w:rsidR="006B0C50" w:rsidRPr="00C3671B">
        <w:rPr>
          <w:rFonts w:cs="Arial"/>
          <w:i/>
        </w:rPr>
        <w:t>"</w:t>
      </w:r>
    </w:p>
    <w:p w14:paraId="7E991423" w14:textId="397D6E9F" w:rsidR="003C2341" w:rsidRPr="00C3671B" w:rsidRDefault="003C2341" w:rsidP="00280E3A"/>
    <w:p w14:paraId="1C09A866" w14:textId="77777777" w:rsidR="00695382" w:rsidRPr="00C3671B" w:rsidRDefault="00695382" w:rsidP="00280E3A"/>
    <w:p w14:paraId="1CFDE0CB" w14:textId="2861867E" w:rsidR="003C2341" w:rsidRPr="00C3671B" w:rsidRDefault="003C2341" w:rsidP="00280E3A">
      <w:pPr>
        <w:widowControl/>
        <w:tabs>
          <w:tab w:val="clear" w:pos="1418"/>
          <w:tab w:val="left" w:pos="1665"/>
        </w:tabs>
        <w:adjustRightInd/>
        <w:rPr>
          <w:rFonts w:cs="Arial"/>
          <w:b/>
          <w:sz w:val="28"/>
        </w:rPr>
      </w:pPr>
      <w:r w:rsidRPr="00C3671B">
        <w:rPr>
          <w:rFonts w:cs="Arial"/>
          <w:b/>
          <w:sz w:val="28"/>
        </w:rPr>
        <w:t>Chapter 13: Form of regulation</w:t>
      </w:r>
    </w:p>
    <w:p w14:paraId="52A598B2" w14:textId="77777777" w:rsidR="003C2341" w:rsidRPr="00C3671B" w:rsidRDefault="003C2341" w:rsidP="00280E3A"/>
    <w:p w14:paraId="79F14AE1" w14:textId="70A0A67B" w:rsidR="00D65DA2" w:rsidRPr="00C3671B" w:rsidRDefault="00954B80" w:rsidP="00280E3A">
      <w:r w:rsidRPr="00C3671B">
        <w:t>2</w:t>
      </w:r>
      <w:r w:rsidR="00DE1CF6" w:rsidRPr="00C3671B">
        <w:t>9</w:t>
      </w:r>
      <w:r w:rsidR="003C2341" w:rsidRPr="00C3671B">
        <w:t>.</w:t>
      </w:r>
      <w:r w:rsidR="003C2341" w:rsidRPr="00C3671B">
        <w:tab/>
        <w:t xml:space="preserve">Recommendation 12 in the CP recommends that the more detailed regulatory framework should be set out in subsidiary legislation which, like the legislative amendments referred to in Recommendation 11, should be simple and clear to avoid frivolous technical challenges.  Client-care provisions should also be set out in professional codes of conduct so that trivial breaches can be dealt with expeditiously by the professional bodies.  A </w:t>
      </w:r>
      <w:r w:rsidR="003C2341" w:rsidRPr="00C3671B">
        <w:lastRenderedPageBreak/>
        <w:t xml:space="preserve">number of Respondents who commented on Recommendation 12 favoured the more detailed regulatory framework being set out in subsidiary legislation.    In our view, this strikes the right balance between providing flexibility to review and adjust applicable safeguards (including caps), and ensuring that the legislative amendments are easy to find, clear to understand and have </w:t>
      </w:r>
      <w:r w:rsidR="006B0C50" w:rsidRPr="00C3671B">
        <w:t>"</w:t>
      </w:r>
      <w:r w:rsidR="003C2341" w:rsidRPr="00C3671B">
        <w:t>teeth</w:t>
      </w:r>
      <w:r w:rsidR="006B0C50" w:rsidRPr="00C3671B">
        <w:t>"</w:t>
      </w:r>
      <w:r w:rsidR="003C2341" w:rsidRPr="00C3671B">
        <w:t>.  This also addresses, as far as possible, the HKBA</w:t>
      </w:r>
      <w:r w:rsidR="006B0C50" w:rsidRPr="00C3671B">
        <w:t>'</w:t>
      </w:r>
      <w:r w:rsidR="003C2341" w:rsidRPr="00C3671B">
        <w:t xml:space="preserve">s concerns that the safeguards should extend to any Lawyer qualified to practise law, and/or regulated, outside Hong Kong.  </w:t>
      </w:r>
    </w:p>
    <w:p w14:paraId="2C79146F" w14:textId="77777777" w:rsidR="00D65DA2" w:rsidRPr="00C3671B" w:rsidRDefault="00D65DA2" w:rsidP="00280E3A"/>
    <w:p w14:paraId="7BCBE48D" w14:textId="2F3C840C" w:rsidR="003C2341" w:rsidRPr="00C3671B" w:rsidRDefault="00DE1CF6" w:rsidP="00562F1A">
      <w:pPr>
        <w:keepNext/>
        <w:keepLines/>
      </w:pPr>
      <w:r w:rsidRPr="00C3671B">
        <w:t>30</w:t>
      </w:r>
      <w:r w:rsidR="00D65DA2" w:rsidRPr="00C3671B">
        <w:t>.</w:t>
      </w:r>
      <w:r w:rsidR="00D65DA2" w:rsidRPr="00C3671B">
        <w:tab/>
      </w:r>
      <w:r w:rsidR="003C2341" w:rsidRPr="00C3671B">
        <w:t>We therefore recommend retaining Recommendation 12</w:t>
      </w:r>
      <w:r w:rsidR="00D65DA2" w:rsidRPr="00C3671B">
        <w:t xml:space="preserve"> (with some modifications)</w:t>
      </w:r>
      <w:r w:rsidR="003C2341" w:rsidRPr="00C3671B">
        <w:t xml:space="preserve"> in the CP as our </w:t>
      </w:r>
      <w:r w:rsidR="003C2341" w:rsidRPr="00C3671B">
        <w:rPr>
          <w:b/>
        </w:rPr>
        <w:t>Final Recommendation 12</w:t>
      </w:r>
      <w:r w:rsidR="00760250" w:rsidRPr="00C3671B">
        <w:rPr>
          <w:b/>
        </w:rPr>
        <w:t xml:space="preserve"> </w:t>
      </w:r>
      <w:r w:rsidR="00760250" w:rsidRPr="00C3671B">
        <w:rPr>
          <w:lang w:val="en-US"/>
        </w:rPr>
        <w:t>as follows</w:t>
      </w:r>
      <w:r w:rsidR="003C2341" w:rsidRPr="00C3671B">
        <w:t>:</w:t>
      </w:r>
    </w:p>
    <w:p w14:paraId="49DE1461" w14:textId="4F74117F" w:rsidR="003C2341" w:rsidRPr="00C3671B" w:rsidRDefault="003C2341" w:rsidP="00562F1A">
      <w:pPr>
        <w:keepNext/>
        <w:keepLines/>
      </w:pPr>
    </w:p>
    <w:p w14:paraId="65EEA08E" w14:textId="5495FA92" w:rsidR="003C2341" w:rsidRPr="00C3671B" w:rsidRDefault="006B0C50" w:rsidP="00562F1A">
      <w:pPr>
        <w:keepNext/>
        <w:keepLines/>
        <w:widowControl/>
        <w:tabs>
          <w:tab w:val="clear" w:pos="1418"/>
        </w:tabs>
        <w:adjustRightInd/>
        <w:ind w:left="720" w:right="720"/>
        <w:rPr>
          <w:rFonts w:cs="Arial"/>
          <w:i/>
          <w:lang w:val="en-US"/>
        </w:rPr>
      </w:pPr>
      <w:r w:rsidRPr="00C3671B">
        <w:rPr>
          <w:rFonts w:cs="Arial"/>
          <w:i/>
          <w:lang w:val="en-US"/>
        </w:rPr>
        <w:t>"</w:t>
      </w:r>
      <w:r w:rsidR="003C2341" w:rsidRPr="00C3671B">
        <w:rPr>
          <w:rFonts w:cs="Arial"/>
          <w:i/>
          <w:lang w:val="en-US"/>
        </w:rPr>
        <w:t>We recommend that:</w:t>
      </w:r>
    </w:p>
    <w:p w14:paraId="0E9242B4" w14:textId="77777777" w:rsidR="003C2341" w:rsidRPr="00C3671B" w:rsidRDefault="003C2341" w:rsidP="00562F1A">
      <w:pPr>
        <w:keepNext/>
        <w:keepLines/>
        <w:widowControl/>
        <w:tabs>
          <w:tab w:val="clear" w:pos="1418"/>
        </w:tabs>
        <w:adjustRightInd/>
        <w:ind w:left="720" w:right="720"/>
        <w:rPr>
          <w:rFonts w:cs="Arial"/>
          <w:i/>
          <w:lang w:val="en-US"/>
        </w:rPr>
      </w:pPr>
    </w:p>
    <w:p w14:paraId="1C15A213" w14:textId="2C69194A" w:rsidR="003C2341" w:rsidRPr="00C3671B" w:rsidRDefault="003C2341" w:rsidP="00F4024F">
      <w:pPr>
        <w:pStyle w:val="ListParagraph"/>
        <w:widowControl/>
        <w:numPr>
          <w:ilvl w:val="0"/>
          <w:numId w:val="13"/>
        </w:numPr>
        <w:tabs>
          <w:tab w:val="clear" w:pos="1418"/>
        </w:tabs>
        <w:adjustRightInd/>
        <w:ind w:left="1418" w:right="720" w:hanging="709"/>
        <w:rPr>
          <w:rFonts w:cs="Arial"/>
          <w:i/>
          <w:lang w:val="en-US"/>
        </w:rPr>
      </w:pPr>
      <w:r w:rsidRPr="00C3671B">
        <w:rPr>
          <w:rFonts w:cs="Arial"/>
          <w:i/>
          <w:lang w:val="en-US"/>
        </w:rPr>
        <w:t xml:space="preserve">the more detailed regulatory framework should be set out in subsidiary legislation which, like the legislative amendments referred to in Final Recommendation 11, should be </w:t>
      </w:r>
      <w:r w:rsidR="00A869EB" w:rsidRPr="00C3671B">
        <w:rPr>
          <w:rFonts w:cs="Arial"/>
          <w:i/>
          <w:lang w:val="en-US"/>
        </w:rPr>
        <w:t xml:space="preserve">as </w:t>
      </w:r>
      <w:r w:rsidRPr="00C3671B">
        <w:rPr>
          <w:rFonts w:cs="Arial"/>
          <w:i/>
          <w:lang w:val="en-US"/>
        </w:rPr>
        <w:t xml:space="preserve">simple and clear </w:t>
      </w:r>
      <w:r w:rsidR="00A869EB" w:rsidRPr="00C3671B">
        <w:rPr>
          <w:rFonts w:cs="Arial"/>
          <w:i/>
          <w:lang w:val="en-US"/>
        </w:rPr>
        <w:t xml:space="preserve">as possible </w:t>
      </w:r>
      <w:r w:rsidRPr="00C3671B">
        <w:rPr>
          <w:rFonts w:cs="Arial"/>
          <w:i/>
          <w:lang w:val="en-US"/>
        </w:rPr>
        <w:t xml:space="preserve">to avoid frivolous technical challenges; and </w:t>
      </w:r>
    </w:p>
    <w:p w14:paraId="04F76C9A" w14:textId="77777777" w:rsidR="003C2341" w:rsidRPr="00C3671B" w:rsidRDefault="003C2341" w:rsidP="00280E3A">
      <w:pPr>
        <w:rPr>
          <w:lang w:val="en-US"/>
        </w:rPr>
      </w:pPr>
    </w:p>
    <w:p w14:paraId="32D008FC" w14:textId="4A75E5FC" w:rsidR="003C2341" w:rsidRPr="00C3671B" w:rsidRDefault="003C2341" w:rsidP="00F4024F">
      <w:pPr>
        <w:pStyle w:val="ListParagraph"/>
        <w:widowControl/>
        <w:numPr>
          <w:ilvl w:val="0"/>
          <w:numId w:val="13"/>
        </w:numPr>
        <w:tabs>
          <w:tab w:val="clear" w:pos="1418"/>
        </w:tabs>
        <w:adjustRightInd/>
        <w:ind w:left="1418" w:right="720" w:hanging="709"/>
        <w:rPr>
          <w:rFonts w:cs="Arial"/>
          <w:i/>
        </w:rPr>
      </w:pPr>
      <w:proofErr w:type="gramStart"/>
      <w:r w:rsidRPr="00C3671B">
        <w:rPr>
          <w:rFonts w:cs="Arial"/>
          <w:i/>
          <w:lang w:val="en-US"/>
        </w:rPr>
        <w:t>further</w:t>
      </w:r>
      <w:proofErr w:type="gramEnd"/>
      <w:r w:rsidRPr="00C3671B">
        <w:rPr>
          <w:rFonts w:cs="Arial"/>
          <w:i/>
          <w:lang w:val="en-US"/>
        </w:rPr>
        <w:t xml:space="preserve"> client-care provisions (to the extent these are required) could also be set out in professional codes of conduct so that trivial breaches can be dealt with expeditiously by the professional bodies.</w:t>
      </w:r>
      <w:r w:rsidR="006B0C50" w:rsidRPr="00C3671B">
        <w:rPr>
          <w:rFonts w:cs="Arial"/>
          <w:i/>
          <w:lang w:val="en-US"/>
        </w:rPr>
        <w:t>"</w:t>
      </w:r>
    </w:p>
    <w:p w14:paraId="42CBE982" w14:textId="1A88B9C9" w:rsidR="003C2341" w:rsidRPr="00C3671B" w:rsidRDefault="003C2341" w:rsidP="001C1B35"/>
    <w:p w14:paraId="0A4C02B4" w14:textId="77777777" w:rsidR="00280E3A" w:rsidRPr="00C3671B" w:rsidRDefault="00280E3A" w:rsidP="001C1B35"/>
    <w:p w14:paraId="584E2BF6" w14:textId="230CA6E2" w:rsidR="003C2341" w:rsidRPr="00C3671B" w:rsidRDefault="003C2341" w:rsidP="00280E3A">
      <w:pPr>
        <w:widowControl/>
        <w:tabs>
          <w:tab w:val="clear" w:pos="1418"/>
          <w:tab w:val="left" w:pos="1545"/>
        </w:tabs>
        <w:adjustRightInd/>
        <w:rPr>
          <w:rFonts w:cs="Arial"/>
          <w:b/>
          <w:sz w:val="28"/>
        </w:rPr>
      </w:pPr>
      <w:r w:rsidRPr="00C3671B">
        <w:rPr>
          <w:rFonts w:cs="Arial"/>
          <w:b/>
          <w:sz w:val="28"/>
        </w:rPr>
        <w:t>Chapter 14:</w:t>
      </w:r>
      <w:r w:rsidRPr="00C3671B">
        <w:rPr>
          <w:rFonts w:cs="Arial"/>
          <w:sz w:val="28"/>
        </w:rPr>
        <w:t xml:space="preserve"> </w:t>
      </w:r>
      <w:r w:rsidR="00F75373" w:rsidRPr="00C3671B">
        <w:rPr>
          <w:rFonts w:cs="Arial"/>
          <w:b/>
          <w:sz w:val="28"/>
        </w:rPr>
        <w:t>S</w:t>
      </w:r>
      <w:r w:rsidRPr="00C3671B">
        <w:rPr>
          <w:rFonts w:cs="Arial"/>
          <w:b/>
          <w:sz w:val="28"/>
        </w:rPr>
        <w:t>pecific safeguards and other matters relating to ORFSs</w:t>
      </w:r>
    </w:p>
    <w:p w14:paraId="7CE7E957" w14:textId="2EC42ACC" w:rsidR="003C2341" w:rsidRPr="00C3671B" w:rsidRDefault="003C2341" w:rsidP="00280E3A"/>
    <w:p w14:paraId="36AA9F90" w14:textId="65C08F48" w:rsidR="006A4F0F" w:rsidRPr="00C3671B" w:rsidRDefault="006A4F0F" w:rsidP="00562F1A">
      <w:pPr>
        <w:widowControl/>
        <w:tabs>
          <w:tab w:val="clear" w:pos="1418"/>
          <w:tab w:val="left" w:pos="1545"/>
        </w:tabs>
        <w:adjustRightInd/>
        <w:rPr>
          <w:rFonts w:cs="Arial"/>
          <w:b/>
          <w:i/>
        </w:rPr>
      </w:pPr>
      <w:r w:rsidRPr="00C3671B">
        <w:rPr>
          <w:rFonts w:cs="Arial"/>
          <w:b/>
          <w:i/>
        </w:rPr>
        <w:t>Safeguards</w:t>
      </w:r>
    </w:p>
    <w:p w14:paraId="187E9425" w14:textId="77777777" w:rsidR="00562F1A" w:rsidRPr="00C3671B" w:rsidRDefault="00562F1A" w:rsidP="00280E3A"/>
    <w:p w14:paraId="3B23867B" w14:textId="7D168DD7" w:rsidR="003C2341" w:rsidRPr="00C3671B" w:rsidRDefault="00954B80" w:rsidP="00280E3A">
      <w:r w:rsidRPr="00C3671B">
        <w:t>3</w:t>
      </w:r>
      <w:r w:rsidR="00DE1CF6" w:rsidRPr="00C3671B">
        <w:t>1</w:t>
      </w:r>
      <w:r w:rsidR="003C2341" w:rsidRPr="00C3671B">
        <w:t>.</w:t>
      </w:r>
      <w:r w:rsidR="003C2341" w:rsidRPr="00C3671B">
        <w:tab/>
      </w:r>
      <w:r w:rsidR="006A4F0F" w:rsidRPr="00C3671B">
        <w:t>Recommendation 13(a) in the CP invites submission</w:t>
      </w:r>
      <w:r w:rsidR="00475607" w:rsidRPr="00C3671B">
        <w:t>s</w:t>
      </w:r>
      <w:r w:rsidR="006A4F0F" w:rsidRPr="00C3671B">
        <w:t xml:space="preserve"> on whether and how the professional codes of conduct and/or regulations should address what other safeguards are needed.  For example to:</w:t>
      </w:r>
    </w:p>
    <w:p w14:paraId="70412D54" w14:textId="6779FDC0" w:rsidR="006A4F0F" w:rsidRPr="00C3671B" w:rsidRDefault="006A4F0F" w:rsidP="00280E3A"/>
    <w:p w14:paraId="340F0576" w14:textId="6002810D" w:rsidR="006A4F0F" w:rsidRPr="00C3671B" w:rsidRDefault="006A4F0F" w:rsidP="00F4024F">
      <w:pPr>
        <w:pStyle w:val="ListParagraph"/>
        <w:widowControl/>
        <w:numPr>
          <w:ilvl w:val="0"/>
          <w:numId w:val="14"/>
        </w:numPr>
        <w:tabs>
          <w:tab w:val="clear" w:pos="1418"/>
          <w:tab w:val="left" w:pos="1440"/>
        </w:tabs>
        <w:ind w:left="1418" w:rightChars="271" w:right="650"/>
        <w:rPr>
          <w:rFonts w:cs="Arial"/>
        </w:rPr>
      </w:pPr>
      <w:r w:rsidRPr="00C3671B">
        <w:rPr>
          <w:rFonts w:cs="Arial"/>
        </w:rPr>
        <w:tab/>
        <w:t>be clear in what circumstances a Lawyer</w:t>
      </w:r>
      <w:r w:rsidR="006B0C50" w:rsidRPr="00C3671B">
        <w:rPr>
          <w:rFonts w:cs="Arial"/>
        </w:rPr>
        <w:t>'</w:t>
      </w:r>
      <w:r w:rsidRPr="00C3671B">
        <w:rPr>
          <w:rFonts w:cs="Arial"/>
        </w:rPr>
        <w:t xml:space="preserve">s fees and expenses, or part of them, will be payable; </w:t>
      </w:r>
    </w:p>
    <w:p w14:paraId="3F515FA0" w14:textId="77777777" w:rsidR="006A4F0F" w:rsidRPr="00C3671B" w:rsidRDefault="006A4F0F" w:rsidP="005D5F4B">
      <w:pPr>
        <w:pStyle w:val="ListParagraph"/>
        <w:widowControl/>
        <w:tabs>
          <w:tab w:val="clear" w:pos="1418"/>
          <w:tab w:val="left" w:pos="1440"/>
        </w:tabs>
        <w:ind w:left="1418" w:rightChars="271" w:right="650"/>
        <w:rPr>
          <w:rFonts w:cs="Arial"/>
        </w:rPr>
      </w:pPr>
    </w:p>
    <w:p w14:paraId="2FCE5C36" w14:textId="77777777" w:rsidR="006A4F0F" w:rsidRPr="00C3671B" w:rsidRDefault="006A4F0F" w:rsidP="00F4024F">
      <w:pPr>
        <w:pStyle w:val="ListParagraph"/>
        <w:widowControl/>
        <w:numPr>
          <w:ilvl w:val="0"/>
          <w:numId w:val="14"/>
        </w:numPr>
        <w:tabs>
          <w:tab w:val="clear" w:pos="1418"/>
          <w:tab w:val="left" w:pos="1440"/>
        </w:tabs>
        <w:ind w:left="1418" w:rightChars="271" w:right="650"/>
        <w:rPr>
          <w:rFonts w:cs="Arial"/>
        </w:rPr>
      </w:pPr>
      <w:r w:rsidRPr="00C3671B">
        <w:rPr>
          <w:rFonts w:cs="Arial"/>
        </w:rPr>
        <w:t xml:space="preserve">include a requirement under professional conduct obligations to give the client all relevant information relating to the ORFS that is being entered into, and to provide that information in a clear and accessible form; </w:t>
      </w:r>
    </w:p>
    <w:p w14:paraId="1AB44A5A" w14:textId="77777777" w:rsidR="006A4F0F" w:rsidRPr="00C3671B" w:rsidRDefault="006A4F0F" w:rsidP="006A4F0F">
      <w:pPr>
        <w:pStyle w:val="ListParagraph"/>
        <w:widowControl/>
        <w:tabs>
          <w:tab w:val="clear" w:pos="1418"/>
          <w:tab w:val="left" w:pos="1440"/>
        </w:tabs>
        <w:ind w:left="1418" w:rightChars="271" w:right="650"/>
        <w:rPr>
          <w:rFonts w:cs="Arial"/>
        </w:rPr>
      </w:pPr>
    </w:p>
    <w:p w14:paraId="11952428" w14:textId="77777777" w:rsidR="006A4F0F" w:rsidRPr="00C3671B" w:rsidRDefault="006A4F0F" w:rsidP="00F4024F">
      <w:pPr>
        <w:pStyle w:val="ListParagraph"/>
        <w:widowControl/>
        <w:numPr>
          <w:ilvl w:val="0"/>
          <w:numId w:val="14"/>
        </w:numPr>
        <w:tabs>
          <w:tab w:val="clear" w:pos="1418"/>
          <w:tab w:val="left" w:pos="1440"/>
        </w:tabs>
        <w:ind w:left="1418" w:rightChars="271" w:right="650"/>
        <w:rPr>
          <w:rFonts w:cs="Arial"/>
        </w:rPr>
      </w:pPr>
      <w:r w:rsidRPr="00C3671B">
        <w:rPr>
          <w:rFonts w:cs="Arial"/>
        </w:rPr>
        <w:t>require a claimant using CFAs or DBAs or Hybrid DBAs to notify the respondent and Tribunal of this fact;</w:t>
      </w:r>
    </w:p>
    <w:p w14:paraId="2198D49F" w14:textId="77777777" w:rsidR="006A4F0F" w:rsidRPr="00C3671B" w:rsidRDefault="006A4F0F" w:rsidP="006A4F0F">
      <w:pPr>
        <w:widowControl/>
        <w:tabs>
          <w:tab w:val="clear" w:pos="1418"/>
          <w:tab w:val="left" w:pos="1440"/>
        </w:tabs>
        <w:ind w:left="1418" w:rightChars="271" w:right="650"/>
        <w:rPr>
          <w:rFonts w:eastAsiaTheme="minorEastAsia" w:cs="Arial"/>
        </w:rPr>
      </w:pPr>
    </w:p>
    <w:p w14:paraId="52696860" w14:textId="77777777" w:rsidR="006A4F0F" w:rsidRPr="00C3671B" w:rsidRDefault="006A4F0F" w:rsidP="00F4024F">
      <w:pPr>
        <w:pStyle w:val="ListParagraph"/>
        <w:widowControl/>
        <w:numPr>
          <w:ilvl w:val="0"/>
          <w:numId w:val="14"/>
        </w:numPr>
        <w:tabs>
          <w:tab w:val="clear" w:pos="1418"/>
          <w:tab w:val="left" w:pos="1440"/>
        </w:tabs>
        <w:ind w:left="1418" w:rightChars="271" w:right="650"/>
        <w:rPr>
          <w:rFonts w:cs="Arial"/>
        </w:rPr>
      </w:pPr>
      <w:r w:rsidRPr="00C3671B">
        <w:rPr>
          <w:rFonts w:cs="Arial"/>
        </w:rPr>
        <w:t xml:space="preserve">inform clients of their right to take independent legal advice; and </w:t>
      </w:r>
    </w:p>
    <w:p w14:paraId="78FCC7C6" w14:textId="77777777" w:rsidR="006A4F0F" w:rsidRPr="00C3671B" w:rsidRDefault="006A4F0F" w:rsidP="006A4F0F">
      <w:pPr>
        <w:pStyle w:val="ListParagraph"/>
        <w:rPr>
          <w:rFonts w:cs="Arial"/>
        </w:rPr>
      </w:pPr>
    </w:p>
    <w:p w14:paraId="4E089AB9" w14:textId="5C851F92" w:rsidR="006A4F0F" w:rsidRPr="00C3671B" w:rsidRDefault="006A4F0F" w:rsidP="00F4024F">
      <w:pPr>
        <w:pStyle w:val="ListParagraph"/>
        <w:widowControl/>
        <w:numPr>
          <w:ilvl w:val="0"/>
          <w:numId w:val="14"/>
        </w:numPr>
        <w:tabs>
          <w:tab w:val="clear" w:pos="1418"/>
          <w:tab w:val="left" w:pos="1440"/>
        </w:tabs>
        <w:ind w:left="1418" w:rightChars="271" w:right="650"/>
        <w:rPr>
          <w:rFonts w:cs="Arial"/>
        </w:rPr>
      </w:pPr>
      <w:proofErr w:type="gramStart"/>
      <w:r w:rsidRPr="00C3671B">
        <w:rPr>
          <w:rFonts w:cs="Arial"/>
        </w:rPr>
        <w:t>be</w:t>
      </w:r>
      <w:proofErr w:type="gramEnd"/>
      <w:r w:rsidRPr="00C3671B">
        <w:rPr>
          <w:rFonts w:cs="Arial"/>
        </w:rPr>
        <w:t xml:space="preserve"> subject to a </w:t>
      </w:r>
      <w:r w:rsidR="006B0C50" w:rsidRPr="00C3671B">
        <w:rPr>
          <w:rFonts w:cs="Arial"/>
        </w:rPr>
        <w:t>"</w:t>
      </w:r>
      <w:r w:rsidRPr="00C3671B">
        <w:rPr>
          <w:rFonts w:cs="Arial"/>
        </w:rPr>
        <w:t>cooling-off</w:t>
      </w:r>
      <w:r w:rsidR="006B0C50" w:rsidRPr="00C3671B">
        <w:rPr>
          <w:rFonts w:cs="Arial"/>
        </w:rPr>
        <w:t>"</w:t>
      </w:r>
      <w:r w:rsidRPr="00C3671B">
        <w:rPr>
          <w:rFonts w:cs="Arial"/>
        </w:rPr>
        <w:t xml:space="preserve"> period.</w:t>
      </w:r>
    </w:p>
    <w:p w14:paraId="1DB911A9" w14:textId="77777777" w:rsidR="006A4F0F" w:rsidRPr="00C3671B" w:rsidRDefault="006A4F0F" w:rsidP="006A4F0F">
      <w:pPr>
        <w:pStyle w:val="ListParagraph"/>
        <w:rPr>
          <w:rFonts w:cs="Arial"/>
          <w:i/>
        </w:rPr>
      </w:pPr>
    </w:p>
    <w:p w14:paraId="2D12E6C4" w14:textId="1F68EB5A" w:rsidR="006A4F0F" w:rsidRPr="00C3671B" w:rsidRDefault="00954B80" w:rsidP="00452F7B">
      <w:pPr>
        <w:widowControl/>
        <w:tabs>
          <w:tab w:val="clear" w:pos="1418"/>
          <w:tab w:val="left" w:pos="1440"/>
        </w:tabs>
        <w:ind w:rightChars="10" w:right="24"/>
      </w:pPr>
      <w:r w:rsidRPr="00C3671B">
        <w:rPr>
          <w:rFonts w:cs="Arial"/>
        </w:rPr>
        <w:t>3</w:t>
      </w:r>
      <w:r w:rsidR="00DE1CF6" w:rsidRPr="00C3671B">
        <w:rPr>
          <w:rFonts w:cs="Arial"/>
        </w:rPr>
        <w:t>2</w:t>
      </w:r>
      <w:r w:rsidR="006A4F0F" w:rsidRPr="00C3671B">
        <w:rPr>
          <w:rFonts w:cs="Arial"/>
        </w:rPr>
        <w:t>.</w:t>
      </w:r>
      <w:r w:rsidR="006A4F0F" w:rsidRPr="00C3671B">
        <w:rPr>
          <w:rFonts w:cs="Arial"/>
        </w:rPr>
        <w:tab/>
        <w:t xml:space="preserve">Almost all Respondents who commented on Recommendation 13(a) agreed with </w:t>
      </w:r>
      <w:r w:rsidR="0060679C" w:rsidRPr="00C3671B">
        <w:rPr>
          <w:rFonts w:cs="Arial"/>
        </w:rPr>
        <w:t>the proposals made</w:t>
      </w:r>
      <w:r w:rsidR="006A4F0F" w:rsidRPr="00C3671B">
        <w:rPr>
          <w:rFonts w:cs="Arial"/>
        </w:rPr>
        <w:t xml:space="preserve">.  </w:t>
      </w:r>
      <w:r w:rsidR="006A4F0F" w:rsidRPr="00C3671B">
        <w:t>In terms of what precisely those safeguards should be, the majority of the Respondents who commented on Recommendation 13(a) agreed with the safeguards suggested</w:t>
      </w:r>
      <w:r w:rsidR="0028767A" w:rsidRPr="00C3671B">
        <w:t xml:space="preserve"> in the recommendation</w:t>
      </w:r>
      <w:r w:rsidR="006A4F0F" w:rsidRPr="00C3671B">
        <w:t>.  Opinions mainly differed only in respect of whether a client should be required to disclose an ORFS for Arbitration.</w:t>
      </w:r>
    </w:p>
    <w:p w14:paraId="2A30C646" w14:textId="4931B9F8" w:rsidR="006A4F0F" w:rsidRPr="00C3671B" w:rsidRDefault="006A4F0F" w:rsidP="006A4F0F">
      <w:pPr>
        <w:widowControl/>
        <w:tabs>
          <w:tab w:val="clear" w:pos="1418"/>
          <w:tab w:val="left" w:pos="1440"/>
        </w:tabs>
        <w:ind w:rightChars="271" w:right="650"/>
      </w:pPr>
    </w:p>
    <w:p w14:paraId="609D1040" w14:textId="4254F18C" w:rsidR="006A4F0F" w:rsidRPr="00C3671B" w:rsidRDefault="00954B80" w:rsidP="005B586D">
      <w:pPr>
        <w:widowControl/>
        <w:tabs>
          <w:tab w:val="clear" w:pos="1418"/>
          <w:tab w:val="left" w:pos="1545"/>
        </w:tabs>
        <w:adjustRightInd/>
        <w:rPr>
          <w:rFonts w:eastAsia="DengXian" w:cs="Arial"/>
          <w:lang w:eastAsia="zh-CN"/>
        </w:rPr>
      </w:pPr>
      <w:r w:rsidRPr="00C3671B">
        <w:t>3</w:t>
      </w:r>
      <w:r w:rsidR="00DE1CF6" w:rsidRPr="00C3671B">
        <w:t>3</w:t>
      </w:r>
      <w:r w:rsidR="006A4F0F" w:rsidRPr="00C3671B">
        <w:t>.</w:t>
      </w:r>
      <w:r w:rsidR="006A4F0F" w:rsidRPr="00C3671B">
        <w:tab/>
      </w:r>
      <w:r w:rsidR="0060679C" w:rsidRPr="00C3671B">
        <w:rPr>
          <w:rFonts w:cs="Arial"/>
        </w:rPr>
        <w:t>After considering the relevant discussion in the CP, all the responses, and Hong Kong</w:t>
      </w:r>
      <w:r w:rsidR="006B0C50" w:rsidRPr="00C3671B">
        <w:rPr>
          <w:rFonts w:cs="Arial"/>
        </w:rPr>
        <w:t>'</w:t>
      </w:r>
      <w:r w:rsidR="0060679C" w:rsidRPr="00C3671B">
        <w:rPr>
          <w:rFonts w:cs="Arial"/>
        </w:rPr>
        <w:t>s current legal framework and regulatory culture, we</w:t>
      </w:r>
      <w:r w:rsidR="006A4F0F" w:rsidRPr="00C3671B">
        <w:rPr>
          <w:rFonts w:cs="Arial"/>
        </w:rPr>
        <w:t xml:space="preserve"> make </w:t>
      </w:r>
      <w:r w:rsidR="00475607" w:rsidRPr="00C3671B">
        <w:rPr>
          <w:rFonts w:cs="Arial"/>
        </w:rPr>
        <w:t xml:space="preserve">the following </w:t>
      </w:r>
      <w:r w:rsidR="006A4F0F" w:rsidRPr="00C3671B">
        <w:rPr>
          <w:rFonts w:cs="Arial"/>
          <w:b/>
        </w:rPr>
        <w:t>Final Recommendation 13(a)</w:t>
      </w:r>
      <w:r w:rsidR="006A4F0F" w:rsidRPr="00C3671B">
        <w:rPr>
          <w:rFonts w:eastAsia="DengXian" w:cs="Arial"/>
          <w:lang w:eastAsia="zh-CN"/>
        </w:rPr>
        <w:t>:</w:t>
      </w:r>
    </w:p>
    <w:p w14:paraId="7218045A" w14:textId="244D0C86" w:rsidR="006A4F0F" w:rsidRPr="00C3671B" w:rsidRDefault="006A4F0F" w:rsidP="005B586D">
      <w:pPr>
        <w:rPr>
          <w:lang w:eastAsia="zh-CN"/>
        </w:rPr>
      </w:pPr>
    </w:p>
    <w:p w14:paraId="754B8270" w14:textId="2C184F2E" w:rsidR="006A4F0F" w:rsidRPr="00C3671B" w:rsidRDefault="006B0C50" w:rsidP="006A4F0F">
      <w:pPr>
        <w:widowControl/>
        <w:tabs>
          <w:tab w:val="clear" w:pos="1418"/>
        </w:tabs>
        <w:adjustRightInd/>
        <w:ind w:left="720" w:right="720"/>
        <w:rPr>
          <w:rFonts w:cs="Arial"/>
          <w:i/>
          <w:lang w:val="en-US"/>
        </w:rPr>
      </w:pPr>
      <w:r w:rsidRPr="00C3671B">
        <w:rPr>
          <w:rFonts w:cs="Arial"/>
          <w:i/>
          <w:lang w:val="en-US"/>
        </w:rPr>
        <w:t>"</w:t>
      </w:r>
      <w:r w:rsidR="006A4F0F" w:rsidRPr="00C3671B">
        <w:rPr>
          <w:rFonts w:cs="Arial"/>
          <w:i/>
          <w:lang w:val="en-US"/>
        </w:rPr>
        <w:t>We recommend that:</w:t>
      </w:r>
    </w:p>
    <w:p w14:paraId="6CD7F03B" w14:textId="77777777" w:rsidR="006A4F0F" w:rsidRPr="00C3671B" w:rsidRDefault="006A4F0F" w:rsidP="006A4F0F">
      <w:pPr>
        <w:widowControl/>
        <w:tabs>
          <w:tab w:val="clear" w:pos="1418"/>
        </w:tabs>
        <w:adjustRightInd/>
        <w:ind w:left="720" w:right="720"/>
        <w:rPr>
          <w:rFonts w:cs="Arial"/>
          <w:i/>
          <w:lang w:val="en-US"/>
        </w:rPr>
      </w:pPr>
    </w:p>
    <w:p w14:paraId="3327F6DA" w14:textId="77777777" w:rsidR="006A4F0F" w:rsidRPr="00C3671B" w:rsidRDefault="006A4F0F" w:rsidP="003B2326">
      <w:pPr>
        <w:widowControl/>
        <w:tabs>
          <w:tab w:val="clear" w:pos="1418"/>
        </w:tabs>
        <w:adjustRightInd/>
        <w:ind w:left="1440" w:right="720" w:hanging="720"/>
        <w:rPr>
          <w:rFonts w:cs="Arial"/>
          <w:i/>
          <w:lang w:val="en-US"/>
        </w:rPr>
      </w:pPr>
      <w:r w:rsidRPr="00C3671B">
        <w:rPr>
          <w:rFonts w:cs="Arial"/>
          <w:i/>
          <w:lang w:val="en-US"/>
        </w:rPr>
        <w:t>(a)</w:t>
      </w:r>
      <w:r w:rsidRPr="00C3671B">
        <w:rPr>
          <w:rFonts w:cs="Arial"/>
          <w:i/>
          <w:lang w:val="en-US"/>
        </w:rPr>
        <w:tab/>
        <w:t>The subsidiary legislation should include provisions for at least the following safeguards:</w:t>
      </w:r>
    </w:p>
    <w:p w14:paraId="1F35E6EF" w14:textId="77777777" w:rsidR="006A4F0F" w:rsidRPr="00C3671B" w:rsidRDefault="006A4F0F" w:rsidP="006A4F0F">
      <w:pPr>
        <w:widowControl/>
        <w:tabs>
          <w:tab w:val="clear" w:pos="1418"/>
        </w:tabs>
        <w:adjustRightInd/>
        <w:ind w:left="720" w:right="720"/>
        <w:rPr>
          <w:rFonts w:cs="Arial"/>
          <w:i/>
          <w:lang w:val="en-US"/>
        </w:rPr>
      </w:pPr>
    </w:p>
    <w:p w14:paraId="71E91B37" w14:textId="60D08A35" w:rsidR="006A4F0F" w:rsidRPr="00C3671B" w:rsidRDefault="006A4F0F" w:rsidP="00A9686D">
      <w:pPr>
        <w:pStyle w:val="ListParagraph"/>
        <w:widowControl/>
        <w:tabs>
          <w:tab w:val="clear" w:pos="1418"/>
        </w:tabs>
        <w:adjustRightInd/>
        <w:ind w:left="2070" w:right="720" w:hanging="720"/>
        <w:rPr>
          <w:rFonts w:cs="Arial"/>
          <w:i/>
          <w:lang w:val="en-US"/>
        </w:rPr>
      </w:pPr>
      <w:r w:rsidRPr="00C3671B">
        <w:rPr>
          <w:rFonts w:cs="Arial"/>
          <w:i/>
          <w:lang w:val="en-US"/>
        </w:rPr>
        <w:t>(</w:t>
      </w:r>
      <w:proofErr w:type="spellStart"/>
      <w:r w:rsidRPr="00C3671B">
        <w:rPr>
          <w:rFonts w:cs="Arial"/>
          <w:i/>
          <w:lang w:val="en-US"/>
        </w:rPr>
        <w:t>i</w:t>
      </w:r>
      <w:proofErr w:type="spellEnd"/>
      <w:r w:rsidRPr="00C3671B">
        <w:rPr>
          <w:rFonts w:cs="Arial"/>
          <w:i/>
          <w:lang w:val="en-US"/>
        </w:rPr>
        <w:t>)</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ORFS must be in writing and signed by the client;</w:t>
      </w:r>
      <w:r w:rsidR="00A9686D" w:rsidRPr="00C3671B">
        <w:rPr>
          <w:rStyle w:val="FootnoteReference"/>
          <w:rFonts w:cs="Arial"/>
          <w:sz w:val="24"/>
        </w:rPr>
        <w:footnoteReference w:id="23"/>
      </w:r>
      <w:r w:rsidRPr="00C3671B">
        <w:rPr>
          <w:rFonts w:cs="Arial"/>
          <w:i/>
          <w:lang w:val="en-US"/>
        </w:rPr>
        <w:t xml:space="preserve"> </w:t>
      </w:r>
    </w:p>
    <w:p w14:paraId="16C5F642" w14:textId="77777777" w:rsidR="006A4F0F" w:rsidRPr="00C3671B" w:rsidRDefault="006A4F0F" w:rsidP="006A4F0F">
      <w:pPr>
        <w:widowControl/>
        <w:tabs>
          <w:tab w:val="clear" w:pos="1418"/>
        </w:tabs>
        <w:adjustRightInd/>
        <w:ind w:left="720" w:right="720"/>
        <w:rPr>
          <w:rFonts w:cs="Arial"/>
          <w:i/>
          <w:lang w:val="en-US"/>
        </w:rPr>
      </w:pPr>
    </w:p>
    <w:p w14:paraId="4384FD65" w14:textId="2B9F8F7E" w:rsidR="006A4F0F" w:rsidRPr="00C3671B" w:rsidRDefault="006A4F0F" w:rsidP="003B2326">
      <w:pPr>
        <w:pStyle w:val="ListParagraph"/>
        <w:widowControl/>
        <w:tabs>
          <w:tab w:val="clear" w:pos="1418"/>
        </w:tabs>
        <w:adjustRightInd/>
        <w:ind w:left="2070" w:right="720" w:hanging="720"/>
        <w:rPr>
          <w:rFonts w:cs="Arial"/>
          <w:i/>
          <w:lang w:val="en-US"/>
        </w:rPr>
      </w:pPr>
      <w:r w:rsidRPr="00C3671B">
        <w:rPr>
          <w:rFonts w:cs="Arial"/>
          <w:i/>
          <w:lang w:val="en-US"/>
        </w:rPr>
        <w:t>(ii)</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Lawyer should give the client all relevant information relating to the ORFS that is being entered into, and should provide that information in a clear and accessible form;</w:t>
      </w:r>
      <w:r w:rsidR="00A9686D" w:rsidRPr="00C3671B">
        <w:rPr>
          <w:rStyle w:val="FootnoteReference"/>
          <w:rFonts w:cs="Arial"/>
          <w:sz w:val="24"/>
        </w:rPr>
        <w:footnoteReference w:id="24"/>
      </w:r>
      <w:r w:rsidRPr="00C3671B">
        <w:rPr>
          <w:rFonts w:cs="Arial"/>
          <w:i/>
          <w:lang w:val="en-US"/>
        </w:rPr>
        <w:t xml:space="preserve"> </w:t>
      </w:r>
    </w:p>
    <w:p w14:paraId="5FF9E71A" w14:textId="77777777" w:rsidR="006A4F0F" w:rsidRPr="00C3671B" w:rsidRDefault="006A4F0F" w:rsidP="006A4F0F">
      <w:pPr>
        <w:widowControl/>
        <w:tabs>
          <w:tab w:val="clear" w:pos="1418"/>
        </w:tabs>
        <w:adjustRightInd/>
        <w:ind w:left="720" w:right="720"/>
        <w:rPr>
          <w:rFonts w:cs="Arial"/>
          <w:i/>
          <w:lang w:val="en-US"/>
        </w:rPr>
      </w:pPr>
    </w:p>
    <w:p w14:paraId="1123C15E" w14:textId="06DE38C8" w:rsidR="006A4F0F" w:rsidRPr="00C3671B" w:rsidRDefault="006A4F0F" w:rsidP="003B2326">
      <w:pPr>
        <w:pStyle w:val="ListParagraph"/>
        <w:widowControl/>
        <w:tabs>
          <w:tab w:val="clear" w:pos="1418"/>
        </w:tabs>
        <w:adjustRightInd/>
        <w:ind w:left="2070" w:right="720" w:hanging="720"/>
        <w:rPr>
          <w:rFonts w:cs="Arial"/>
          <w:i/>
          <w:lang w:val="en-US"/>
        </w:rPr>
      </w:pPr>
      <w:r w:rsidRPr="00C3671B">
        <w:rPr>
          <w:rFonts w:cs="Arial"/>
          <w:i/>
          <w:lang w:val="en-US"/>
        </w:rPr>
        <w:t>(iii)</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Lawyer should inform clients of their right to take independent legal advice, and the ORFS should include a corresponding statement that the client has been informed of the right to seek such independent legal advice;</w:t>
      </w:r>
      <w:r w:rsidR="00A9686D" w:rsidRPr="00C3671B">
        <w:rPr>
          <w:rStyle w:val="FootnoteReference"/>
          <w:rFonts w:cs="Arial"/>
          <w:sz w:val="24"/>
        </w:rPr>
        <w:footnoteReference w:id="25"/>
      </w:r>
      <w:r w:rsidRPr="00C3671B">
        <w:rPr>
          <w:rFonts w:cs="Arial"/>
          <w:i/>
          <w:lang w:val="en-US"/>
        </w:rPr>
        <w:t xml:space="preserve">    </w:t>
      </w:r>
    </w:p>
    <w:p w14:paraId="23BDDC5C" w14:textId="77777777" w:rsidR="006A4F0F" w:rsidRPr="00C3671B" w:rsidRDefault="006A4F0F" w:rsidP="003B2326">
      <w:pPr>
        <w:pStyle w:val="ListParagraph"/>
        <w:widowControl/>
        <w:tabs>
          <w:tab w:val="clear" w:pos="1418"/>
        </w:tabs>
        <w:adjustRightInd/>
        <w:ind w:left="2070" w:right="720" w:hanging="720"/>
        <w:rPr>
          <w:rFonts w:cs="Arial"/>
          <w:i/>
          <w:lang w:val="en-US"/>
        </w:rPr>
      </w:pPr>
    </w:p>
    <w:p w14:paraId="45BB8B84" w14:textId="46FF5ADB" w:rsidR="006A4F0F" w:rsidRPr="00C3671B" w:rsidRDefault="006A4F0F" w:rsidP="003B2326">
      <w:pPr>
        <w:pStyle w:val="ListParagraph"/>
        <w:widowControl/>
        <w:tabs>
          <w:tab w:val="clear" w:pos="1418"/>
        </w:tabs>
        <w:adjustRightInd/>
        <w:ind w:left="2070" w:right="720" w:hanging="720"/>
        <w:rPr>
          <w:rFonts w:cs="Arial"/>
          <w:i/>
          <w:lang w:val="en-US"/>
        </w:rPr>
      </w:pPr>
      <w:r w:rsidRPr="00C3671B">
        <w:rPr>
          <w:rFonts w:cs="Arial"/>
          <w:i/>
          <w:lang w:val="en-US"/>
        </w:rPr>
        <w:t>(iv)</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ORFS should be subject to a min</w:t>
      </w:r>
      <w:r w:rsidR="0060679C" w:rsidRPr="00C3671B">
        <w:rPr>
          <w:rFonts w:cs="Arial"/>
          <w:i/>
          <w:lang w:val="en-US"/>
        </w:rPr>
        <w:t xml:space="preserve">imum </w:t>
      </w:r>
      <w:r w:rsidR="006B0C50" w:rsidRPr="00C3671B">
        <w:rPr>
          <w:rFonts w:cs="Arial"/>
          <w:i/>
          <w:lang w:val="en-US"/>
        </w:rPr>
        <w:t>'</w:t>
      </w:r>
      <w:r w:rsidR="0060679C" w:rsidRPr="00C3671B">
        <w:rPr>
          <w:rFonts w:cs="Arial"/>
          <w:i/>
          <w:lang w:val="en-US"/>
        </w:rPr>
        <w:t>cooling-off</w:t>
      </w:r>
      <w:r w:rsidR="006B0C50" w:rsidRPr="00C3671B">
        <w:rPr>
          <w:rFonts w:cs="Arial"/>
          <w:i/>
          <w:lang w:val="en-US"/>
        </w:rPr>
        <w:t>'</w:t>
      </w:r>
      <w:r w:rsidRPr="00C3671B">
        <w:rPr>
          <w:rFonts w:cs="Arial"/>
          <w:i/>
          <w:lang w:val="en-US"/>
        </w:rPr>
        <w:t xml:space="preserve"> period of seven days during which the client, by written notice, may terminate the ORFS;</w:t>
      </w:r>
      <w:r w:rsidR="00A9686D" w:rsidRPr="00C3671B">
        <w:rPr>
          <w:rStyle w:val="FootnoteReference"/>
          <w:rFonts w:cs="Arial"/>
          <w:sz w:val="24"/>
        </w:rPr>
        <w:footnoteReference w:id="26"/>
      </w:r>
      <w:r w:rsidRPr="00C3671B">
        <w:rPr>
          <w:rFonts w:cs="Arial"/>
          <w:i/>
          <w:lang w:val="en-US"/>
        </w:rPr>
        <w:t xml:space="preserve">  </w:t>
      </w:r>
    </w:p>
    <w:p w14:paraId="46E4157A" w14:textId="1EA4DE8C" w:rsidR="006A4F0F" w:rsidRPr="00C3671B" w:rsidRDefault="006A4F0F" w:rsidP="003B2326">
      <w:pPr>
        <w:pStyle w:val="ListParagraph"/>
        <w:widowControl/>
        <w:tabs>
          <w:tab w:val="clear" w:pos="1418"/>
        </w:tabs>
        <w:adjustRightInd/>
        <w:ind w:left="2070" w:right="720" w:hanging="720"/>
        <w:rPr>
          <w:rFonts w:cs="Arial"/>
          <w:lang w:val="en-US"/>
        </w:rPr>
      </w:pPr>
    </w:p>
    <w:p w14:paraId="3718D0F2" w14:textId="77777777" w:rsidR="006A4F0F" w:rsidRPr="00C3671B" w:rsidRDefault="006A4F0F" w:rsidP="003B2326">
      <w:pPr>
        <w:pStyle w:val="ListParagraph"/>
        <w:widowControl/>
        <w:tabs>
          <w:tab w:val="clear" w:pos="1418"/>
        </w:tabs>
        <w:adjustRightInd/>
        <w:ind w:left="2070" w:right="720" w:hanging="720"/>
        <w:rPr>
          <w:rFonts w:cs="Arial"/>
          <w:i/>
          <w:lang w:val="en-US"/>
        </w:rPr>
      </w:pPr>
      <w:r w:rsidRPr="00C3671B">
        <w:rPr>
          <w:rFonts w:cs="Arial"/>
          <w:i/>
          <w:lang w:val="en-US"/>
        </w:rPr>
        <w:t>(v)</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ORFS itself should state clearly:</w:t>
      </w:r>
    </w:p>
    <w:p w14:paraId="4E14B5C5" w14:textId="77777777" w:rsidR="006A4F0F" w:rsidRPr="00C3671B" w:rsidRDefault="006A4F0F" w:rsidP="003B2326">
      <w:pPr>
        <w:pStyle w:val="ListParagraph"/>
        <w:widowControl/>
        <w:tabs>
          <w:tab w:val="clear" w:pos="1418"/>
        </w:tabs>
        <w:adjustRightInd/>
        <w:ind w:left="2070" w:right="720" w:hanging="720"/>
        <w:rPr>
          <w:rFonts w:cs="Arial"/>
          <w:i/>
          <w:lang w:val="en-US"/>
        </w:rPr>
      </w:pPr>
    </w:p>
    <w:p w14:paraId="0B8E28F3" w14:textId="2BF68460" w:rsidR="006A4F0F" w:rsidRPr="00C3671B" w:rsidRDefault="006A4F0F" w:rsidP="006A4F0F">
      <w:pPr>
        <w:widowControl/>
        <w:tabs>
          <w:tab w:val="clear" w:pos="1418"/>
        </w:tabs>
        <w:adjustRightInd/>
        <w:ind w:leftChars="881" w:left="2834" w:rightChars="300" w:right="720" w:hanging="720"/>
        <w:rPr>
          <w:rFonts w:cs="Arial"/>
          <w:i/>
          <w:lang w:val="en-US"/>
        </w:rPr>
      </w:pPr>
      <w:r w:rsidRPr="00C3671B">
        <w:rPr>
          <w:rFonts w:cs="Arial"/>
          <w:i/>
          <w:lang w:val="en-US"/>
        </w:rPr>
        <w:t>(1)</w:t>
      </w:r>
      <w:r w:rsidRPr="00C3671B">
        <w:rPr>
          <w:rFonts w:cs="Arial"/>
          <w:i/>
          <w:lang w:val="en-US"/>
        </w:rPr>
        <w:tab/>
      </w:r>
      <w:proofErr w:type="gramStart"/>
      <w:r w:rsidRPr="00C3671B">
        <w:rPr>
          <w:rFonts w:cs="Arial"/>
          <w:i/>
          <w:lang w:val="en-US"/>
        </w:rPr>
        <w:t>in</w:t>
      </w:r>
      <w:proofErr w:type="gramEnd"/>
      <w:r w:rsidRPr="00C3671B">
        <w:rPr>
          <w:rFonts w:cs="Arial"/>
          <w:i/>
          <w:lang w:val="en-US"/>
        </w:rPr>
        <w:t xml:space="preserve"> what circumstances a Lawyer</w:t>
      </w:r>
      <w:r w:rsidR="006B0C50" w:rsidRPr="00C3671B">
        <w:rPr>
          <w:rFonts w:cs="Arial"/>
          <w:i/>
          <w:lang w:val="en-US"/>
        </w:rPr>
        <w:t>'</w:t>
      </w:r>
      <w:r w:rsidRPr="00C3671B">
        <w:rPr>
          <w:rFonts w:cs="Arial"/>
          <w:i/>
          <w:lang w:val="en-US"/>
        </w:rPr>
        <w:t>s fees and expenses, or part of them, will be payable;</w:t>
      </w:r>
      <w:r w:rsidR="00A9686D" w:rsidRPr="00C3671B">
        <w:rPr>
          <w:rStyle w:val="FootnoteReference"/>
          <w:rFonts w:cs="Arial"/>
          <w:sz w:val="24"/>
        </w:rPr>
        <w:footnoteReference w:id="27"/>
      </w:r>
      <w:r w:rsidRPr="00C3671B">
        <w:rPr>
          <w:rFonts w:cs="Arial"/>
          <w:i/>
          <w:lang w:val="en-US"/>
        </w:rPr>
        <w:t xml:space="preserve"> </w:t>
      </w:r>
    </w:p>
    <w:p w14:paraId="67C5B8B5" w14:textId="77777777" w:rsidR="006A4F0F" w:rsidRPr="00C3671B" w:rsidRDefault="006A4F0F" w:rsidP="006A4F0F">
      <w:pPr>
        <w:widowControl/>
        <w:tabs>
          <w:tab w:val="clear" w:pos="1418"/>
        </w:tabs>
        <w:adjustRightInd/>
        <w:ind w:leftChars="700" w:left="1680" w:rightChars="300" w:right="720"/>
        <w:rPr>
          <w:rFonts w:cs="Arial"/>
          <w:i/>
          <w:lang w:val="en-US"/>
        </w:rPr>
      </w:pPr>
    </w:p>
    <w:p w14:paraId="274BEE11" w14:textId="7C3C2D93" w:rsidR="006A4F0F" w:rsidRPr="00C3671B" w:rsidRDefault="006A4F0F" w:rsidP="006A4F0F">
      <w:pPr>
        <w:widowControl/>
        <w:tabs>
          <w:tab w:val="clear" w:pos="1418"/>
        </w:tabs>
        <w:adjustRightInd/>
        <w:ind w:leftChars="881" w:left="2834" w:rightChars="300" w:right="720" w:hanging="720"/>
        <w:rPr>
          <w:rFonts w:cs="Arial"/>
          <w:i/>
          <w:lang w:val="en-US"/>
        </w:rPr>
      </w:pPr>
      <w:r w:rsidRPr="00C3671B">
        <w:rPr>
          <w:rFonts w:cs="Arial"/>
          <w:i/>
          <w:lang w:val="en-US"/>
        </w:rPr>
        <w:lastRenderedPageBreak/>
        <w:t>(2)</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circumstances in which the Lawyer</w:t>
      </w:r>
      <w:r w:rsidR="006B0C50" w:rsidRPr="00C3671B">
        <w:rPr>
          <w:rFonts w:cs="Arial"/>
          <w:i/>
          <w:lang w:val="en-US"/>
        </w:rPr>
        <w:t>'</w:t>
      </w:r>
      <w:r w:rsidRPr="00C3671B">
        <w:rPr>
          <w:rFonts w:cs="Arial"/>
          <w:i/>
          <w:lang w:val="en-US"/>
        </w:rPr>
        <w:t>s payment, expenses and costs, or part of them, are payable by the client in the event that the ORFS is terminate</w:t>
      </w:r>
      <w:r w:rsidR="00A9686D" w:rsidRPr="00C3671B">
        <w:rPr>
          <w:rFonts w:cs="Arial"/>
          <w:i/>
          <w:lang w:val="en-US"/>
        </w:rPr>
        <w:t>d by the Lawyer or the client;</w:t>
      </w:r>
      <w:r w:rsidR="00A9686D" w:rsidRPr="00C3671B">
        <w:rPr>
          <w:rStyle w:val="FootnoteReference"/>
          <w:rFonts w:cs="Arial"/>
          <w:sz w:val="24"/>
        </w:rPr>
        <w:footnoteReference w:id="28"/>
      </w:r>
      <w:r w:rsidR="00A9686D" w:rsidRPr="00C3671B">
        <w:rPr>
          <w:rFonts w:cs="Arial"/>
          <w:i/>
          <w:lang w:val="en-US"/>
        </w:rPr>
        <w:t xml:space="preserve"> </w:t>
      </w:r>
      <w:r w:rsidRPr="00C3671B">
        <w:rPr>
          <w:rFonts w:cs="Arial"/>
          <w:i/>
          <w:lang w:val="en-US"/>
        </w:rPr>
        <w:t xml:space="preserve">and </w:t>
      </w:r>
    </w:p>
    <w:p w14:paraId="26F8D4C0" w14:textId="77777777" w:rsidR="006A4F0F" w:rsidRPr="00C3671B" w:rsidRDefault="006A4F0F" w:rsidP="006A4F0F">
      <w:pPr>
        <w:widowControl/>
        <w:tabs>
          <w:tab w:val="clear" w:pos="1418"/>
        </w:tabs>
        <w:adjustRightInd/>
        <w:ind w:leftChars="700" w:left="1680" w:rightChars="300" w:right="720"/>
        <w:rPr>
          <w:rFonts w:cs="Arial"/>
          <w:i/>
          <w:lang w:val="en-US"/>
        </w:rPr>
      </w:pPr>
    </w:p>
    <w:p w14:paraId="330683AC" w14:textId="35E7060E" w:rsidR="006A4F0F" w:rsidRPr="00C3671B" w:rsidRDefault="006A4F0F" w:rsidP="006A4F0F">
      <w:pPr>
        <w:widowControl/>
        <w:tabs>
          <w:tab w:val="clear" w:pos="1418"/>
        </w:tabs>
        <w:adjustRightInd/>
        <w:ind w:leftChars="881" w:left="2834" w:rightChars="300" w:right="720" w:hanging="720"/>
        <w:rPr>
          <w:rFonts w:cs="Arial"/>
          <w:i/>
          <w:lang w:val="en-US"/>
        </w:rPr>
      </w:pPr>
      <w:r w:rsidRPr="00C3671B">
        <w:rPr>
          <w:rFonts w:cs="Arial"/>
          <w:i/>
          <w:lang w:val="en-US"/>
        </w:rPr>
        <w:t>(3)</w:t>
      </w:r>
      <w:r w:rsidRPr="00C3671B">
        <w:rPr>
          <w:rFonts w:cs="Arial"/>
          <w:i/>
          <w:lang w:val="en-US"/>
        </w:rPr>
        <w:tab/>
      </w:r>
      <w:proofErr w:type="gramStart"/>
      <w:r w:rsidRPr="00C3671B">
        <w:rPr>
          <w:rFonts w:cs="Arial"/>
          <w:i/>
          <w:lang w:val="en-US"/>
        </w:rPr>
        <w:t>whether</w:t>
      </w:r>
      <w:proofErr w:type="gramEnd"/>
      <w:r w:rsidRPr="00C3671B">
        <w:rPr>
          <w:rFonts w:cs="Arial"/>
          <w:i/>
          <w:lang w:val="en-US"/>
        </w:rPr>
        <w:t xml:space="preserve"> disbursements, including barristers</w:t>
      </w:r>
      <w:r w:rsidR="006B0C50" w:rsidRPr="00C3671B">
        <w:rPr>
          <w:rFonts w:cs="Arial"/>
          <w:i/>
          <w:lang w:val="en-US"/>
        </w:rPr>
        <w:t>'</w:t>
      </w:r>
      <w:r w:rsidRPr="00C3671B">
        <w:rPr>
          <w:rFonts w:cs="Arial"/>
          <w:i/>
          <w:lang w:val="en-US"/>
        </w:rPr>
        <w:t xml:space="preserve"> fees, are to be paid irrespective of the outcome of the matter;</w:t>
      </w:r>
      <w:r w:rsidR="00A9686D" w:rsidRPr="00C3671B">
        <w:rPr>
          <w:rStyle w:val="FootnoteReference"/>
          <w:rFonts w:cs="Arial"/>
          <w:sz w:val="24"/>
        </w:rPr>
        <w:footnoteReference w:id="29"/>
      </w:r>
      <w:r w:rsidRPr="00C3671B">
        <w:rPr>
          <w:rFonts w:cs="Arial"/>
          <w:i/>
          <w:lang w:val="en-US"/>
        </w:rPr>
        <w:t xml:space="preserve"> </w:t>
      </w:r>
    </w:p>
    <w:p w14:paraId="1BF6209F" w14:textId="77777777" w:rsidR="006A4F0F" w:rsidRPr="00C3671B" w:rsidRDefault="006A4F0F" w:rsidP="006A4F0F">
      <w:pPr>
        <w:widowControl/>
        <w:tabs>
          <w:tab w:val="clear" w:pos="1418"/>
        </w:tabs>
        <w:adjustRightInd/>
        <w:ind w:left="720" w:right="720"/>
        <w:rPr>
          <w:rFonts w:cs="Arial"/>
          <w:i/>
          <w:lang w:val="en-US"/>
        </w:rPr>
      </w:pPr>
    </w:p>
    <w:p w14:paraId="4C4E4402" w14:textId="4C07564C" w:rsidR="006A4F0F" w:rsidRPr="00C3671B" w:rsidRDefault="006A4F0F" w:rsidP="001C1B35">
      <w:pPr>
        <w:keepNext/>
        <w:keepLines/>
        <w:widowControl/>
        <w:tabs>
          <w:tab w:val="clear" w:pos="1418"/>
        </w:tabs>
        <w:adjustRightInd/>
        <w:ind w:left="720" w:right="720"/>
        <w:rPr>
          <w:rFonts w:cs="Arial"/>
          <w:i/>
          <w:lang w:val="en-US"/>
        </w:rPr>
      </w:pPr>
      <w:r w:rsidRPr="00C3671B">
        <w:rPr>
          <w:rFonts w:cs="Arial"/>
          <w:i/>
          <w:lang w:val="en-US"/>
        </w:rPr>
        <w:tab/>
      </w:r>
      <w:r w:rsidRPr="00C3671B">
        <w:rPr>
          <w:rFonts w:cs="Arial"/>
          <w:i/>
          <w:lang w:val="en-US"/>
        </w:rPr>
        <w:tab/>
      </w:r>
      <w:proofErr w:type="gramStart"/>
      <w:r w:rsidRPr="00C3671B">
        <w:rPr>
          <w:rFonts w:cs="Arial"/>
          <w:i/>
          <w:lang w:val="en-US"/>
        </w:rPr>
        <w:t>in</w:t>
      </w:r>
      <w:proofErr w:type="gramEnd"/>
      <w:r w:rsidRPr="00C3671B">
        <w:rPr>
          <w:rFonts w:cs="Arial"/>
          <w:i/>
          <w:lang w:val="en-US"/>
        </w:rPr>
        <w:t xml:space="preserve"> addition, for CFAs:</w:t>
      </w:r>
    </w:p>
    <w:p w14:paraId="7193EF2B" w14:textId="77777777" w:rsidR="006A4F0F" w:rsidRPr="00C3671B" w:rsidRDefault="006A4F0F" w:rsidP="001C1B35">
      <w:pPr>
        <w:keepNext/>
        <w:keepLines/>
        <w:widowControl/>
        <w:tabs>
          <w:tab w:val="clear" w:pos="1418"/>
        </w:tabs>
        <w:adjustRightInd/>
        <w:ind w:left="720" w:right="720"/>
        <w:rPr>
          <w:rFonts w:cs="Arial"/>
          <w:i/>
          <w:lang w:val="en-US"/>
        </w:rPr>
      </w:pPr>
    </w:p>
    <w:p w14:paraId="534B3AC8" w14:textId="7C350FC9" w:rsidR="006A4F0F" w:rsidRPr="00C3671B" w:rsidRDefault="006A4F0F" w:rsidP="006A4F0F">
      <w:pPr>
        <w:widowControl/>
        <w:tabs>
          <w:tab w:val="clear" w:pos="1418"/>
        </w:tabs>
        <w:adjustRightInd/>
        <w:ind w:leftChars="881" w:left="2834" w:rightChars="300" w:right="720" w:hanging="720"/>
        <w:rPr>
          <w:rFonts w:cs="Arial"/>
          <w:i/>
          <w:lang w:val="en-US"/>
        </w:rPr>
      </w:pPr>
      <w:r w:rsidRPr="00C3671B">
        <w:rPr>
          <w:rFonts w:cs="Arial"/>
          <w:i/>
          <w:lang w:val="en-US"/>
        </w:rPr>
        <w:t>(4)</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c</w:t>
      </w:r>
      <w:r w:rsidR="0060679C" w:rsidRPr="00C3671B">
        <w:rPr>
          <w:rFonts w:cs="Arial"/>
          <w:i/>
          <w:lang w:val="en-US"/>
        </w:rPr>
        <w:t xml:space="preserve">ircumstances that constitute a </w:t>
      </w:r>
      <w:r w:rsidR="006B0C50" w:rsidRPr="00C3671B">
        <w:rPr>
          <w:rFonts w:cs="Arial"/>
          <w:i/>
          <w:lang w:val="en-US"/>
        </w:rPr>
        <w:t>'</w:t>
      </w:r>
      <w:r w:rsidR="0060679C" w:rsidRPr="00C3671B">
        <w:rPr>
          <w:rFonts w:cs="Arial"/>
          <w:i/>
          <w:lang w:val="en-US"/>
        </w:rPr>
        <w:t>successful outcome</w:t>
      </w:r>
      <w:r w:rsidR="006B0C50" w:rsidRPr="00C3671B">
        <w:rPr>
          <w:rFonts w:cs="Arial"/>
          <w:i/>
          <w:lang w:val="en-US"/>
        </w:rPr>
        <w:t>'</w:t>
      </w:r>
      <w:r w:rsidRPr="00C3671B">
        <w:rPr>
          <w:rFonts w:cs="Arial"/>
          <w:i/>
          <w:lang w:val="en-US"/>
        </w:rPr>
        <w:t xml:space="preserve"> of t</w:t>
      </w:r>
      <w:r w:rsidR="00A9686D" w:rsidRPr="00C3671B">
        <w:rPr>
          <w:rFonts w:cs="Arial"/>
          <w:i/>
          <w:lang w:val="en-US"/>
        </w:rPr>
        <w:t>he matter to which it relates;</w:t>
      </w:r>
      <w:r w:rsidR="00A9686D" w:rsidRPr="00C3671B">
        <w:rPr>
          <w:rStyle w:val="FootnoteReference"/>
          <w:rFonts w:cs="Arial"/>
          <w:sz w:val="24"/>
        </w:rPr>
        <w:footnoteReference w:id="30"/>
      </w:r>
      <w:r w:rsidR="00A9686D" w:rsidRPr="00C3671B">
        <w:rPr>
          <w:rFonts w:cs="Arial"/>
          <w:i/>
          <w:lang w:val="en-US"/>
        </w:rPr>
        <w:t xml:space="preserve"> </w:t>
      </w:r>
      <w:r w:rsidRPr="00C3671B">
        <w:rPr>
          <w:rFonts w:cs="Arial"/>
          <w:i/>
          <w:lang w:val="en-US"/>
        </w:rPr>
        <w:t xml:space="preserve">and </w:t>
      </w:r>
    </w:p>
    <w:p w14:paraId="10611AB2" w14:textId="77777777" w:rsidR="006A4F0F" w:rsidRPr="00C3671B" w:rsidRDefault="006A4F0F" w:rsidP="006A4F0F">
      <w:pPr>
        <w:widowControl/>
        <w:tabs>
          <w:tab w:val="clear" w:pos="1418"/>
        </w:tabs>
        <w:adjustRightInd/>
        <w:ind w:leftChars="881" w:left="2834" w:rightChars="300" w:right="720" w:hanging="720"/>
        <w:rPr>
          <w:rFonts w:cs="Arial"/>
          <w:i/>
          <w:lang w:val="en-US"/>
        </w:rPr>
      </w:pPr>
    </w:p>
    <w:p w14:paraId="081AF5BC" w14:textId="2626F894" w:rsidR="006A4F0F" w:rsidRPr="00C3671B" w:rsidRDefault="006A4F0F" w:rsidP="006A4F0F">
      <w:pPr>
        <w:widowControl/>
        <w:tabs>
          <w:tab w:val="clear" w:pos="1418"/>
        </w:tabs>
        <w:adjustRightInd/>
        <w:ind w:leftChars="881" w:left="2834" w:rightChars="300" w:right="720" w:hanging="720"/>
        <w:rPr>
          <w:rFonts w:cs="Arial"/>
          <w:i/>
          <w:lang w:val="en-US"/>
        </w:rPr>
      </w:pPr>
      <w:r w:rsidRPr="00C3671B">
        <w:rPr>
          <w:rFonts w:cs="Arial"/>
          <w:i/>
          <w:lang w:val="en-US"/>
        </w:rPr>
        <w:t>(5)</w:t>
      </w:r>
      <w:r w:rsidRPr="00C3671B">
        <w:rPr>
          <w:rFonts w:cs="Arial"/>
          <w:i/>
          <w:lang w:val="en-US"/>
        </w:rPr>
        <w:tab/>
        <w:t xml:space="preserve">the basis of calculation of the Success Fee which would be payable in the </w:t>
      </w:r>
      <w:r w:rsidR="0060679C" w:rsidRPr="00C3671B">
        <w:rPr>
          <w:rFonts w:cs="Arial"/>
          <w:i/>
          <w:lang w:val="en-US"/>
        </w:rPr>
        <w:t xml:space="preserve">event of such </w:t>
      </w:r>
      <w:r w:rsidR="006B0C50" w:rsidRPr="00C3671B">
        <w:rPr>
          <w:rFonts w:cs="Arial"/>
          <w:i/>
          <w:lang w:val="en-US"/>
        </w:rPr>
        <w:t>'</w:t>
      </w:r>
      <w:r w:rsidR="0060679C" w:rsidRPr="00C3671B">
        <w:rPr>
          <w:rFonts w:cs="Arial"/>
          <w:i/>
          <w:lang w:val="en-US"/>
        </w:rPr>
        <w:t>successful outcome</w:t>
      </w:r>
      <w:r w:rsidR="006B0C50" w:rsidRPr="00C3671B">
        <w:rPr>
          <w:rFonts w:cs="Arial"/>
          <w:i/>
          <w:lang w:val="en-US"/>
        </w:rPr>
        <w:t>'</w:t>
      </w:r>
      <w:r w:rsidRPr="00C3671B">
        <w:rPr>
          <w:rFonts w:cs="Arial"/>
          <w:i/>
          <w:lang w:val="en-US"/>
        </w:rPr>
        <w:t xml:space="preserve">, as well as the Success Fee premium, meaning the percentage uplift by which the amount of the legal costs which would be payable if </w:t>
      </w:r>
      <w:r w:rsidR="007145DA" w:rsidRPr="00C3671B">
        <w:rPr>
          <w:rFonts w:cs="Arial"/>
          <w:i/>
          <w:lang w:val="en-US"/>
        </w:rPr>
        <w:t>there</w:t>
      </w:r>
      <w:r w:rsidR="007E25E1" w:rsidRPr="00C3671B">
        <w:rPr>
          <w:rFonts w:cs="Arial"/>
          <w:i/>
          <w:lang w:val="en-US"/>
        </w:rPr>
        <w:t xml:space="preserve"> w</w:t>
      </w:r>
      <w:r w:rsidR="00616DCB" w:rsidRPr="00C3671B">
        <w:rPr>
          <w:rFonts w:cs="Arial"/>
          <w:i/>
          <w:lang w:val="en-US"/>
        </w:rPr>
        <w:t>ere</w:t>
      </w:r>
      <w:r w:rsidR="007E25E1" w:rsidRPr="00C3671B">
        <w:rPr>
          <w:rFonts w:cs="Arial"/>
          <w:i/>
          <w:lang w:val="en-US"/>
        </w:rPr>
        <w:t xml:space="preserve"> no </w:t>
      </w:r>
      <w:r w:rsidRPr="00C3671B">
        <w:rPr>
          <w:rFonts w:cs="Arial"/>
          <w:i/>
          <w:lang w:val="en-US"/>
        </w:rPr>
        <w:t xml:space="preserve">ORFS </w:t>
      </w:r>
      <w:r w:rsidR="007145DA" w:rsidRPr="00C3671B">
        <w:rPr>
          <w:rFonts w:cs="Arial"/>
          <w:i/>
          <w:lang w:val="en-US"/>
        </w:rPr>
        <w:t>in place</w:t>
      </w:r>
      <w:r w:rsidRPr="00C3671B">
        <w:rPr>
          <w:rFonts w:cs="Arial"/>
          <w:i/>
          <w:lang w:val="en-US"/>
        </w:rPr>
        <w:t>;</w:t>
      </w:r>
      <w:r w:rsidR="00A9686D" w:rsidRPr="00C3671B">
        <w:rPr>
          <w:rStyle w:val="FootnoteReference"/>
          <w:rFonts w:cs="Arial"/>
          <w:sz w:val="24"/>
        </w:rPr>
        <w:footnoteReference w:id="31"/>
      </w:r>
      <w:r w:rsidRPr="00C3671B">
        <w:rPr>
          <w:rFonts w:cs="Arial"/>
          <w:i/>
          <w:lang w:val="en-US"/>
        </w:rPr>
        <w:t xml:space="preserve"> and</w:t>
      </w:r>
    </w:p>
    <w:p w14:paraId="0D51D011" w14:textId="77777777" w:rsidR="006A4F0F" w:rsidRPr="00C3671B" w:rsidRDefault="006A4F0F" w:rsidP="006A4F0F">
      <w:pPr>
        <w:widowControl/>
        <w:tabs>
          <w:tab w:val="clear" w:pos="1418"/>
        </w:tabs>
        <w:adjustRightInd/>
        <w:ind w:leftChars="881" w:left="2834" w:rightChars="300" w:right="720" w:hanging="720"/>
        <w:rPr>
          <w:rFonts w:cs="Arial"/>
          <w:i/>
          <w:lang w:val="en-US"/>
        </w:rPr>
      </w:pPr>
    </w:p>
    <w:p w14:paraId="16A7DA72" w14:textId="03A6C7DE" w:rsidR="006A4F0F" w:rsidRPr="00C3671B" w:rsidRDefault="006A4F0F" w:rsidP="006A4F0F">
      <w:pPr>
        <w:widowControl/>
        <w:tabs>
          <w:tab w:val="clear" w:pos="1418"/>
        </w:tabs>
        <w:adjustRightInd/>
        <w:ind w:leftChars="881" w:left="2834" w:rightChars="300" w:right="720" w:hanging="720"/>
        <w:rPr>
          <w:rFonts w:cs="Arial"/>
          <w:i/>
          <w:lang w:val="en-US"/>
        </w:rPr>
      </w:pPr>
      <w:proofErr w:type="gramStart"/>
      <w:r w:rsidRPr="00C3671B">
        <w:rPr>
          <w:rFonts w:cs="Arial"/>
          <w:i/>
          <w:lang w:val="en-US"/>
        </w:rPr>
        <w:t>for</w:t>
      </w:r>
      <w:proofErr w:type="gramEnd"/>
      <w:r w:rsidRPr="00C3671B">
        <w:rPr>
          <w:rFonts w:cs="Arial"/>
          <w:i/>
          <w:lang w:val="en-US"/>
        </w:rPr>
        <w:t xml:space="preserve"> DBAs (including Hybrid DBAs):</w:t>
      </w:r>
    </w:p>
    <w:p w14:paraId="4073F8B8" w14:textId="77777777" w:rsidR="006A4F0F" w:rsidRPr="00C3671B" w:rsidRDefault="006A4F0F" w:rsidP="006A4F0F">
      <w:pPr>
        <w:widowControl/>
        <w:tabs>
          <w:tab w:val="clear" w:pos="1418"/>
        </w:tabs>
        <w:adjustRightInd/>
        <w:ind w:leftChars="881" w:left="2834" w:rightChars="300" w:right="720" w:hanging="720"/>
        <w:rPr>
          <w:rFonts w:cs="Arial"/>
          <w:i/>
          <w:lang w:val="en-US"/>
        </w:rPr>
      </w:pPr>
    </w:p>
    <w:p w14:paraId="3AE63431" w14:textId="5DEBADEF" w:rsidR="006A4F0F" w:rsidRPr="00C3671B" w:rsidRDefault="006A4F0F" w:rsidP="006A4F0F">
      <w:pPr>
        <w:widowControl/>
        <w:tabs>
          <w:tab w:val="clear" w:pos="1418"/>
        </w:tabs>
        <w:adjustRightInd/>
        <w:ind w:leftChars="881" w:left="2834" w:rightChars="300" w:right="720" w:hanging="720"/>
        <w:rPr>
          <w:rFonts w:cs="Arial"/>
          <w:i/>
          <w:lang w:val="en-US"/>
        </w:rPr>
      </w:pPr>
      <w:r w:rsidRPr="00C3671B">
        <w:rPr>
          <w:rFonts w:cs="Arial"/>
          <w:i/>
          <w:lang w:val="en-US"/>
        </w:rPr>
        <w:t>(6)</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Financial Benefit to which the DBA relates.</w:t>
      </w:r>
      <w:r w:rsidR="00A9686D" w:rsidRPr="00C3671B">
        <w:rPr>
          <w:rStyle w:val="FootnoteReference"/>
          <w:rFonts w:cs="Arial"/>
          <w:sz w:val="24"/>
        </w:rPr>
        <w:footnoteReference w:id="32"/>
      </w:r>
      <w:r w:rsidR="006B0C50" w:rsidRPr="00C3671B">
        <w:rPr>
          <w:rFonts w:cs="Arial"/>
          <w:i/>
          <w:lang w:val="en-US"/>
        </w:rPr>
        <w:t>"</w:t>
      </w:r>
    </w:p>
    <w:p w14:paraId="13B83FFB" w14:textId="701B151B" w:rsidR="006A4F0F" w:rsidRPr="00C3671B" w:rsidRDefault="006A4F0F" w:rsidP="00562F1A"/>
    <w:p w14:paraId="5A05AD9C" w14:textId="77777777" w:rsidR="005B586D" w:rsidRPr="00C3671B" w:rsidRDefault="005B586D" w:rsidP="00562F1A"/>
    <w:p w14:paraId="630E11E7" w14:textId="05EE36E6" w:rsidR="00C261AC" w:rsidRPr="00C3671B" w:rsidRDefault="0047078F" w:rsidP="006A4F0F">
      <w:pPr>
        <w:widowControl/>
        <w:tabs>
          <w:tab w:val="clear" w:pos="1418"/>
          <w:tab w:val="left" w:pos="1440"/>
        </w:tabs>
        <w:ind w:rightChars="271" w:right="650"/>
        <w:rPr>
          <w:rFonts w:cs="Arial"/>
          <w:b/>
          <w:i/>
          <w:lang w:eastAsia="zh-HK"/>
        </w:rPr>
      </w:pPr>
      <w:r w:rsidRPr="00C3671B">
        <w:rPr>
          <w:rFonts w:cs="Arial"/>
          <w:b/>
          <w:i/>
        </w:rPr>
        <w:t>Criteria for p</w:t>
      </w:r>
      <w:r w:rsidR="00C261AC" w:rsidRPr="00C3671B">
        <w:rPr>
          <w:rFonts w:cs="Arial"/>
          <w:b/>
          <w:i/>
        </w:rPr>
        <w:t>ayment of Success Fee or DBA P</w:t>
      </w:r>
      <w:r w:rsidR="00C261AC" w:rsidRPr="00C3671B">
        <w:rPr>
          <w:rFonts w:cs="Arial"/>
          <w:b/>
          <w:i/>
          <w:lang w:eastAsia="zh-HK"/>
        </w:rPr>
        <w:t xml:space="preserve">ayment to a Lawyer </w:t>
      </w:r>
    </w:p>
    <w:p w14:paraId="7F1EC432" w14:textId="1D6F947B" w:rsidR="00C261AC" w:rsidRPr="00C3671B" w:rsidRDefault="00C261AC" w:rsidP="006A4F0F">
      <w:pPr>
        <w:widowControl/>
        <w:tabs>
          <w:tab w:val="clear" w:pos="1418"/>
          <w:tab w:val="left" w:pos="1440"/>
        </w:tabs>
        <w:ind w:rightChars="271" w:right="650"/>
        <w:rPr>
          <w:rFonts w:cs="Arial"/>
          <w:i/>
          <w:lang w:eastAsia="zh-HK"/>
        </w:rPr>
      </w:pPr>
    </w:p>
    <w:p w14:paraId="252AA36F" w14:textId="275F3360" w:rsidR="00C261AC" w:rsidRPr="00C3671B" w:rsidRDefault="00954B80" w:rsidP="005B586D">
      <w:pPr>
        <w:widowControl/>
        <w:tabs>
          <w:tab w:val="clear" w:pos="1418"/>
          <w:tab w:val="left" w:pos="1545"/>
        </w:tabs>
        <w:adjustRightInd/>
        <w:rPr>
          <w:rFonts w:cs="Arial"/>
          <w:lang w:eastAsia="zh-HK"/>
        </w:rPr>
      </w:pPr>
      <w:r w:rsidRPr="00C3671B">
        <w:rPr>
          <w:rFonts w:cs="Arial"/>
          <w:lang w:eastAsia="zh-HK"/>
        </w:rPr>
        <w:t>3</w:t>
      </w:r>
      <w:r w:rsidR="00DE1CF6" w:rsidRPr="00C3671B">
        <w:rPr>
          <w:rFonts w:cs="Arial"/>
          <w:lang w:eastAsia="zh-HK"/>
        </w:rPr>
        <w:t>4</w:t>
      </w:r>
      <w:r w:rsidR="00C261AC" w:rsidRPr="00C3671B">
        <w:rPr>
          <w:rFonts w:cs="Arial"/>
          <w:lang w:eastAsia="zh-HK"/>
        </w:rPr>
        <w:t>.</w:t>
      </w:r>
      <w:r w:rsidR="00C261AC" w:rsidRPr="00C3671B">
        <w:rPr>
          <w:rFonts w:cs="Arial"/>
          <w:lang w:eastAsia="zh-HK"/>
        </w:rPr>
        <w:tab/>
        <w:t xml:space="preserve">Recommendation 13(b) in the CP seeks views as </w:t>
      </w:r>
      <w:r w:rsidR="00C261AC" w:rsidRPr="00C3671B">
        <w:rPr>
          <w:rFonts w:cs="Arial"/>
        </w:rPr>
        <w:t>to</w:t>
      </w:r>
      <w:r w:rsidR="00C261AC" w:rsidRPr="00C3671B">
        <w:rPr>
          <w:rFonts w:cs="Arial"/>
          <w:lang w:eastAsia="zh-HK"/>
        </w:rPr>
        <w:t xml:space="preserve"> what should be the relevant method and criteria for fixing Success Fees in CFAs, while Recommendation 13(e) to (h) in the CP seeks views on the following questions:</w:t>
      </w:r>
    </w:p>
    <w:p w14:paraId="401C1306" w14:textId="7B52E0FD" w:rsidR="00C261AC" w:rsidRPr="00C3671B" w:rsidRDefault="00C261AC" w:rsidP="006A4F0F">
      <w:pPr>
        <w:widowControl/>
        <w:tabs>
          <w:tab w:val="clear" w:pos="1418"/>
          <w:tab w:val="left" w:pos="1440"/>
        </w:tabs>
        <w:ind w:rightChars="271" w:right="650"/>
        <w:rPr>
          <w:rFonts w:cs="Arial"/>
          <w:lang w:eastAsia="zh-HK"/>
        </w:rPr>
      </w:pPr>
    </w:p>
    <w:p w14:paraId="2E88308B" w14:textId="25B1E8A6" w:rsidR="00C261AC" w:rsidRPr="00C3671B" w:rsidRDefault="006B0C50" w:rsidP="00B304DD">
      <w:pPr>
        <w:widowControl/>
        <w:tabs>
          <w:tab w:val="clear" w:pos="1418"/>
        </w:tabs>
        <w:adjustRightInd/>
        <w:ind w:leftChars="286" w:left="1416" w:right="720" w:hangingChars="304" w:hanging="730"/>
        <w:rPr>
          <w:rFonts w:cs="Arial"/>
          <w:i/>
        </w:rPr>
      </w:pPr>
      <w:r w:rsidRPr="00C3671B">
        <w:rPr>
          <w:rFonts w:cs="Arial"/>
          <w:i/>
        </w:rPr>
        <w:t>"</w:t>
      </w:r>
      <w:r w:rsidR="00C261AC" w:rsidRPr="00C3671B">
        <w:rPr>
          <w:rFonts w:cs="Arial"/>
          <w:i/>
        </w:rPr>
        <w:t>13</w:t>
      </w:r>
      <w:r w:rsidR="00C261AC" w:rsidRPr="00C3671B">
        <w:rPr>
          <w:rFonts w:cs="Arial"/>
          <w:bCs/>
          <w:i/>
        </w:rPr>
        <w:t xml:space="preserve">(e) </w:t>
      </w:r>
      <w:r w:rsidR="006C1E38" w:rsidRPr="00C3671B">
        <w:rPr>
          <w:rFonts w:cs="Arial"/>
          <w:i/>
          <w:lang w:val="en-US"/>
        </w:rPr>
        <w:t>Whether</w:t>
      </w:r>
      <w:r w:rsidR="006C1E38" w:rsidRPr="00C3671B">
        <w:rPr>
          <w:rFonts w:cs="Arial"/>
          <w:bCs/>
          <w:i/>
        </w:rPr>
        <w:t xml:space="preserve"> </w:t>
      </w:r>
      <w:r w:rsidR="00C261AC" w:rsidRPr="00C3671B">
        <w:rPr>
          <w:rFonts w:cs="Arial"/>
          <w:bCs/>
          <w:i/>
        </w:rPr>
        <w:t>a DBA Payment may be payable (depending on the terms agreed between Lawyer and client) wherever a financial benefit is received by the client, based on the value of that financial benefit</w:t>
      </w:r>
      <w:r w:rsidR="00870C11" w:rsidRPr="00C3671B">
        <w:rPr>
          <w:rFonts w:cs="Arial"/>
          <w:i/>
        </w:rPr>
        <w:t>.</w:t>
      </w:r>
      <w:r w:rsidR="00C261AC" w:rsidRPr="00C3671B">
        <w:rPr>
          <w:rFonts w:cs="Arial"/>
          <w:i/>
        </w:rPr>
        <w:t xml:space="preserve"> </w:t>
      </w:r>
    </w:p>
    <w:p w14:paraId="39BB218F" w14:textId="77777777" w:rsidR="00C261AC" w:rsidRPr="00C3671B" w:rsidRDefault="00C261AC" w:rsidP="00C261AC">
      <w:pPr>
        <w:ind w:left="720"/>
        <w:rPr>
          <w:rFonts w:cs="Arial"/>
          <w:i/>
        </w:rPr>
      </w:pPr>
    </w:p>
    <w:p w14:paraId="5B03355A" w14:textId="569E5AF6" w:rsidR="00C261AC" w:rsidRPr="00C3671B" w:rsidRDefault="00C261AC" w:rsidP="00B304DD">
      <w:pPr>
        <w:widowControl/>
        <w:tabs>
          <w:tab w:val="clear" w:pos="1418"/>
        </w:tabs>
        <w:adjustRightInd/>
        <w:ind w:leftChars="286" w:left="1416" w:right="720" w:hangingChars="304" w:hanging="730"/>
        <w:rPr>
          <w:rFonts w:cs="Arial"/>
          <w:i/>
        </w:rPr>
      </w:pPr>
      <w:r w:rsidRPr="00C3671B">
        <w:rPr>
          <w:rFonts w:cs="Arial"/>
          <w:i/>
        </w:rPr>
        <w:t xml:space="preserve">13(f) </w:t>
      </w:r>
      <w:r w:rsidRPr="00C3671B">
        <w:rPr>
          <w:rFonts w:cs="Arial"/>
          <w:i/>
        </w:rPr>
        <w:tab/>
      </w:r>
      <w:proofErr w:type="gramStart"/>
      <w:r w:rsidR="006C1E38" w:rsidRPr="00C3671B">
        <w:rPr>
          <w:rFonts w:cs="Arial"/>
          <w:i/>
          <w:lang w:val="en-US"/>
        </w:rPr>
        <w:t>Whether</w:t>
      </w:r>
      <w:proofErr w:type="gramEnd"/>
      <w:r w:rsidR="006C1E38" w:rsidRPr="00C3671B">
        <w:rPr>
          <w:rFonts w:cs="Arial"/>
          <w:i/>
        </w:rPr>
        <w:t xml:space="preserve"> </w:t>
      </w:r>
      <w:r w:rsidRPr="00C3671B">
        <w:rPr>
          <w:rFonts w:cs="Arial"/>
          <w:i/>
        </w:rPr>
        <w:t xml:space="preserve">the relevant financial benefit may be a debt owed to a client, </w:t>
      </w:r>
      <w:proofErr w:type="spellStart"/>
      <w:r w:rsidRPr="00C3671B">
        <w:rPr>
          <w:rFonts w:cs="Arial"/>
          <w:i/>
        </w:rPr>
        <w:t>eg</w:t>
      </w:r>
      <w:proofErr w:type="spellEnd"/>
      <w:r w:rsidRPr="00C3671B">
        <w:rPr>
          <w:rFonts w:cs="Arial"/>
          <w:i/>
        </w:rPr>
        <w:t xml:space="preserve"> under a judgment or settlement, rather than money or property actually received</w:t>
      </w:r>
      <w:r w:rsidR="00C82931" w:rsidRPr="00C3671B">
        <w:rPr>
          <w:rFonts w:cs="Arial" w:hint="eastAsia"/>
          <w:i/>
        </w:rPr>
        <w:t>.</w:t>
      </w:r>
      <w:r w:rsidRPr="00C3671B">
        <w:rPr>
          <w:rFonts w:cs="Arial"/>
          <w:i/>
        </w:rPr>
        <w:t xml:space="preserve"> </w:t>
      </w:r>
    </w:p>
    <w:p w14:paraId="2522A5B3" w14:textId="77777777" w:rsidR="00C261AC" w:rsidRPr="00C3671B" w:rsidRDefault="00C261AC" w:rsidP="00C261AC">
      <w:pPr>
        <w:ind w:left="720"/>
        <w:rPr>
          <w:rFonts w:cs="Arial"/>
          <w:i/>
        </w:rPr>
      </w:pPr>
    </w:p>
    <w:p w14:paraId="3D3B7C00" w14:textId="6D2372C9" w:rsidR="00C261AC" w:rsidRPr="00C3671B" w:rsidRDefault="00C261AC" w:rsidP="00B304DD">
      <w:pPr>
        <w:widowControl/>
        <w:tabs>
          <w:tab w:val="clear" w:pos="1418"/>
        </w:tabs>
        <w:adjustRightInd/>
        <w:ind w:leftChars="286" w:left="1416" w:right="720" w:hangingChars="304" w:hanging="730"/>
        <w:rPr>
          <w:rFonts w:cs="Arial"/>
          <w:i/>
        </w:rPr>
      </w:pPr>
      <w:r w:rsidRPr="00C3671B">
        <w:rPr>
          <w:rFonts w:cs="Arial"/>
          <w:i/>
        </w:rPr>
        <w:t xml:space="preserve">13(g) </w:t>
      </w:r>
      <w:r w:rsidRPr="00C3671B">
        <w:rPr>
          <w:rFonts w:cs="Arial"/>
          <w:i/>
        </w:rPr>
        <w:tab/>
      </w:r>
      <w:proofErr w:type="gramStart"/>
      <w:r w:rsidR="006C1E38" w:rsidRPr="00C3671B">
        <w:rPr>
          <w:rFonts w:cs="Arial"/>
          <w:i/>
        </w:rPr>
        <w:t>Whether</w:t>
      </w:r>
      <w:proofErr w:type="gramEnd"/>
      <w:r w:rsidR="006C1E38" w:rsidRPr="00C3671B">
        <w:rPr>
          <w:rFonts w:cs="Arial"/>
          <w:i/>
        </w:rPr>
        <w:t xml:space="preserve"> </w:t>
      </w:r>
      <w:r w:rsidRPr="00C3671B">
        <w:rPr>
          <w:rFonts w:cs="Arial"/>
          <w:i/>
          <w:lang w:val="en-US"/>
        </w:rPr>
        <w:t>provision</w:t>
      </w:r>
      <w:r w:rsidRPr="00C3671B">
        <w:rPr>
          <w:rFonts w:cs="Arial"/>
          <w:i/>
        </w:rPr>
        <w:t xml:space="preserve"> should be made for cases in which the result will not involve monetary damages by providing a definition of money or money</w:t>
      </w:r>
      <w:r w:rsidR="006B0C50" w:rsidRPr="00C3671B">
        <w:rPr>
          <w:rFonts w:cs="Arial"/>
          <w:i/>
        </w:rPr>
        <w:t>'</w:t>
      </w:r>
      <w:r w:rsidRPr="00C3671B">
        <w:rPr>
          <w:rFonts w:cs="Arial"/>
          <w:i/>
        </w:rPr>
        <w:t>s worth that includes consideration reducible to a monetary value</w:t>
      </w:r>
      <w:r w:rsidR="00870C11" w:rsidRPr="00C3671B">
        <w:rPr>
          <w:rFonts w:cs="Arial"/>
          <w:i/>
        </w:rPr>
        <w:t>.</w:t>
      </w:r>
      <w:r w:rsidRPr="00C3671B">
        <w:rPr>
          <w:rFonts w:cs="Arial"/>
          <w:i/>
        </w:rPr>
        <w:t xml:space="preserve"> </w:t>
      </w:r>
    </w:p>
    <w:p w14:paraId="2E10D9C7" w14:textId="77777777" w:rsidR="00C261AC" w:rsidRPr="00C3671B" w:rsidRDefault="00C261AC" w:rsidP="00C261AC">
      <w:pPr>
        <w:ind w:left="720"/>
        <w:rPr>
          <w:rFonts w:cs="Arial"/>
          <w:i/>
        </w:rPr>
      </w:pPr>
    </w:p>
    <w:p w14:paraId="358E3343" w14:textId="03F789AD" w:rsidR="00C261AC" w:rsidRPr="00C3671B" w:rsidRDefault="00C261AC" w:rsidP="00B304DD">
      <w:pPr>
        <w:widowControl/>
        <w:tabs>
          <w:tab w:val="clear" w:pos="1418"/>
        </w:tabs>
        <w:adjustRightInd/>
        <w:ind w:leftChars="286" w:left="1416" w:right="720" w:hangingChars="304" w:hanging="730"/>
        <w:rPr>
          <w:rFonts w:cs="Arial"/>
          <w:lang w:eastAsia="zh-HK"/>
        </w:rPr>
      </w:pPr>
      <w:r w:rsidRPr="00C3671B">
        <w:rPr>
          <w:rFonts w:cs="Arial"/>
          <w:i/>
        </w:rPr>
        <w:t xml:space="preserve">13(h) </w:t>
      </w:r>
      <w:r w:rsidR="005B586D" w:rsidRPr="00C3671B">
        <w:rPr>
          <w:rFonts w:cs="Arial"/>
          <w:i/>
        </w:rPr>
        <w:tab/>
      </w:r>
      <w:r w:rsidR="006C1E38" w:rsidRPr="00C3671B">
        <w:rPr>
          <w:rFonts w:cs="Arial"/>
          <w:i/>
        </w:rPr>
        <w:t xml:space="preserve">Whether </w:t>
      </w:r>
      <w:r w:rsidRPr="00C3671B">
        <w:rPr>
          <w:rFonts w:cs="Arial"/>
          <w:i/>
        </w:rPr>
        <w:t xml:space="preserve">respondents should be permitted to use DBAs, </w:t>
      </w:r>
      <w:proofErr w:type="spellStart"/>
      <w:r w:rsidRPr="00C3671B">
        <w:rPr>
          <w:rFonts w:cs="Arial"/>
          <w:i/>
        </w:rPr>
        <w:t>eg</w:t>
      </w:r>
      <w:proofErr w:type="spellEnd"/>
      <w:r w:rsidRPr="00C3671B">
        <w:rPr>
          <w:rFonts w:cs="Arial"/>
          <w:i/>
        </w:rPr>
        <w:t xml:space="preserve"> to provide for a DBA </w:t>
      </w:r>
      <w:r w:rsidRPr="00C3671B">
        <w:rPr>
          <w:rFonts w:cs="Arial"/>
          <w:i/>
          <w:lang w:val="en-US"/>
        </w:rPr>
        <w:t>Payment</w:t>
      </w:r>
      <w:r w:rsidRPr="00C3671B">
        <w:rPr>
          <w:rFonts w:cs="Arial"/>
          <w:i/>
        </w:rPr>
        <w:t xml:space="preserve"> in the event the respondent is held liable for less than the amount claimed or less than an agreed threshold</w:t>
      </w:r>
      <w:r w:rsidRPr="00C3671B">
        <w:rPr>
          <w:rFonts w:cs="Arial"/>
        </w:rPr>
        <w:t>.</w:t>
      </w:r>
      <w:r w:rsidR="006B0C50" w:rsidRPr="00C3671B">
        <w:rPr>
          <w:rFonts w:cs="Arial"/>
          <w:i/>
        </w:rPr>
        <w:t>"</w:t>
      </w:r>
    </w:p>
    <w:p w14:paraId="782BA6D7" w14:textId="2CAAD3F0" w:rsidR="00C261AC" w:rsidRPr="00C3671B" w:rsidRDefault="00C261AC" w:rsidP="006A4F0F">
      <w:pPr>
        <w:widowControl/>
        <w:tabs>
          <w:tab w:val="clear" w:pos="1418"/>
          <w:tab w:val="left" w:pos="1440"/>
        </w:tabs>
        <w:ind w:rightChars="271" w:right="650"/>
        <w:rPr>
          <w:rFonts w:cs="Arial"/>
          <w:lang w:eastAsia="zh-HK"/>
        </w:rPr>
      </w:pPr>
    </w:p>
    <w:p w14:paraId="309157E2" w14:textId="47AEBAD8" w:rsidR="00C261AC" w:rsidRPr="00C3671B" w:rsidRDefault="00954B80" w:rsidP="00AF02F8">
      <w:pPr>
        <w:widowControl/>
        <w:rPr>
          <w:rFonts w:eastAsia="DengXian"/>
          <w:lang w:eastAsia="zh-CN"/>
        </w:rPr>
      </w:pPr>
      <w:r w:rsidRPr="00C3671B">
        <w:t>3</w:t>
      </w:r>
      <w:r w:rsidR="00DE1CF6" w:rsidRPr="00C3671B">
        <w:t>5</w:t>
      </w:r>
      <w:r w:rsidR="00C261AC" w:rsidRPr="00C3671B">
        <w:t>.</w:t>
      </w:r>
      <w:r w:rsidR="00C261AC" w:rsidRPr="00C3671B">
        <w:rPr>
          <w:lang w:eastAsia="zh-HK"/>
        </w:rPr>
        <w:tab/>
      </w:r>
      <w:r w:rsidR="00C261AC" w:rsidRPr="00C3671B">
        <w:t xml:space="preserve">The majority of Respondents who commented on Recommendation 13(b), (e), (f), (g) and (h) preferred any ORFS </w:t>
      </w:r>
      <w:r w:rsidR="00C82931" w:rsidRPr="00C3671B">
        <w:t xml:space="preserve">regime </w:t>
      </w:r>
      <w:r w:rsidR="00C261AC" w:rsidRPr="00C3671B">
        <w:t xml:space="preserve">for </w:t>
      </w:r>
      <w:r w:rsidR="00C82931" w:rsidRPr="00C3671B">
        <w:t xml:space="preserve">Arbitration </w:t>
      </w:r>
      <w:r w:rsidR="00C261AC" w:rsidRPr="00C3671B">
        <w:t xml:space="preserve">to be as flexible as possible, so that Lawyers and clients can negotiate appropriate arrangements on a case-by-case basis.  We </w:t>
      </w:r>
      <w:r w:rsidR="0016109D" w:rsidRPr="00C3671B">
        <w:t xml:space="preserve">share this preference and </w:t>
      </w:r>
      <w:r w:rsidR="00C261AC" w:rsidRPr="00C3671B">
        <w:t xml:space="preserve">believe that it is in the best interests of both clients and the legal profession to allow not only a broad range of ORFSs (CFAs, DBAs and Hybrid DBAs), but also the flexibility to apply ORFSs as best fit their specific circumstances.  However, </w:t>
      </w:r>
      <w:r w:rsidR="003B2326" w:rsidRPr="00C3671B">
        <w:t xml:space="preserve">we do not consider it necessary or advisable to </w:t>
      </w:r>
      <w:r w:rsidR="00A869EB" w:rsidRPr="00C3671B">
        <w:t>prescribe or limit what particular situation(s) would constitute</w:t>
      </w:r>
      <w:r w:rsidR="003B2326" w:rsidRPr="00C3671B">
        <w:t xml:space="preserve"> </w:t>
      </w:r>
      <w:r w:rsidR="006B0C50" w:rsidRPr="00C3671B">
        <w:t>"</w:t>
      </w:r>
      <w:r w:rsidR="003B2326" w:rsidRPr="00C3671B">
        <w:t>success</w:t>
      </w:r>
      <w:r w:rsidR="006B0C50" w:rsidRPr="00C3671B">
        <w:t>"</w:t>
      </w:r>
      <w:r w:rsidR="003B2326" w:rsidRPr="00C3671B">
        <w:t xml:space="preserve"> </w:t>
      </w:r>
      <w:r w:rsidR="00A869EB" w:rsidRPr="00C3671B">
        <w:t xml:space="preserve">or a </w:t>
      </w:r>
      <w:r w:rsidR="006B0C50" w:rsidRPr="00C3671B">
        <w:t>"</w:t>
      </w:r>
      <w:r w:rsidR="00A869EB" w:rsidRPr="00C3671B">
        <w:t>successful outcome</w:t>
      </w:r>
      <w:r w:rsidR="006B0C50" w:rsidRPr="00C3671B">
        <w:t>"</w:t>
      </w:r>
      <w:r w:rsidR="00A869EB" w:rsidRPr="00C3671B">
        <w:t xml:space="preserve"> </w:t>
      </w:r>
      <w:r w:rsidR="003B2326" w:rsidRPr="00C3671B">
        <w:t xml:space="preserve">in the legislative framework for CFAs or DBAs or Hybrid DBAs.  </w:t>
      </w:r>
      <w:r w:rsidR="0016109D" w:rsidRPr="00C3671B">
        <w:t>Such flexibility must, of course, be limited by effective safeguards.  W</w:t>
      </w:r>
      <w:r w:rsidR="00C261AC" w:rsidRPr="00C3671B">
        <w:t xml:space="preserve">e </w:t>
      </w:r>
      <w:r w:rsidR="0016109D" w:rsidRPr="00C3671B">
        <w:t xml:space="preserve">also </w:t>
      </w:r>
      <w:r w:rsidR="00C261AC" w:rsidRPr="00C3671B">
        <w:t xml:space="preserve">do not consider that defining Financial Benefit widely, for the purposes of calculating Success Fees and DBA Payments, places clients at greater risk than defining it narrowly.  We therefore make our </w:t>
      </w:r>
      <w:r w:rsidR="00C261AC" w:rsidRPr="00C3671B">
        <w:rPr>
          <w:b/>
        </w:rPr>
        <w:t>Final Recommendation 13(b</w:t>
      </w:r>
      <w:r w:rsidR="003B2326" w:rsidRPr="00C3671B">
        <w:rPr>
          <w:b/>
        </w:rPr>
        <w:t>), (c), (d), (e) and (f)</w:t>
      </w:r>
      <w:r w:rsidR="00760250" w:rsidRPr="00C3671B">
        <w:rPr>
          <w:b/>
        </w:rPr>
        <w:t xml:space="preserve"> </w:t>
      </w:r>
      <w:r w:rsidR="00760250" w:rsidRPr="00C3671B">
        <w:rPr>
          <w:lang w:val="en-US"/>
        </w:rPr>
        <w:t>as follows</w:t>
      </w:r>
      <w:r w:rsidR="00C261AC" w:rsidRPr="00C3671B">
        <w:rPr>
          <w:rFonts w:eastAsia="DengXian"/>
          <w:lang w:eastAsia="zh-CN"/>
        </w:rPr>
        <w:t>:</w:t>
      </w:r>
    </w:p>
    <w:p w14:paraId="33245AEA" w14:textId="66E1D861" w:rsidR="003B2326" w:rsidRPr="00C3671B" w:rsidRDefault="003B2326" w:rsidP="005B586D">
      <w:pPr>
        <w:rPr>
          <w:rFonts w:eastAsia="DengXian"/>
          <w:lang w:eastAsia="zh-CN"/>
        </w:rPr>
      </w:pPr>
    </w:p>
    <w:p w14:paraId="5923BA72" w14:textId="2465CB78" w:rsidR="003B2326" w:rsidRPr="00C3671B" w:rsidRDefault="006B0C50" w:rsidP="003B2326">
      <w:pPr>
        <w:widowControl/>
        <w:tabs>
          <w:tab w:val="clear" w:pos="1418"/>
        </w:tabs>
        <w:adjustRightInd/>
        <w:ind w:left="720" w:right="720"/>
        <w:rPr>
          <w:rFonts w:cs="Arial"/>
          <w:i/>
          <w:lang w:val="en-US"/>
        </w:rPr>
      </w:pPr>
      <w:r w:rsidRPr="00C3671B">
        <w:rPr>
          <w:rFonts w:cs="Arial"/>
          <w:i/>
          <w:lang w:val="en-US"/>
        </w:rPr>
        <w:t>"</w:t>
      </w:r>
      <w:r w:rsidR="003B2326" w:rsidRPr="00C3671B">
        <w:rPr>
          <w:rFonts w:cs="Arial"/>
          <w:i/>
          <w:lang w:val="en-US"/>
        </w:rPr>
        <w:t>We recommend that:</w:t>
      </w:r>
    </w:p>
    <w:p w14:paraId="4AB491A9" w14:textId="77777777" w:rsidR="003B2326" w:rsidRPr="00C3671B" w:rsidRDefault="003B2326" w:rsidP="003B2326">
      <w:pPr>
        <w:widowControl/>
        <w:tabs>
          <w:tab w:val="clear" w:pos="1418"/>
        </w:tabs>
        <w:adjustRightInd/>
        <w:ind w:left="720" w:right="720"/>
        <w:rPr>
          <w:rFonts w:cs="Arial"/>
          <w:i/>
          <w:lang w:val="en-US"/>
        </w:rPr>
      </w:pPr>
    </w:p>
    <w:p w14:paraId="7A5AC599" w14:textId="320B4E87" w:rsidR="003B2326" w:rsidRPr="00C3671B" w:rsidRDefault="003B2326" w:rsidP="00F4024F">
      <w:pPr>
        <w:pStyle w:val="ListParagraph"/>
        <w:widowControl/>
        <w:numPr>
          <w:ilvl w:val="0"/>
          <w:numId w:val="16"/>
        </w:numPr>
        <w:tabs>
          <w:tab w:val="clear" w:pos="1418"/>
        </w:tabs>
        <w:adjustRightInd/>
        <w:ind w:right="720"/>
        <w:rPr>
          <w:rFonts w:cs="Arial"/>
          <w:i/>
          <w:lang w:val="en-US"/>
        </w:rPr>
      </w:pPr>
      <w:r w:rsidRPr="00C3671B">
        <w:rPr>
          <w:rFonts w:cs="Arial"/>
          <w:i/>
          <w:lang w:val="en-US"/>
        </w:rPr>
        <w:t xml:space="preserve">… </w:t>
      </w:r>
    </w:p>
    <w:p w14:paraId="618B553C" w14:textId="77777777" w:rsidR="003B2326" w:rsidRPr="00C3671B" w:rsidRDefault="003B2326" w:rsidP="003B2326">
      <w:pPr>
        <w:pStyle w:val="ListParagraph"/>
        <w:widowControl/>
        <w:tabs>
          <w:tab w:val="clear" w:pos="1418"/>
        </w:tabs>
        <w:adjustRightInd/>
        <w:ind w:left="1440" w:right="720"/>
        <w:rPr>
          <w:rFonts w:cs="Arial"/>
          <w:i/>
          <w:lang w:val="en-US"/>
        </w:rPr>
      </w:pPr>
    </w:p>
    <w:p w14:paraId="576A4F26" w14:textId="3C210C5C" w:rsidR="003B2326" w:rsidRPr="00C3671B" w:rsidRDefault="003B2326" w:rsidP="003B2326">
      <w:pPr>
        <w:widowControl/>
        <w:tabs>
          <w:tab w:val="clear" w:pos="1418"/>
        </w:tabs>
        <w:adjustRightInd/>
        <w:ind w:left="1440" w:right="720" w:hanging="720"/>
        <w:rPr>
          <w:rFonts w:cs="Arial"/>
          <w:i/>
          <w:lang w:val="en-US"/>
        </w:rPr>
      </w:pPr>
      <w:r w:rsidRPr="00C3671B">
        <w:rPr>
          <w:rFonts w:cs="Arial"/>
          <w:i/>
          <w:lang w:val="en-US"/>
        </w:rPr>
        <w:t>(b)</w:t>
      </w:r>
      <w:r w:rsidRPr="00C3671B">
        <w:rPr>
          <w:rFonts w:cs="Arial"/>
          <w:i/>
          <w:lang w:val="en-US"/>
        </w:rPr>
        <w:tab/>
        <w:t>The Success Fee in CFAs should be fixed with reference to the fee that the Lawyer would charge the client if there were no ORFS in relation to the Arbitration.</w:t>
      </w:r>
      <w:r w:rsidR="00A9686D" w:rsidRPr="00C3671B">
        <w:rPr>
          <w:rStyle w:val="FootnoteReference"/>
          <w:rFonts w:cs="Arial"/>
          <w:sz w:val="24"/>
        </w:rPr>
        <w:footnoteReference w:id="33"/>
      </w:r>
      <w:r w:rsidRPr="00C3671B">
        <w:rPr>
          <w:rFonts w:cs="Arial"/>
          <w:i/>
          <w:lang w:val="en-US"/>
        </w:rPr>
        <w:t xml:space="preserve"> </w:t>
      </w:r>
    </w:p>
    <w:p w14:paraId="246B5559" w14:textId="77777777" w:rsidR="003B2326" w:rsidRPr="00C3671B" w:rsidRDefault="003B2326" w:rsidP="003B2326">
      <w:pPr>
        <w:widowControl/>
        <w:tabs>
          <w:tab w:val="clear" w:pos="1418"/>
        </w:tabs>
        <w:adjustRightInd/>
        <w:ind w:left="720" w:right="720"/>
        <w:rPr>
          <w:rFonts w:cs="Arial"/>
          <w:i/>
          <w:lang w:val="en-US"/>
        </w:rPr>
      </w:pPr>
    </w:p>
    <w:p w14:paraId="44B60A6D" w14:textId="7584FA07" w:rsidR="003B2326" w:rsidRPr="00C3671B" w:rsidRDefault="003B2326" w:rsidP="003B2326">
      <w:pPr>
        <w:widowControl/>
        <w:tabs>
          <w:tab w:val="clear" w:pos="1418"/>
        </w:tabs>
        <w:adjustRightInd/>
        <w:ind w:left="1440" w:right="720" w:hanging="720"/>
        <w:rPr>
          <w:rFonts w:cs="Arial"/>
          <w:i/>
          <w:lang w:val="en-US"/>
        </w:rPr>
      </w:pPr>
      <w:r w:rsidRPr="00C3671B">
        <w:rPr>
          <w:rFonts w:cs="Arial"/>
          <w:i/>
          <w:lang w:val="en-US"/>
        </w:rPr>
        <w:t>(c)</w:t>
      </w:r>
      <w:r w:rsidRPr="00C3671B">
        <w:rPr>
          <w:rFonts w:cs="Arial"/>
          <w:i/>
          <w:lang w:val="en-US"/>
        </w:rPr>
        <w:tab/>
        <w:t>A DBA Payment should be payable (depending on the terms agreed between Lawyer and client) wherever a Financial Benefit is obtained by the client, based on the value of that Financial Benefit.</w:t>
      </w:r>
      <w:r w:rsidR="00A9686D" w:rsidRPr="00C3671B">
        <w:rPr>
          <w:rStyle w:val="FootnoteReference"/>
          <w:rFonts w:cs="Arial"/>
          <w:sz w:val="24"/>
        </w:rPr>
        <w:footnoteReference w:id="34"/>
      </w:r>
      <w:r w:rsidRPr="00C3671B">
        <w:rPr>
          <w:rFonts w:cs="Arial"/>
          <w:i/>
          <w:lang w:val="en-US"/>
        </w:rPr>
        <w:t xml:space="preserve">  </w:t>
      </w:r>
    </w:p>
    <w:p w14:paraId="16BAE24C" w14:textId="77777777" w:rsidR="003B2326" w:rsidRPr="00C3671B" w:rsidRDefault="003B2326" w:rsidP="003B2326">
      <w:pPr>
        <w:widowControl/>
        <w:tabs>
          <w:tab w:val="clear" w:pos="1418"/>
        </w:tabs>
        <w:adjustRightInd/>
        <w:ind w:left="1440" w:right="720" w:hanging="720"/>
        <w:rPr>
          <w:rFonts w:cs="Arial"/>
          <w:i/>
          <w:lang w:val="en-US"/>
        </w:rPr>
      </w:pPr>
    </w:p>
    <w:p w14:paraId="1A884A43" w14:textId="311FE183" w:rsidR="003B2326" w:rsidRPr="00C3671B" w:rsidRDefault="003B2326" w:rsidP="003B2326">
      <w:pPr>
        <w:widowControl/>
        <w:tabs>
          <w:tab w:val="clear" w:pos="1418"/>
        </w:tabs>
        <w:adjustRightInd/>
        <w:ind w:left="1440" w:right="720" w:hanging="720"/>
        <w:rPr>
          <w:rFonts w:cs="Arial"/>
          <w:i/>
          <w:lang w:val="en-US"/>
        </w:rPr>
      </w:pPr>
      <w:r w:rsidRPr="00C3671B">
        <w:rPr>
          <w:rFonts w:cs="Arial"/>
          <w:i/>
          <w:lang w:val="en-US"/>
        </w:rPr>
        <w:lastRenderedPageBreak/>
        <w:t>(d)</w:t>
      </w:r>
      <w:r w:rsidRPr="00C3671B">
        <w:rPr>
          <w:rFonts w:cs="Arial"/>
          <w:i/>
          <w:lang w:val="en-US"/>
        </w:rPr>
        <w:tab/>
        <w:t xml:space="preserve">The relevant Financial Benefit may be a debt owed to a client, </w:t>
      </w:r>
      <w:proofErr w:type="spellStart"/>
      <w:r w:rsidRPr="00C3671B">
        <w:rPr>
          <w:rFonts w:cs="Arial"/>
          <w:i/>
          <w:lang w:val="en-US"/>
        </w:rPr>
        <w:t>eg</w:t>
      </w:r>
      <w:proofErr w:type="spellEnd"/>
      <w:r w:rsidRPr="00C3671B">
        <w:rPr>
          <w:rFonts w:cs="Arial"/>
          <w:i/>
          <w:lang w:val="en-US"/>
        </w:rPr>
        <w:t xml:space="preserve"> under an award or settlement or otherwise, rather than money or property actually received.</w:t>
      </w:r>
      <w:r w:rsidR="00A9686D" w:rsidRPr="00C3671B">
        <w:rPr>
          <w:rStyle w:val="FootnoteReference"/>
          <w:rFonts w:cs="Arial"/>
          <w:sz w:val="24"/>
        </w:rPr>
        <w:footnoteReference w:id="35"/>
      </w:r>
      <w:r w:rsidRPr="00C3671B">
        <w:rPr>
          <w:rFonts w:cs="Arial"/>
          <w:i/>
          <w:lang w:val="en-US"/>
        </w:rPr>
        <w:t xml:space="preserve"> </w:t>
      </w:r>
    </w:p>
    <w:p w14:paraId="7995BF35" w14:textId="77777777" w:rsidR="003B2326" w:rsidRPr="00C3671B" w:rsidRDefault="003B2326" w:rsidP="003B2326">
      <w:pPr>
        <w:widowControl/>
        <w:tabs>
          <w:tab w:val="clear" w:pos="1418"/>
        </w:tabs>
        <w:adjustRightInd/>
        <w:ind w:left="1440" w:right="720" w:hanging="720"/>
        <w:rPr>
          <w:rFonts w:cs="Arial"/>
          <w:i/>
          <w:lang w:val="en-US"/>
        </w:rPr>
      </w:pPr>
    </w:p>
    <w:p w14:paraId="00D5506A" w14:textId="7049689C" w:rsidR="003B2326" w:rsidRPr="00C3671B" w:rsidRDefault="003B2326" w:rsidP="003B2326">
      <w:pPr>
        <w:widowControl/>
        <w:tabs>
          <w:tab w:val="clear" w:pos="1418"/>
        </w:tabs>
        <w:adjustRightInd/>
        <w:ind w:left="1440" w:right="720" w:hanging="720"/>
        <w:rPr>
          <w:rFonts w:cs="Arial"/>
          <w:i/>
          <w:lang w:val="en-US"/>
        </w:rPr>
      </w:pPr>
      <w:r w:rsidRPr="00C3671B">
        <w:rPr>
          <w:rFonts w:cs="Arial"/>
          <w:i/>
          <w:lang w:val="en-US"/>
        </w:rPr>
        <w:t>(e)</w:t>
      </w:r>
      <w:r w:rsidRPr="00C3671B">
        <w:rPr>
          <w:rFonts w:cs="Arial"/>
          <w:i/>
          <w:lang w:val="en-US"/>
        </w:rPr>
        <w:tab/>
        <w:t>Provision should be made for cases in which the result will not involve monetary damages by providing a definition of money or money</w:t>
      </w:r>
      <w:r w:rsidR="006B0C50" w:rsidRPr="00C3671B">
        <w:rPr>
          <w:rFonts w:cs="Arial"/>
          <w:i/>
          <w:lang w:val="en-US"/>
        </w:rPr>
        <w:t>'</w:t>
      </w:r>
      <w:r w:rsidRPr="00C3671B">
        <w:rPr>
          <w:rFonts w:cs="Arial"/>
          <w:i/>
          <w:lang w:val="en-US"/>
        </w:rPr>
        <w:t>s worth that includes consideration reducible to a monetary value.</w:t>
      </w:r>
      <w:r w:rsidR="00A9686D" w:rsidRPr="00C3671B">
        <w:rPr>
          <w:rStyle w:val="FootnoteReference"/>
          <w:rFonts w:cs="Arial"/>
          <w:sz w:val="24"/>
        </w:rPr>
        <w:footnoteReference w:id="36"/>
      </w:r>
      <w:r w:rsidRPr="00C3671B">
        <w:rPr>
          <w:rFonts w:cs="Arial"/>
          <w:i/>
          <w:lang w:val="en-US"/>
        </w:rPr>
        <w:t xml:space="preserve">  </w:t>
      </w:r>
    </w:p>
    <w:p w14:paraId="127AA53D" w14:textId="77777777" w:rsidR="003B2326" w:rsidRPr="00C3671B" w:rsidRDefault="003B2326" w:rsidP="003B2326">
      <w:pPr>
        <w:widowControl/>
        <w:tabs>
          <w:tab w:val="clear" w:pos="1418"/>
        </w:tabs>
        <w:adjustRightInd/>
        <w:ind w:left="1440" w:right="720" w:hanging="720"/>
        <w:rPr>
          <w:rFonts w:cs="Arial"/>
          <w:i/>
          <w:lang w:val="en-US"/>
        </w:rPr>
      </w:pPr>
    </w:p>
    <w:p w14:paraId="1BF262BA" w14:textId="17C3EC35" w:rsidR="003B2326" w:rsidRPr="00C3671B" w:rsidRDefault="003B2326" w:rsidP="003B2326">
      <w:pPr>
        <w:widowControl/>
        <w:tabs>
          <w:tab w:val="clear" w:pos="1418"/>
        </w:tabs>
        <w:adjustRightInd/>
        <w:ind w:left="1440" w:right="720" w:hanging="720"/>
        <w:rPr>
          <w:rFonts w:cs="Arial"/>
          <w:i/>
          <w:lang w:val="en-US"/>
        </w:rPr>
      </w:pPr>
      <w:r w:rsidRPr="00C3671B">
        <w:rPr>
          <w:rFonts w:cs="Arial"/>
          <w:i/>
          <w:lang w:val="en-US"/>
        </w:rPr>
        <w:t>(f)</w:t>
      </w:r>
      <w:r w:rsidRPr="00C3671B">
        <w:rPr>
          <w:rFonts w:cs="Arial"/>
          <w:i/>
          <w:lang w:val="en-US"/>
        </w:rPr>
        <w:tab/>
        <w:t xml:space="preserve">Respondents </w:t>
      </w:r>
      <w:r w:rsidR="007145DA" w:rsidRPr="00C3671B">
        <w:rPr>
          <w:rFonts w:cs="Arial"/>
          <w:i/>
          <w:lang w:val="en-US"/>
        </w:rPr>
        <w:t xml:space="preserve">in Arbitrations </w:t>
      </w:r>
      <w:r w:rsidRPr="00C3671B">
        <w:rPr>
          <w:rFonts w:cs="Arial"/>
          <w:i/>
          <w:lang w:val="en-US"/>
        </w:rPr>
        <w:t>should be permitted to agree with their Lawyers that a DBA Payment shall be payable in the event the respondents are held liable for less than the amount claimed or less than an agreed threshold.</w:t>
      </w:r>
      <w:r w:rsidR="00B262DF" w:rsidRPr="00C3671B">
        <w:rPr>
          <w:rStyle w:val="FootnoteReference"/>
          <w:rFonts w:cs="Arial"/>
          <w:sz w:val="24"/>
        </w:rPr>
        <w:footnoteReference w:id="37"/>
      </w:r>
      <w:r w:rsidR="006B0C50" w:rsidRPr="00C3671B">
        <w:rPr>
          <w:rFonts w:cs="Arial"/>
          <w:i/>
          <w:lang w:val="en-US"/>
        </w:rPr>
        <w:t>"</w:t>
      </w:r>
    </w:p>
    <w:p w14:paraId="2D869C91" w14:textId="5978EE7B" w:rsidR="00B74F82" w:rsidRPr="00C3671B" w:rsidRDefault="00B74F82" w:rsidP="005B586D"/>
    <w:p w14:paraId="0F61CCD6" w14:textId="77777777" w:rsidR="00BD0346" w:rsidRPr="00C3671B" w:rsidRDefault="00BD0346" w:rsidP="005B586D"/>
    <w:p w14:paraId="02C23C14" w14:textId="4CCAEFBF" w:rsidR="00C261AC" w:rsidRPr="00C3671B" w:rsidRDefault="00B304DD" w:rsidP="005B586D">
      <w:pPr>
        <w:widowControl/>
        <w:tabs>
          <w:tab w:val="clear" w:pos="1418"/>
          <w:tab w:val="left" w:pos="1545"/>
        </w:tabs>
        <w:adjustRightInd/>
        <w:rPr>
          <w:rFonts w:cs="Arial"/>
          <w:b/>
          <w:i/>
        </w:rPr>
      </w:pPr>
      <w:r w:rsidRPr="00C3671B">
        <w:rPr>
          <w:rFonts w:cs="Arial"/>
          <w:b/>
          <w:i/>
        </w:rPr>
        <w:t>Whether personal injury claims and any other category/</w:t>
      </w:r>
      <w:proofErr w:type="spellStart"/>
      <w:r w:rsidRPr="00C3671B">
        <w:rPr>
          <w:rFonts w:cs="Arial"/>
          <w:b/>
          <w:i/>
        </w:rPr>
        <w:t>ies</w:t>
      </w:r>
      <w:proofErr w:type="spellEnd"/>
      <w:r w:rsidRPr="00C3671B">
        <w:rPr>
          <w:rFonts w:cs="Arial"/>
          <w:b/>
          <w:i/>
        </w:rPr>
        <w:t xml:space="preserve"> of claim should be treated differently</w:t>
      </w:r>
    </w:p>
    <w:p w14:paraId="205C56DE" w14:textId="77777777" w:rsidR="003C21A6" w:rsidRPr="00C3671B" w:rsidRDefault="003C21A6" w:rsidP="005B586D"/>
    <w:p w14:paraId="7D1A43BD" w14:textId="191FDF98" w:rsidR="003E2A55" w:rsidRPr="00C3671B" w:rsidRDefault="00954B80" w:rsidP="00B304DD">
      <w:pPr>
        <w:widowControl/>
        <w:tabs>
          <w:tab w:val="clear" w:pos="1418"/>
          <w:tab w:val="left" w:pos="1545"/>
        </w:tabs>
        <w:adjustRightInd/>
        <w:spacing w:after="120"/>
        <w:rPr>
          <w:rFonts w:cs="Arial"/>
        </w:rPr>
      </w:pPr>
      <w:r w:rsidRPr="00C3671B">
        <w:rPr>
          <w:rFonts w:cs="Arial"/>
        </w:rPr>
        <w:t>3</w:t>
      </w:r>
      <w:r w:rsidR="00DE1CF6" w:rsidRPr="00C3671B">
        <w:rPr>
          <w:rFonts w:cs="Arial"/>
        </w:rPr>
        <w:t>6</w:t>
      </w:r>
      <w:r w:rsidR="00C261AC" w:rsidRPr="00C3671B">
        <w:rPr>
          <w:rFonts w:cs="Arial"/>
        </w:rPr>
        <w:t>.</w:t>
      </w:r>
      <w:r w:rsidR="00C261AC" w:rsidRPr="00C3671B">
        <w:rPr>
          <w:rFonts w:cs="Arial"/>
        </w:rPr>
        <w:tab/>
      </w:r>
      <w:r w:rsidR="003E2A55" w:rsidRPr="00C3671B">
        <w:rPr>
          <w:rFonts w:cs="Arial"/>
        </w:rPr>
        <w:t xml:space="preserve">Recommendation 13(c) in the CP seeks views on whether personal injury claims should be treated differently from other claims in Arbitration, by: </w:t>
      </w:r>
    </w:p>
    <w:p w14:paraId="39E22CBA" w14:textId="77777777" w:rsidR="003E2A55" w:rsidRPr="00C3671B" w:rsidRDefault="003E2A55" w:rsidP="00452F7B">
      <w:pPr>
        <w:pStyle w:val="ListParagraph"/>
        <w:widowControl/>
        <w:numPr>
          <w:ilvl w:val="0"/>
          <w:numId w:val="20"/>
        </w:numPr>
        <w:ind w:left="1418" w:rightChars="271" w:right="650"/>
        <w:rPr>
          <w:rFonts w:cs="Arial"/>
        </w:rPr>
      </w:pPr>
      <w:r w:rsidRPr="00C3671B">
        <w:rPr>
          <w:rFonts w:cs="Arial"/>
        </w:rPr>
        <w:t xml:space="preserve">imposing a lower cap on any Success Fee or DBA Payment in respect of a personal injury claim that is submitted to Arbitration; or </w:t>
      </w:r>
    </w:p>
    <w:p w14:paraId="2D65A382" w14:textId="0D957625" w:rsidR="003E2A55" w:rsidRPr="00C3671B" w:rsidRDefault="003E2A55" w:rsidP="00452F7B">
      <w:pPr>
        <w:pStyle w:val="ListParagraph"/>
        <w:widowControl/>
        <w:ind w:left="1418" w:rightChars="271" w:right="650"/>
        <w:rPr>
          <w:rFonts w:cs="Arial"/>
        </w:rPr>
      </w:pPr>
      <w:r w:rsidRPr="00C3671B">
        <w:rPr>
          <w:rFonts w:cs="Arial"/>
        </w:rPr>
        <w:tab/>
      </w:r>
    </w:p>
    <w:p w14:paraId="6A6A6F60" w14:textId="4D8F646D" w:rsidR="003E2A55" w:rsidRPr="00C3671B" w:rsidRDefault="003E2A55" w:rsidP="00452F7B">
      <w:pPr>
        <w:pStyle w:val="ListParagraph"/>
        <w:widowControl/>
        <w:numPr>
          <w:ilvl w:val="0"/>
          <w:numId w:val="20"/>
        </w:numPr>
        <w:ind w:left="1418" w:rightChars="271" w:right="650"/>
        <w:rPr>
          <w:rFonts w:cs="Arial"/>
        </w:rPr>
      </w:pPr>
      <w:proofErr w:type="gramStart"/>
      <w:r w:rsidRPr="00C3671B">
        <w:rPr>
          <w:rFonts w:cs="Arial"/>
        </w:rPr>
        <w:t>prohibiting</w:t>
      </w:r>
      <w:proofErr w:type="gramEnd"/>
      <w:r w:rsidRPr="00C3671B">
        <w:rPr>
          <w:rFonts w:cs="Arial"/>
        </w:rPr>
        <w:t xml:space="preserve"> Lawyers from ente</w:t>
      </w:r>
      <w:r w:rsidR="0066358A" w:rsidRPr="00C3671B">
        <w:rPr>
          <w:rFonts w:cs="Arial"/>
        </w:rPr>
        <w:t xml:space="preserve">ring into ORFSs in respect of </w:t>
      </w:r>
      <w:r w:rsidRPr="00C3671B">
        <w:rPr>
          <w:rFonts w:cs="Arial"/>
        </w:rPr>
        <w:t>personal injury claims that are submitted to Arbitration.</w:t>
      </w:r>
    </w:p>
    <w:p w14:paraId="0DBF1D64" w14:textId="4622D4BF" w:rsidR="003E2A55" w:rsidRPr="00C3671B" w:rsidRDefault="003E2A55" w:rsidP="00452F7B">
      <w:pPr>
        <w:widowControl/>
        <w:ind w:rightChars="271" w:right="650"/>
        <w:rPr>
          <w:rFonts w:cs="Arial"/>
        </w:rPr>
      </w:pPr>
    </w:p>
    <w:p w14:paraId="4825F1E8" w14:textId="2CFF4BE1" w:rsidR="00B304DD" w:rsidRPr="00C3671B" w:rsidRDefault="00954B80" w:rsidP="005B586D">
      <w:pPr>
        <w:widowControl/>
        <w:tabs>
          <w:tab w:val="clear" w:pos="1418"/>
          <w:tab w:val="left" w:pos="1545"/>
        </w:tabs>
        <w:adjustRightInd/>
      </w:pPr>
      <w:r w:rsidRPr="00C3671B">
        <w:rPr>
          <w:rFonts w:cs="Arial"/>
        </w:rPr>
        <w:t>3</w:t>
      </w:r>
      <w:r w:rsidR="00DE1CF6" w:rsidRPr="00C3671B">
        <w:rPr>
          <w:rFonts w:cs="Arial"/>
        </w:rPr>
        <w:t>7</w:t>
      </w:r>
      <w:r w:rsidR="0066358A" w:rsidRPr="00C3671B">
        <w:rPr>
          <w:rFonts w:cs="Arial"/>
        </w:rPr>
        <w:t>.</w:t>
      </w:r>
      <w:r w:rsidR="0066358A" w:rsidRPr="00C3671B">
        <w:rPr>
          <w:rFonts w:cs="Arial"/>
        </w:rPr>
        <w:tab/>
      </w:r>
      <w:r w:rsidR="00B304DD" w:rsidRPr="00C3671B">
        <w:rPr>
          <w:rFonts w:cs="Arial"/>
        </w:rPr>
        <w:t xml:space="preserve">Almost all Respondents who expressed a view on Recommendation 13(c) prefer to exclude personal injury claims completely from any ORFS regime for Arbitration.  Several Respondents expressed concerns about the potential for Lawyers or claims intermediaries to use </w:t>
      </w:r>
      <w:r w:rsidR="00B304DD" w:rsidRPr="00C3671B">
        <w:t xml:space="preserve">ORFSs for Arbitration to exploit vulnerable personal injury victims.  </w:t>
      </w:r>
    </w:p>
    <w:p w14:paraId="760B7B02" w14:textId="261F18F0" w:rsidR="00B304DD" w:rsidRPr="00C3671B" w:rsidRDefault="00B304DD" w:rsidP="00452F7B">
      <w:pPr>
        <w:widowControl/>
        <w:tabs>
          <w:tab w:val="clear" w:pos="1418"/>
          <w:tab w:val="left" w:pos="1440"/>
        </w:tabs>
        <w:ind w:rightChars="271" w:right="650"/>
        <w:rPr>
          <w:rFonts w:cs="Arial"/>
        </w:rPr>
      </w:pPr>
    </w:p>
    <w:p w14:paraId="0608586C" w14:textId="290FB597" w:rsidR="00B304DD" w:rsidRPr="00C3671B" w:rsidRDefault="00954B80" w:rsidP="00B304DD">
      <w:pPr>
        <w:widowControl/>
        <w:tabs>
          <w:tab w:val="clear" w:pos="1418"/>
          <w:tab w:val="left" w:pos="1440"/>
        </w:tabs>
        <w:rPr>
          <w:rFonts w:cs="Arial"/>
        </w:rPr>
      </w:pPr>
      <w:r w:rsidRPr="00C3671B">
        <w:rPr>
          <w:rFonts w:cs="Arial"/>
        </w:rPr>
        <w:t>3</w:t>
      </w:r>
      <w:r w:rsidR="00DE1CF6" w:rsidRPr="00C3671B">
        <w:rPr>
          <w:rFonts w:cs="Arial"/>
        </w:rPr>
        <w:t>8</w:t>
      </w:r>
      <w:r w:rsidR="00B304DD" w:rsidRPr="00C3671B">
        <w:rPr>
          <w:rFonts w:cs="Arial"/>
        </w:rPr>
        <w:t>.</w:t>
      </w:r>
      <w:r w:rsidR="00B304DD" w:rsidRPr="00C3671B">
        <w:rPr>
          <w:rFonts w:cs="Arial"/>
        </w:rPr>
        <w:tab/>
        <w:t>We understand and appreciate these concerns, and agree that individuals are generally more vulnerable to exploitation by unscrupulous professionals than corporate entities, which will typically be more sophisticated and more frequent users of arbitration</w:t>
      </w:r>
      <w:r w:rsidR="003C21A6" w:rsidRPr="00C3671B">
        <w:rPr>
          <w:rFonts w:cs="Arial"/>
        </w:rPr>
        <w:t xml:space="preserve">.  </w:t>
      </w:r>
      <w:r w:rsidR="00B304DD" w:rsidRPr="00C3671B">
        <w:rPr>
          <w:rFonts w:cs="Arial"/>
        </w:rPr>
        <w:t xml:space="preserve">In light of this, we recommend that </w:t>
      </w:r>
      <w:r w:rsidR="00A869EB" w:rsidRPr="00C3671B">
        <w:rPr>
          <w:rFonts w:cs="Arial"/>
        </w:rPr>
        <w:t>ORFS</w:t>
      </w:r>
      <w:r w:rsidR="001B03B8" w:rsidRPr="00C3671B">
        <w:rPr>
          <w:rFonts w:cs="Arial"/>
        </w:rPr>
        <w:t>s</w:t>
      </w:r>
      <w:r w:rsidR="00A869EB" w:rsidRPr="00C3671B">
        <w:rPr>
          <w:rFonts w:cs="Arial"/>
        </w:rPr>
        <w:t xml:space="preserve"> for Arbitration should be void and unenforceable to the extent that </w:t>
      </w:r>
      <w:r w:rsidR="001B03B8" w:rsidRPr="00C3671B">
        <w:rPr>
          <w:rFonts w:cs="Arial"/>
        </w:rPr>
        <w:t>they relate to personal injury</w:t>
      </w:r>
      <w:r w:rsidR="00A869EB" w:rsidRPr="00C3671B">
        <w:rPr>
          <w:rFonts w:cs="Arial"/>
        </w:rPr>
        <w:t xml:space="preserve"> claim</w:t>
      </w:r>
      <w:r w:rsidR="001B03B8" w:rsidRPr="00C3671B">
        <w:rPr>
          <w:rFonts w:cs="Arial"/>
        </w:rPr>
        <w:t>s</w:t>
      </w:r>
      <w:r w:rsidR="00B304DD" w:rsidRPr="00C3671B">
        <w:rPr>
          <w:rFonts w:cs="Arial"/>
        </w:rPr>
        <w:t xml:space="preserve">.  However, we are mindful of the possibility that </w:t>
      </w:r>
      <w:r w:rsidR="00A869EB" w:rsidRPr="00C3671B">
        <w:rPr>
          <w:rFonts w:cs="Arial"/>
        </w:rPr>
        <w:t xml:space="preserve">prescribing </w:t>
      </w:r>
      <w:r w:rsidR="00B304DD" w:rsidRPr="00C3671B">
        <w:rPr>
          <w:rFonts w:cs="Arial"/>
        </w:rPr>
        <w:t xml:space="preserve">ORFSs for personal injury Arbitrations </w:t>
      </w:r>
      <w:r w:rsidR="00A869EB" w:rsidRPr="00C3671B">
        <w:rPr>
          <w:rFonts w:cs="Arial"/>
        </w:rPr>
        <w:t xml:space="preserve">to be void and unenforceable </w:t>
      </w:r>
      <w:r w:rsidR="00B304DD" w:rsidRPr="00C3671B">
        <w:rPr>
          <w:rFonts w:cs="Arial"/>
        </w:rPr>
        <w:t>could adversely affect parties</w:t>
      </w:r>
      <w:r w:rsidR="006B0C50" w:rsidRPr="00C3671B">
        <w:rPr>
          <w:rFonts w:cs="Arial"/>
        </w:rPr>
        <w:t>'</w:t>
      </w:r>
      <w:r w:rsidR="00B304DD" w:rsidRPr="00C3671B">
        <w:rPr>
          <w:rFonts w:cs="Arial"/>
        </w:rPr>
        <w:t xml:space="preserve"> ability to pursue personal injury claims against their insurers (whose policies frequently require disputes to be resolved by arbitration), we recommend that this be reviewed two to three years after implementation of the ORFS regime.</w:t>
      </w:r>
    </w:p>
    <w:p w14:paraId="4502286F" w14:textId="5B5EE565" w:rsidR="003C21A6" w:rsidRPr="00C3671B" w:rsidRDefault="003C21A6" w:rsidP="00B304DD">
      <w:pPr>
        <w:widowControl/>
        <w:tabs>
          <w:tab w:val="clear" w:pos="1418"/>
          <w:tab w:val="left" w:pos="1440"/>
        </w:tabs>
        <w:rPr>
          <w:rFonts w:cs="Arial"/>
        </w:rPr>
      </w:pPr>
    </w:p>
    <w:p w14:paraId="7F0F0E0A" w14:textId="2C072F1A" w:rsidR="00741660" w:rsidRPr="00C3671B" w:rsidRDefault="00954B80" w:rsidP="00741660">
      <w:pPr>
        <w:widowControl/>
        <w:tabs>
          <w:tab w:val="clear" w:pos="1418"/>
          <w:tab w:val="left" w:pos="1440"/>
        </w:tabs>
        <w:rPr>
          <w:rFonts w:cs="Arial"/>
        </w:rPr>
      </w:pPr>
      <w:r w:rsidRPr="00C3671B">
        <w:rPr>
          <w:rFonts w:cs="Arial"/>
        </w:rPr>
        <w:lastRenderedPageBreak/>
        <w:t>3</w:t>
      </w:r>
      <w:r w:rsidR="00DE1CF6" w:rsidRPr="00C3671B">
        <w:rPr>
          <w:rFonts w:cs="Arial"/>
        </w:rPr>
        <w:t>9</w:t>
      </w:r>
      <w:r w:rsidR="003C21A6" w:rsidRPr="00C3671B">
        <w:rPr>
          <w:rFonts w:cs="Arial"/>
        </w:rPr>
        <w:t>.</w:t>
      </w:r>
      <w:r w:rsidR="003C21A6" w:rsidRPr="00C3671B">
        <w:rPr>
          <w:rFonts w:cs="Arial"/>
        </w:rPr>
        <w:tab/>
        <w:t>On the other hand,</w:t>
      </w:r>
      <w:r w:rsidR="0066358A" w:rsidRPr="00C3671B">
        <w:rPr>
          <w:rFonts w:cs="Arial"/>
        </w:rPr>
        <w:t xml:space="preserve"> Recommendation 13(d) in the CP seeks views on whether any additional category/</w:t>
      </w:r>
      <w:proofErr w:type="spellStart"/>
      <w:r w:rsidR="0066358A" w:rsidRPr="00C3671B">
        <w:rPr>
          <w:rFonts w:cs="Arial"/>
        </w:rPr>
        <w:t>ies</w:t>
      </w:r>
      <w:proofErr w:type="spellEnd"/>
      <w:r w:rsidR="0066358A" w:rsidRPr="00C3671B">
        <w:rPr>
          <w:rFonts w:cs="Arial"/>
        </w:rPr>
        <w:t xml:space="preserve"> of claim should be treated differently from other claims that are submitted to Arbitration if ORFSs are introduced.  T</w:t>
      </w:r>
      <w:r w:rsidR="003C21A6" w:rsidRPr="00C3671B">
        <w:rPr>
          <w:rFonts w:cs="Arial"/>
        </w:rPr>
        <w:t>here was a limit</w:t>
      </w:r>
      <w:r w:rsidR="00C72EC3" w:rsidRPr="00C3671B">
        <w:rPr>
          <w:rFonts w:cs="Arial"/>
        </w:rPr>
        <w:t>ed</w:t>
      </w:r>
      <w:r w:rsidR="003C21A6" w:rsidRPr="00C3671B">
        <w:rPr>
          <w:rFonts w:cs="Arial"/>
        </w:rPr>
        <w:t xml:space="preserve"> re</w:t>
      </w:r>
      <w:r w:rsidR="00741660" w:rsidRPr="00C3671B">
        <w:rPr>
          <w:rFonts w:cs="Arial"/>
        </w:rPr>
        <w:t>sponse to</w:t>
      </w:r>
      <w:r w:rsidR="0066358A" w:rsidRPr="00C3671B">
        <w:rPr>
          <w:rFonts w:cs="Arial"/>
        </w:rPr>
        <w:t xml:space="preserve"> the recommendation</w:t>
      </w:r>
      <w:r w:rsidR="00741660" w:rsidRPr="00C3671B">
        <w:rPr>
          <w:rFonts w:cs="Arial"/>
        </w:rPr>
        <w:t xml:space="preserve">.  We consider that it is not necessary to limit expressly any ORFS regime for Arbitration to commercial claims, nor to exclude any other category of claims.  We also consider that the proposed regime would be limited, in practice, by the doctrine of </w:t>
      </w:r>
      <w:proofErr w:type="spellStart"/>
      <w:r w:rsidR="00741660" w:rsidRPr="00C3671B">
        <w:rPr>
          <w:rFonts w:cs="Arial"/>
        </w:rPr>
        <w:t>arbitrability</w:t>
      </w:r>
      <w:proofErr w:type="spellEnd"/>
      <w:r w:rsidR="00741660" w:rsidRPr="00C3671B">
        <w:rPr>
          <w:rFonts w:cs="Arial"/>
        </w:rPr>
        <w:t xml:space="preserve"> and the right of a party to challenge an award that purports to dispose of a dispute that is not capable of settlement by Arbitration under Hong Kong law.  In our view, this is the preferable approach because it is consistent with the overall approach under the Arbitration Ordinance, and offers sufficient protection to users of the proposed ORFS regime for Arbitration.  We therefore make our </w:t>
      </w:r>
      <w:r w:rsidR="00741660" w:rsidRPr="00C3671B">
        <w:rPr>
          <w:rFonts w:cs="Arial"/>
          <w:b/>
        </w:rPr>
        <w:t>Final Recommendation 13 (g) and (h)</w:t>
      </w:r>
      <w:r w:rsidR="00C72EC3" w:rsidRPr="00C3671B">
        <w:rPr>
          <w:rFonts w:cs="Arial"/>
          <w:b/>
        </w:rPr>
        <w:t xml:space="preserve"> </w:t>
      </w:r>
      <w:r w:rsidR="00C72EC3" w:rsidRPr="00C3671B">
        <w:rPr>
          <w:rFonts w:cs="Arial"/>
        </w:rPr>
        <w:t>as follows</w:t>
      </w:r>
      <w:r w:rsidR="00741660" w:rsidRPr="00C3671B">
        <w:rPr>
          <w:rFonts w:cs="Arial"/>
        </w:rPr>
        <w:t>:</w:t>
      </w:r>
    </w:p>
    <w:p w14:paraId="4CB48353" w14:textId="20C9662F" w:rsidR="00741660" w:rsidRPr="00C3671B" w:rsidRDefault="00741660" w:rsidP="00741660">
      <w:pPr>
        <w:widowControl/>
        <w:tabs>
          <w:tab w:val="clear" w:pos="1418"/>
          <w:tab w:val="left" w:pos="1440"/>
        </w:tabs>
        <w:rPr>
          <w:rFonts w:cs="Arial"/>
        </w:rPr>
      </w:pPr>
    </w:p>
    <w:p w14:paraId="3B9E6054" w14:textId="3EE1BD0C" w:rsidR="00741660" w:rsidRPr="00C3671B" w:rsidRDefault="006B0C50" w:rsidP="00741660">
      <w:pPr>
        <w:widowControl/>
        <w:tabs>
          <w:tab w:val="clear" w:pos="1418"/>
        </w:tabs>
        <w:adjustRightInd/>
        <w:ind w:left="720" w:right="720"/>
        <w:rPr>
          <w:rFonts w:cs="Arial"/>
          <w:i/>
          <w:lang w:val="en-US"/>
        </w:rPr>
      </w:pPr>
      <w:r w:rsidRPr="00C3671B">
        <w:rPr>
          <w:rFonts w:cs="Arial"/>
          <w:i/>
          <w:lang w:val="en-US"/>
        </w:rPr>
        <w:t>"</w:t>
      </w:r>
      <w:r w:rsidR="00741660" w:rsidRPr="00C3671B">
        <w:rPr>
          <w:rFonts w:cs="Arial"/>
          <w:i/>
          <w:lang w:val="en-US"/>
        </w:rPr>
        <w:t>We recommend that:</w:t>
      </w:r>
    </w:p>
    <w:p w14:paraId="45E24557" w14:textId="77777777" w:rsidR="00741660" w:rsidRPr="00C3671B" w:rsidRDefault="00741660" w:rsidP="00741660">
      <w:pPr>
        <w:widowControl/>
        <w:tabs>
          <w:tab w:val="clear" w:pos="1418"/>
        </w:tabs>
        <w:adjustRightInd/>
        <w:ind w:left="720" w:right="720"/>
        <w:rPr>
          <w:rFonts w:cs="Arial"/>
          <w:i/>
          <w:sz w:val="20"/>
          <w:szCs w:val="20"/>
          <w:lang w:val="en-US"/>
        </w:rPr>
      </w:pPr>
    </w:p>
    <w:p w14:paraId="148AF7BF" w14:textId="493CBB21" w:rsidR="00741660" w:rsidRPr="00C3671B" w:rsidRDefault="00295057" w:rsidP="00F4024F">
      <w:pPr>
        <w:pStyle w:val="ListParagraph"/>
        <w:widowControl/>
        <w:numPr>
          <w:ilvl w:val="0"/>
          <w:numId w:val="17"/>
        </w:numPr>
        <w:tabs>
          <w:tab w:val="clear" w:pos="1418"/>
        </w:tabs>
        <w:adjustRightInd/>
        <w:ind w:right="720"/>
        <w:rPr>
          <w:rFonts w:cs="Arial"/>
          <w:i/>
          <w:lang w:val="en-US"/>
        </w:rPr>
      </w:pPr>
      <w:r>
        <w:rPr>
          <w:rFonts w:cs="Arial"/>
          <w:i/>
          <w:lang w:val="en-US"/>
        </w:rPr>
        <w:tab/>
      </w:r>
      <w:bookmarkStart w:id="3" w:name="_GoBack"/>
      <w:bookmarkEnd w:id="3"/>
      <w:r w:rsidR="00741660" w:rsidRPr="00C3671B">
        <w:rPr>
          <w:rFonts w:cs="Arial"/>
          <w:i/>
          <w:lang w:val="en-US"/>
        </w:rPr>
        <w:t xml:space="preserve">… </w:t>
      </w:r>
    </w:p>
    <w:p w14:paraId="1413FFE0" w14:textId="52A6256A" w:rsidR="00741660" w:rsidRPr="00C3671B" w:rsidRDefault="00741660" w:rsidP="00741660">
      <w:pPr>
        <w:pStyle w:val="ListParagraph"/>
        <w:widowControl/>
        <w:tabs>
          <w:tab w:val="clear" w:pos="1418"/>
        </w:tabs>
        <w:adjustRightInd/>
        <w:ind w:left="1080" w:right="720"/>
        <w:rPr>
          <w:rFonts w:cs="Arial"/>
          <w:i/>
          <w:sz w:val="20"/>
          <w:szCs w:val="20"/>
          <w:lang w:val="en-US"/>
        </w:rPr>
      </w:pPr>
      <w:r w:rsidRPr="00C3671B">
        <w:rPr>
          <w:rFonts w:cs="Arial"/>
          <w:i/>
          <w:lang w:val="en-US"/>
        </w:rPr>
        <w:t xml:space="preserve"> </w:t>
      </w:r>
    </w:p>
    <w:p w14:paraId="1A3168E5" w14:textId="5B4FFD1C" w:rsidR="00741660" w:rsidRPr="00C3671B" w:rsidRDefault="00741660" w:rsidP="00F4024F">
      <w:pPr>
        <w:pStyle w:val="ListParagraph"/>
        <w:widowControl/>
        <w:numPr>
          <w:ilvl w:val="0"/>
          <w:numId w:val="18"/>
        </w:numPr>
        <w:tabs>
          <w:tab w:val="clear" w:pos="1418"/>
        </w:tabs>
        <w:adjustRightInd/>
        <w:ind w:right="720" w:hanging="720"/>
        <w:rPr>
          <w:rFonts w:cs="Arial"/>
          <w:i/>
          <w:lang w:val="en-US"/>
        </w:rPr>
      </w:pPr>
      <w:r w:rsidRPr="00C3671B">
        <w:rPr>
          <w:rFonts w:cs="Arial"/>
          <w:i/>
        </w:rPr>
        <w:t>ORFSs</w:t>
      </w:r>
      <w:r w:rsidR="00A869EB" w:rsidRPr="00C3671B">
        <w:rPr>
          <w:rFonts w:cs="Arial"/>
          <w:i/>
        </w:rPr>
        <w:t xml:space="preserve"> for Arbitration should be void and une</w:t>
      </w:r>
      <w:r w:rsidR="001B03B8" w:rsidRPr="00C3671B">
        <w:rPr>
          <w:rFonts w:cs="Arial"/>
          <w:i/>
        </w:rPr>
        <w:t>nforceable to the extent that they relate to personal injury</w:t>
      </w:r>
      <w:r w:rsidR="00A869EB" w:rsidRPr="00C3671B">
        <w:rPr>
          <w:rFonts w:cs="Arial"/>
          <w:i/>
        </w:rPr>
        <w:t xml:space="preserve"> claim</w:t>
      </w:r>
      <w:r w:rsidR="001B03B8" w:rsidRPr="00C3671B">
        <w:rPr>
          <w:rFonts w:cs="Arial"/>
          <w:i/>
        </w:rPr>
        <w:t>s</w:t>
      </w:r>
      <w:r w:rsidRPr="00C3671B">
        <w:rPr>
          <w:rFonts w:cs="Arial"/>
          <w:i/>
        </w:rPr>
        <w:t>.</w:t>
      </w:r>
      <w:r w:rsidRPr="00C3671B">
        <w:rPr>
          <w:rFonts w:cs="Arial"/>
          <w:i/>
          <w:vertAlign w:val="superscript"/>
        </w:rPr>
        <w:footnoteReference w:id="38"/>
      </w:r>
    </w:p>
    <w:p w14:paraId="6A266843" w14:textId="77777777" w:rsidR="00741660" w:rsidRPr="00C3671B" w:rsidRDefault="00741660" w:rsidP="00741660">
      <w:pPr>
        <w:pStyle w:val="ListParagraph"/>
        <w:widowControl/>
        <w:tabs>
          <w:tab w:val="clear" w:pos="1418"/>
        </w:tabs>
        <w:adjustRightInd/>
        <w:ind w:left="1440" w:right="720"/>
        <w:rPr>
          <w:rFonts w:cs="Arial"/>
          <w:i/>
          <w:lang w:val="en-US"/>
        </w:rPr>
      </w:pPr>
      <w:r w:rsidRPr="00C3671B">
        <w:rPr>
          <w:rFonts w:cs="Arial"/>
          <w:i/>
          <w:lang w:val="en-US"/>
        </w:rPr>
        <w:t xml:space="preserve"> </w:t>
      </w:r>
    </w:p>
    <w:p w14:paraId="12AD5B96" w14:textId="286F1694" w:rsidR="00741660" w:rsidRPr="00C3671B" w:rsidRDefault="00741660" w:rsidP="00F4024F">
      <w:pPr>
        <w:pStyle w:val="ListParagraph"/>
        <w:widowControl/>
        <w:numPr>
          <w:ilvl w:val="0"/>
          <w:numId w:val="18"/>
        </w:numPr>
        <w:tabs>
          <w:tab w:val="clear" w:pos="1418"/>
        </w:tabs>
        <w:adjustRightInd/>
        <w:ind w:right="720" w:hanging="720"/>
        <w:rPr>
          <w:rFonts w:cs="Arial"/>
          <w:i/>
          <w:lang w:val="en-US"/>
        </w:rPr>
      </w:pPr>
      <w:r w:rsidRPr="00C3671B">
        <w:rPr>
          <w:rFonts w:cs="Arial"/>
          <w:i/>
        </w:rPr>
        <w:t xml:space="preserve">No other categories of claims should be treated differently </w:t>
      </w:r>
      <w:proofErr w:type="gramStart"/>
      <w:r w:rsidRPr="00C3671B">
        <w:rPr>
          <w:rFonts w:cs="Arial"/>
          <w:i/>
        </w:rPr>
        <w:t>from</w:t>
      </w:r>
      <w:proofErr w:type="gramEnd"/>
      <w:r w:rsidRPr="00C3671B">
        <w:rPr>
          <w:rFonts w:cs="Arial"/>
          <w:i/>
        </w:rPr>
        <w:t xml:space="preserve"> other claims that are submitted to Arbitration if ORFSs are introduced.</w:t>
      </w:r>
      <w:r w:rsidR="006B0C50" w:rsidRPr="00C3671B">
        <w:rPr>
          <w:rFonts w:cs="Arial"/>
          <w:i/>
        </w:rPr>
        <w:t>"</w:t>
      </w:r>
    </w:p>
    <w:p w14:paraId="62932A02" w14:textId="729D1D69" w:rsidR="003C21A6" w:rsidRPr="00C3671B" w:rsidRDefault="003C21A6" w:rsidP="003C21A6">
      <w:pPr>
        <w:widowControl/>
        <w:tabs>
          <w:tab w:val="clear" w:pos="1418"/>
          <w:tab w:val="left" w:pos="1440"/>
          <w:tab w:val="center" w:pos="4153"/>
        </w:tabs>
        <w:rPr>
          <w:rFonts w:cs="Arial"/>
        </w:rPr>
      </w:pPr>
    </w:p>
    <w:p w14:paraId="107E33BE" w14:textId="1C0DA59E" w:rsidR="00741660" w:rsidRPr="00C3671B" w:rsidRDefault="00741660" w:rsidP="003C21A6">
      <w:pPr>
        <w:widowControl/>
        <w:tabs>
          <w:tab w:val="clear" w:pos="1418"/>
          <w:tab w:val="left" w:pos="1440"/>
          <w:tab w:val="center" w:pos="4153"/>
        </w:tabs>
        <w:rPr>
          <w:rFonts w:cs="Arial"/>
        </w:rPr>
      </w:pPr>
    </w:p>
    <w:p w14:paraId="1D7B64C9" w14:textId="42454E8E" w:rsidR="00741660" w:rsidRPr="00C3671B" w:rsidRDefault="00741660" w:rsidP="00A2389D">
      <w:pPr>
        <w:widowControl/>
        <w:tabs>
          <w:tab w:val="clear" w:pos="1418"/>
          <w:tab w:val="left" w:pos="1545"/>
        </w:tabs>
        <w:adjustRightInd/>
        <w:rPr>
          <w:rFonts w:cs="Arial"/>
          <w:b/>
          <w:sz w:val="28"/>
        </w:rPr>
      </w:pPr>
      <w:r w:rsidRPr="00C3671B">
        <w:rPr>
          <w:rFonts w:cs="Arial"/>
          <w:b/>
          <w:sz w:val="28"/>
        </w:rPr>
        <w:t>Chapter 1</w:t>
      </w:r>
      <w:r w:rsidR="00F75373" w:rsidRPr="00C3671B">
        <w:rPr>
          <w:rFonts w:cs="Arial"/>
          <w:b/>
          <w:sz w:val="28"/>
        </w:rPr>
        <w:t>5</w:t>
      </w:r>
      <w:r w:rsidRPr="00C3671B">
        <w:rPr>
          <w:rFonts w:cs="Arial"/>
          <w:b/>
          <w:sz w:val="28"/>
        </w:rPr>
        <w:t>:</w:t>
      </w:r>
      <w:r w:rsidRPr="00C3671B">
        <w:rPr>
          <w:rFonts w:cs="Arial"/>
          <w:sz w:val="28"/>
        </w:rPr>
        <w:t xml:space="preserve"> </w:t>
      </w:r>
      <w:r w:rsidR="00F75373" w:rsidRPr="00C3671B">
        <w:rPr>
          <w:rFonts w:cs="Arial"/>
          <w:b/>
          <w:sz w:val="28"/>
        </w:rPr>
        <w:t>Charge separately for separate aspects of Arbitration</w:t>
      </w:r>
    </w:p>
    <w:p w14:paraId="52975A44" w14:textId="4DC8C87B" w:rsidR="00741660" w:rsidRPr="00C3671B" w:rsidRDefault="00741660" w:rsidP="003C21A6">
      <w:pPr>
        <w:widowControl/>
        <w:tabs>
          <w:tab w:val="clear" w:pos="1418"/>
          <w:tab w:val="left" w:pos="1440"/>
          <w:tab w:val="center" w:pos="4153"/>
        </w:tabs>
        <w:rPr>
          <w:rFonts w:cs="Arial"/>
        </w:rPr>
      </w:pPr>
    </w:p>
    <w:p w14:paraId="2ABFF672" w14:textId="4F315441" w:rsidR="00741660" w:rsidRPr="00C3671B" w:rsidRDefault="00DE1CF6" w:rsidP="003C21A6">
      <w:pPr>
        <w:widowControl/>
        <w:tabs>
          <w:tab w:val="clear" w:pos="1418"/>
          <w:tab w:val="left" w:pos="1440"/>
          <w:tab w:val="center" w:pos="4153"/>
        </w:tabs>
        <w:rPr>
          <w:rFonts w:cs="Arial"/>
        </w:rPr>
      </w:pPr>
      <w:r w:rsidRPr="00C3671B">
        <w:rPr>
          <w:rFonts w:cs="Arial"/>
        </w:rPr>
        <w:t>40</w:t>
      </w:r>
      <w:r w:rsidR="00741660" w:rsidRPr="00C3671B">
        <w:rPr>
          <w:rFonts w:cs="Arial"/>
        </w:rPr>
        <w:t>.</w:t>
      </w:r>
      <w:r w:rsidR="00741660" w:rsidRPr="00C3671B">
        <w:rPr>
          <w:rFonts w:cs="Arial"/>
        </w:rPr>
        <w:tab/>
        <w:t xml:space="preserve">Recommendation 14 in the CP recommends that Lawyers and legal practices should be permitted to charge separately for work done in relation to separate but related aspects of the Arbitration, such as counterclaims, enforcement actions and appeals.  The majority of Respondents, who replied specifically on this issue, supported the recommendation.  We agree with the Sub-committee that such approach upholds freedom of contract, and allows considerable flexibility for the client and the Lawyer not only to agree on how to structure their fee (and any ORFS) arrangements to suit their particular needs and circumstances, but also maximum flexibility to negotiate and agree what constitutes a Financial Benefit in the context of the particular case in which the ORFS is being used.  </w:t>
      </w:r>
      <w:r w:rsidR="00F4024F" w:rsidRPr="00C3671B">
        <w:rPr>
          <w:rFonts w:cs="Arial"/>
        </w:rPr>
        <w:t xml:space="preserve">Based on Recommendation 14 in the CP (with some modifications in relation to safeguards), we make </w:t>
      </w:r>
      <w:r w:rsidR="00F4024F" w:rsidRPr="00C3671B">
        <w:rPr>
          <w:rFonts w:cs="Arial"/>
          <w:b/>
        </w:rPr>
        <w:t>Final Recommendation 14</w:t>
      </w:r>
      <w:r w:rsidR="00760250" w:rsidRPr="00C3671B">
        <w:rPr>
          <w:rFonts w:cs="Arial"/>
          <w:b/>
        </w:rPr>
        <w:t xml:space="preserve"> </w:t>
      </w:r>
      <w:r w:rsidR="00760250" w:rsidRPr="00C3671B">
        <w:rPr>
          <w:rFonts w:cs="Arial"/>
          <w:lang w:val="en-US"/>
        </w:rPr>
        <w:t>as follows</w:t>
      </w:r>
      <w:r w:rsidR="00F4024F" w:rsidRPr="00C3671B">
        <w:rPr>
          <w:rFonts w:cs="Arial"/>
        </w:rPr>
        <w:t xml:space="preserve">: </w:t>
      </w:r>
    </w:p>
    <w:p w14:paraId="25AAEADE" w14:textId="13890EE0" w:rsidR="00F4024F" w:rsidRPr="00C3671B" w:rsidRDefault="00F4024F" w:rsidP="003C21A6">
      <w:pPr>
        <w:widowControl/>
        <w:tabs>
          <w:tab w:val="clear" w:pos="1418"/>
          <w:tab w:val="left" w:pos="1440"/>
          <w:tab w:val="center" w:pos="4153"/>
        </w:tabs>
        <w:rPr>
          <w:rFonts w:cs="Arial"/>
          <w:sz w:val="20"/>
          <w:szCs w:val="20"/>
        </w:rPr>
      </w:pPr>
    </w:p>
    <w:p w14:paraId="4F975B91" w14:textId="53A07C89" w:rsidR="00F4024F" w:rsidRPr="00C3671B" w:rsidRDefault="006B0C50" w:rsidP="00A2389D">
      <w:pPr>
        <w:widowControl/>
        <w:tabs>
          <w:tab w:val="clear" w:pos="1418"/>
        </w:tabs>
        <w:adjustRightInd/>
        <w:ind w:left="1440" w:right="720" w:hanging="720"/>
        <w:rPr>
          <w:rFonts w:cs="Arial"/>
          <w:i/>
          <w:lang w:val="en-US"/>
        </w:rPr>
      </w:pPr>
      <w:r w:rsidRPr="00C3671B">
        <w:rPr>
          <w:rFonts w:cs="Arial"/>
          <w:i/>
          <w:lang w:val="en-US"/>
        </w:rPr>
        <w:t>"</w:t>
      </w:r>
      <w:r w:rsidR="00F4024F" w:rsidRPr="00C3671B">
        <w:rPr>
          <w:rFonts w:cs="Arial"/>
          <w:i/>
          <w:lang w:val="en-US"/>
        </w:rPr>
        <w:t>We recommend that:</w:t>
      </w:r>
    </w:p>
    <w:p w14:paraId="7CA09E31" w14:textId="77777777" w:rsidR="00F4024F" w:rsidRPr="00C3671B" w:rsidRDefault="00F4024F" w:rsidP="00A2389D">
      <w:pPr>
        <w:widowControl/>
        <w:tabs>
          <w:tab w:val="clear" w:pos="1418"/>
        </w:tabs>
        <w:adjustRightInd/>
        <w:ind w:left="1440" w:right="720" w:hanging="720"/>
        <w:rPr>
          <w:rFonts w:cs="Arial"/>
          <w:i/>
          <w:lang w:val="en-US"/>
        </w:rPr>
      </w:pPr>
    </w:p>
    <w:p w14:paraId="38E1B9CF" w14:textId="77777777" w:rsidR="00F4024F" w:rsidRPr="00C3671B" w:rsidRDefault="00F4024F" w:rsidP="00A2389D">
      <w:pPr>
        <w:widowControl/>
        <w:tabs>
          <w:tab w:val="clear" w:pos="1418"/>
        </w:tabs>
        <w:adjustRightInd/>
        <w:ind w:left="1440" w:right="720" w:hanging="720"/>
        <w:rPr>
          <w:rFonts w:cs="Arial"/>
          <w:i/>
          <w:lang w:val="en-US"/>
        </w:rPr>
      </w:pPr>
      <w:r w:rsidRPr="00C3671B">
        <w:rPr>
          <w:rFonts w:cs="Arial"/>
          <w:i/>
          <w:lang w:val="en-US"/>
        </w:rPr>
        <w:t>(a)</w:t>
      </w:r>
      <w:r w:rsidRPr="00C3671B">
        <w:rPr>
          <w:rFonts w:cs="Arial"/>
          <w:i/>
          <w:lang w:val="en-US"/>
        </w:rPr>
        <w:tab/>
        <w:t xml:space="preserve">Lawyers and legal practices should be permitted to charge separately for work done in relation to separate but related </w:t>
      </w:r>
      <w:r w:rsidRPr="00C3671B">
        <w:rPr>
          <w:rFonts w:cs="Arial"/>
          <w:i/>
          <w:lang w:val="en-US"/>
        </w:rPr>
        <w:lastRenderedPageBreak/>
        <w:t xml:space="preserve">aspects of the Arbitration, such as counterclaims, enforcement actions and appeals.  </w:t>
      </w:r>
    </w:p>
    <w:p w14:paraId="46A2055A" w14:textId="77777777" w:rsidR="00F4024F" w:rsidRPr="00C3671B" w:rsidRDefault="00F4024F" w:rsidP="00A2389D">
      <w:pPr>
        <w:widowControl/>
        <w:tabs>
          <w:tab w:val="clear" w:pos="1418"/>
        </w:tabs>
        <w:adjustRightInd/>
        <w:ind w:left="1440" w:right="720" w:hanging="720"/>
        <w:rPr>
          <w:rFonts w:cs="Arial"/>
          <w:i/>
          <w:lang w:val="en-US"/>
        </w:rPr>
      </w:pPr>
    </w:p>
    <w:p w14:paraId="50B42EA7" w14:textId="77777777" w:rsidR="00F4024F" w:rsidRPr="00C3671B" w:rsidRDefault="00F4024F" w:rsidP="00A2389D">
      <w:pPr>
        <w:widowControl/>
        <w:tabs>
          <w:tab w:val="clear" w:pos="1418"/>
        </w:tabs>
        <w:adjustRightInd/>
        <w:ind w:left="1440" w:right="720" w:hanging="720"/>
        <w:rPr>
          <w:rFonts w:cs="Arial"/>
          <w:i/>
          <w:lang w:val="en-US"/>
        </w:rPr>
      </w:pPr>
      <w:r w:rsidRPr="00C3671B">
        <w:rPr>
          <w:rFonts w:cs="Arial"/>
          <w:i/>
          <w:lang w:val="en-US"/>
        </w:rPr>
        <w:t>(b)</w:t>
      </w:r>
      <w:r w:rsidRPr="00C3671B">
        <w:rPr>
          <w:rFonts w:cs="Arial"/>
          <w:i/>
          <w:lang w:val="en-US"/>
        </w:rPr>
        <w:tab/>
        <w:t>Subsidiary legislation should include provisions to require the following matters to be stated clearly in the ORFS:</w:t>
      </w:r>
    </w:p>
    <w:p w14:paraId="4CD0080E" w14:textId="5C9C7765" w:rsidR="00F4024F" w:rsidRPr="00C3671B" w:rsidRDefault="00F4024F" w:rsidP="00A2389D">
      <w:pPr>
        <w:widowControl/>
        <w:tabs>
          <w:tab w:val="clear" w:pos="1418"/>
        </w:tabs>
        <w:spacing w:before="120"/>
        <w:ind w:left="2160" w:right="720" w:hanging="720"/>
        <w:rPr>
          <w:rFonts w:cs="Arial"/>
          <w:i/>
          <w:lang w:val="en-US"/>
        </w:rPr>
      </w:pPr>
      <w:r w:rsidRPr="00C3671B">
        <w:rPr>
          <w:rFonts w:cs="Arial"/>
          <w:i/>
          <w:lang w:val="en-US"/>
        </w:rPr>
        <w:t>(</w:t>
      </w:r>
      <w:proofErr w:type="spellStart"/>
      <w:r w:rsidRPr="00C3671B">
        <w:rPr>
          <w:rFonts w:cs="Arial"/>
          <w:i/>
          <w:lang w:val="en-US"/>
        </w:rPr>
        <w:t>i</w:t>
      </w:r>
      <w:proofErr w:type="spellEnd"/>
      <w:r w:rsidRPr="00C3671B">
        <w:rPr>
          <w:rFonts w:cs="Arial"/>
          <w:i/>
          <w:lang w:val="en-US"/>
        </w:rPr>
        <w:t>)</w:t>
      </w:r>
      <w:r w:rsidRPr="00C3671B">
        <w:rPr>
          <w:rFonts w:cs="Arial"/>
          <w:i/>
          <w:lang w:val="en-US"/>
        </w:rPr>
        <w:tab/>
      </w:r>
      <w:proofErr w:type="gramStart"/>
      <w:r w:rsidRPr="00C3671B">
        <w:rPr>
          <w:rFonts w:cs="Arial"/>
          <w:i/>
          <w:lang w:val="en-US"/>
        </w:rPr>
        <w:t>the</w:t>
      </w:r>
      <w:proofErr w:type="gramEnd"/>
      <w:r w:rsidRPr="00C3671B">
        <w:rPr>
          <w:rFonts w:cs="Arial"/>
          <w:i/>
          <w:lang w:val="en-US"/>
        </w:rPr>
        <w:t xml:space="preserve"> Arbitration or parts thereof (including any appeal, set aside or countercla</w:t>
      </w:r>
      <w:r w:rsidR="00A97CE9" w:rsidRPr="00C3671B">
        <w:rPr>
          <w:rFonts w:cs="Arial"/>
          <w:i/>
          <w:lang w:val="en-US"/>
        </w:rPr>
        <w:t>im) to which the ORFS relates;</w:t>
      </w:r>
      <w:r w:rsidR="0066358A" w:rsidRPr="00C3671B">
        <w:rPr>
          <w:rStyle w:val="FootnoteReference"/>
          <w:rFonts w:cs="Arial"/>
          <w:i/>
          <w:sz w:val="24"/>
          <w:lang w:val="en-US"/>
        </w:rPr>
        <w:footnoteReference w:id="39"/>
      </w:r>
      <w:r w:rsidR="00A97CE9" w:rsidRPr="00C3671B">
        <w:rPr>
          <w:rFonts w:cs="Arial"/>
          <w:i/>
          <w:lang w:val="en-US"/>
        </w:rPr>
        <w:t xml:space="preserve"> </w:t>
      </w:r>
      <w:r w:rsidRPr="00C3671B">
        <w:rPr>
          <w:rFonts w:cs="Arial"/>
          <w:i/>
          <w:lang w:val="en-US"/>
        </w:rPr>
        <w:t>and</w:t>
      </w:r>
    </w:p>
    <w:p w14:paraId="3110409D" w14:textId="1542BCD3" w:rsidR="00B8789F" w:rsidRPr="00C3671B" w:rsidRDefault="00F4024F" w:rsidP="00C678C7">
      <w:pPr>
        <w:widowControl/>
        <w:tabs>
          <w:tab w:val="clear" w:pos="1418"/>
        </w:tabs>
        <w:adjustRightInd/>
        <w:spacing w:before="120"/>
        <w:ind w:left="2160" w:right="720" w:hanging="720"/>
        <w:rPr>
          <w:rFonts w:cs="Arial"/>
          <w:i/>
          <w:lang w:val="en-US"/>
        </w:rPr>
      </w:pPr>
      <w:r w:rsidRPr="00C3671B">
        <w:rPr>
          <w:rFonts w:cs="Arial"/>
          <w:i/>
          <w:lang w:val="en-US"/>
        </w:rPr>
        <w:t>(ii)</w:t>
      </w:r>
      <w:r w:rsidRPr="00C3671B">
        <w:rPr>
          <w:rFonts w:cs="Arial"/>
          <w:i/>
          <w:lang w:val="en-US"/>
        </w:rPr>
        <w:tab/>
      </w:r>
      <w:proofErr w:type="gramStart"/>
      <w:r w:rsidRPr="00C3671B">
        <w:rPr>
          <w:rFonts w:cs="Arial"/>
          <w:i/>
          <w:lang w:val="en-US"/>
        </w:rPr>
        <w:t>whether</w:t>
      </w:r>
      <w:proofErr w:type="gramEnd"/>
      <w:r w:rsidRPr="00C3671B">
        <w:rPr>
          <w:rFonts w:cs="Arial"/>
          <w:i/>
          <w:lang w:val="en-US"/>
        </w:rPr>
        <w:t xml:space="preserve"> the ORFS covers the client</w:t>
      </w:r>
      <w:r w:rsidR="006B0C50" w:rsidRPr="00C3671B">
        <w:rPr>
          <w:rFonts w:cs="Arial"/>
          <w:i/>
          <w:lang w:val="en-US"/>
        </w:rPr>
        <w:t>'</w:t>
      </w:r>
      <w:r w:rsidRPr="00C3671B">
        <w:rPr>
          <w:rFonts w:cs="Arial"/>
          <w:i/>
          <w:lang w:val="en-US"/>
        </w:rPr>
        <w:t xml:space="preserve">s prosecution or </w:t>
      </w:r>
      <w:proofErr w:type="spellStart"/>
      <w:r w:rsidRPr="00C3671B">
        <w:rPr>
          <w:rFonts w:cs="Arial"/>
          <w:i/>
          <w:lang w:val="en-US"/>
        </w:rPr>
        <w:t>defence</w:t>
      </w:r>
      <w:proofErr w:type="spellEnd"/>
      <w:r w:rsidRPr="00C3671B">
        <w:rPr>
          <w:rFonts w:cs="Arial"/>
          <w:i/>
          <w:lang w:val="en-US"/>
        </w:rPr>
        <w:t xml:space="preserve"> of the claim (or both).</w:t>
      </w:r>
      <w:r w:rsidR="006C1E38" w:rsidRPr="00C3671B">
        <w:rPr>
          <w:rStyle w:val="FootnoteReference"/>
          <w:rFonts w:cs="Arial"/>
          <w:i/>
          <w:sz w:val="24"/>
          <w:lang w:val="en-US"/>
        </w:rPr>
        <w:footnoteReference w:id="40"/>
      </w:r>
      <w:r w:rsidR="006B0C50" w:rsidRPr="00C3671B">
        <w:rPr>
          <w:rFonts w:cs="Arial"/>
          <w:i/>
          <w:lang w:val="en-US"/>
        </w:rPr>
        <w:t>"</w:t>
      </w:r>
    </w:p>
    <w:p w14:paraId="469ADF1C" w14:textId="77777777" w:rsidR="00900D73" w:rsidRPr="00C3671B" w:rsidRDefault="00900D73" w:rsidP="00192FED">
      <w:pPr>
        <w:keepNext/>
        <w:widowControl/>
        <w:snapToGrid/>
        <w:spacing w:line="0" w:lineRule="atLeast"/>
        <w:rPr>
          <w:sz w:val="20"/>
          <w:szCs w:val="20"/>
          <w:lang w:val="en-US"/>
        </w:rPr>
      </w:pPr>
    </w:p>
    <w:p w14:paraId="7274D9A5" w14:textId="77777777" w:rsidR="00900D73" w:rsidRPr="00C3671B" w:rsidRDefault="00900D73" w:rsidP="00192FED">
      <w:pPr>
        <w:keepNext/>
        <w:widowControl/>
        <w:snapToGrid/>
        <w:spacing w:line="0" w:lineRule="atLeast"/>
        <w:rPr>
          <w:sz w:val="20"/>
          <w:szCs w:val="20"/>
          <w:lang w:val="en-US"/>
        </w:rPr>
      </w:pPr>
    </w:p>
    <w:p w14:paraId="7A9344C8" w14:textId="77777777" w:rsidR="00900D73" w:rsidRPr="00C3671B" w:rsidRDefault="00900D73" w:rsidP="00192FED">
      <w:pPr>
        <w:keepNext/>
        <w:widowControl/>
        <w:snapToGrid/>
        <w:spacing w:line="0" w:lineRule="atLeast"/>
        <w:rPr>
          <w:sz w:val="20"/>
          <w:szCs w:val="20"/>
          <w:lang w:val="en-US"/>
        </w:rPr>
      </w:pPr>
    </w:p>
    <w:p w14:paraId="0A9BFF66" w14:textId="77777777" w:rsidR="00900D73" w:rsidRPr="00C3671B" w:rsidRDefault="00900D73" w:rsidP="00192FED">
      <w:pPr>
        <w:keepNext/>
        <w:widowControl/>
        <w:snapToGrid/>
        <w:spacing w:line="0" w:lineRule="atLeast"/>
        <w:rPr>
          <w:sz w:val="20"/>
          <w:szCs w:val="20"/>
          <w:lang w:val="en-US"/>
        </w:rPr>
      </w:pPr>
    </w:p>
    <w:p w14:paraId="34D359A5" w14:textId="77777777" w:rsidR="00D72133" w:rsidRPr="00D72133" w:rsidRDefault="00D72133" w:rsidP="00985309">
      <w:pPr>
        <w:rPr>
          <w:sz w:val="20"/>
          <w:szCs w:val="20"/>
          <w:lang w:val="en-US"/>
        </w:rPr>
      </w:pPr>
    </w:p>
    <w:p w14:paraId="7654664C" w14:textId="77777777" w:rsidR="00D72133" w:rsidRPr="00D72133" w:rsidRDefault="00D72133" w:rsidP="00985309">
      <w:pPr>
        <w:rPr>
          <w:sz w:val="20"/>
          <w:szCs w:val="20"/>
          <w:lang w:val="en-US"/>
        </w:rPr>
      </w:pPr>
    </w:p>
    <w:p w14:paraId="63492A83" w14:textId="77777777" w:rsidR="00D72133" w:rsidRPr="004619EA" w:rsidRDefault="00D72133" w:rsidP="00985309">
      <w:pPr>
        <w:rPr>
          <w:sz w:val="20"/>
          <w:szCs w:val="20"/>
          <w:lang w:val="en-US"/>
        </w:rPr>
      </w:pPr>
    </w:p>
    <w:p w14:paraId="1943783E" w14:textId="77777777" w:rsidR="00D72133" w:rsidRPr="004619EA" w:rsidRDefault="00D72133" w:rsidP="00985309">
      <w:pPr>
        <w:rPr>
          <w:sz w:val="20"/>
          <w:szCs w:val="20"/>
          <w:lang w:val="en-US"/>
        </w:rPr>
      </w:pPr>
    </w:p>
    <w:p w14:paraId="67967E66" w14:textId="77777777" w:rsidR="00D72133" w:rsidRPr="004619EA" w:rsidRDefault="00D72133" w:rsidP="00985309">
      <w:pPr>
        <w:rPr>
          <w:sz w:val="20"/>
          <w:szCs w:val="20"/>
          <w:lang w:val="en-US"/>
        </w:rPr>
      </w:pPr>
    </w:p>
    <w:p w14:paraId="13FB86DB" w14:textId="77777777" w:rsidR="00D72133" w:rsidRPr="004619EA" w:rsidRDefault="00D72133" w:rsidP="00985309">
      <w:pPr>
        <w:rPr>
          <w:sz w:val="20"/>
          <w:szCs w:val="20"/>
          <w:lang w:val="en-US"/>
        </w:rPr>
      </w:pPr>
    </w:p>
    <w:p w14:paraId="1C88665C" w14:textId="77777777" w:rsidR="00D72133" w:rsidRPr="004619EA" w:rsidRDefault="00D72133" w:rsidP="00985309">
      <w:pPr>
        <w:rPr>
          <w:sz w:val="20"/>
          <w:szCs w:val="20"/>
          <w:lang w:val="en-US"/>
        </w:rPr>
      </w:pPr>
    </w:p>
    <w:p w14:paraId="5AA76FA7" w14:textId="22A31B66" w:rsidR="00D72133" w:rsidRDefault="00D72133" w:rsidP="00D72133">
      <w:pPr>
        <w:rPr>
          <w:sz w:val="20"/>
          <w:szCs w:val="20"/>
          <w:lang w:val="en-US"/>
        </w:rPr>
      </w:pPr>
    </w:p>
    <w:p w14:paraId="665EE3CE" w14:textId="32B6F6F4" w:rsidR="00D72133" w:rsidRDefault="00D72133" w:rsidP="00D72133">
      <w:pPr>
        <w:rPr>
          <w:sz w:val="20"/>
          <w:szCs w:val="20"/>
          <w:lang w:val="en-US"/>
        </w:rPr>
      </w:pPr>
    </w:p>
    <w:p w14:paraId="302CC449" w14:textId="0C5CB2A7" w:rsidR="00A82C76" w:rsidRPr="00D72133" w:rsidRDefault="00D72133" w:rsidP="00985309">
      <w:pPr>
        <w:tabs>
          <w:tab w:val="clear" w:pos="1418"/>
          <w:tab w:val="left" w:pos="4990"/>
        </w:tabs>
        <w:rPr>
          <w:sz w:val="20"/>
          <w:szCs w:val="20"/>
          <w:lang w:val="en-US"/>
        </w:rPr>
      </w:pPr>
      <w:r>
        <w:rPr>
          <w:sz w:val="20"/>
          <w:szCs w:val="20"/>
          <w:lang w:val="en-US"/>
        </w:rPr>
        <w:tab/>
      </w:r>
    </w:p>
    <w:sectPr w:rsidR="00A82C76" w:rsidRPr="00D72133" w:rsidSect="00280E3A">
      <w:footerReference w:type="even" r:id="rId9"/>
      <w:footerReference w:type="default" r:id="rId10"/>
      <w:footnotePr>
        <w:numRestart w:val="eachSect"/>
      </w:footnotePr>
      <w:type w:val="continuous"/>
      <w:pgSz w:w="11906" w:h="16838" w:code="9"/>
      <w:pgMar w:top="1440" w:right="1800" w:bottom="1440" w:left="1800"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5BD35" w14:textId="77777777" w:rsidR="00406B1B" w:rsidRDefault="00406B1B" w:rsidP="00BB567C">
      <w:r>
        <w:separator/>
      </w:r>
    </w:p>
  </w:endnote>
  <w:endnote w:type="continuationSeparator" w:id="0">
    <w:p w14:paraId="76A26B28" w14:textId="77777777" w:rsidR="00406B1B" w:rsidRDefault="00406B1B" w:rsidP="00BB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altName w:val="Malgun Gothic Semilight"/>
    <w:charset w:val="88"/>
    <w:family w:val="modern"/>
    <w:pitch w:val="fixed"/>
    <w:sig w:usb0="A00002FF" w:usb1="38CFFDFA" w:usb2="00000016" w:usb3="00000000" w:csb0="00160001"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62C38" w14:textId="77777777" w:rsidR="00406B1B" w:rsidRDefault="00406B1B" w:rsidP="001A7C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1B1EAE" w14:textId="77777777" w:rsidR="00406B1B" w:rsidRDefault="00406B1B" w:rsidP="001A7C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20FA" w14:textId="393B59EF" w:rsidR="00406B1B" w:rsidRPr="007A7A47" w:rsidRDefault="00406B1B" w:rsidP="001A7C8D">
    <w:pPr>
      <w:pStyle w:val="Footer"/>
      <w:jc w:val="center"/>
      <w:rPr>
        <w:sz w:val="22"/>
        <w:szCs w:val="22"/>
        <w:lang w:val="en-US"/>
      </w:rPr>
    </w:pPr>
    <w:r w:rsidRPr="007A7A47">
      <w:rPr>
        <w:sz w:val="22"/>
        <w:szCs w:val="22"/>
      </w:rPr>
      <w:fldChar w:fldCharType="begin"/>
    </w:r>
    <w:r w:rsidRPr="007A7A47">
      <w:rPr>
        <w:sz w:val="22"/>
        <w:szCs w:val="22"/>
      </w:rPr>
      <w:instrText xml:space="preserve"> PAGE   \* MERGEFORMAT </w:instrText>
    </w:r>
    <w:r w:rsidRPr="007A7A47">
      <w:rPr>
        <w:sz w:val="22"/>
        <w:szCs w:val="22"/>
      </w:rPr>
      <w:fldChar w:fldCharType="separate"/>
    </w:r>
    <w:r w:rsidR="00295057">
      <w:rPr>
        <w:noProof/>
        <w:sz w:val="22"/>
        <w:szCs w:val="22"/>
      </w:rPr>
      <w:t>19</w:t>
    </w:r>
    <w:r w:rsidRPr="007A7A47">
      <w:rP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F844C" w14:textId="77777777" w:rsidR="00406B1B" w:rsidRDefault="00406B1B" w:rsidP="00BB567C">
      <w:r>
        <w:separator/>
      </w:r>
    </w:p>
  </w:footnote>
  <w:footnote w:type="continuationSeparator" w:id="0">
    <w:p w14:paraId="7DD5BA5F" w14:textId="77777777" w:rsidR="00406B1B" w:rsidRDefault="00406B1B" w:rsidP="00BB567C">
      <w:r>
        <w:continuationSeparator/>
      </w:r>
    </w:p>
  </w:footnote>
  <w:footnote w:id="1">
    <w:p w14:paraId="2F8936C2" w14:textId="22EBBE53" w:rsidR="00406B1B" w:rsidRPr="00C3671B" w:rsidRDefault="00406B1B" w:rsidP="003D7BE7">
      <w:pPr>
        <w:pStyle w:val="FootnoteText"/>
        <w:rPr>
          <w:b/>
          <w:i/>
          <w:lang w:eastAsia="zh-CN"/>
        </w:rPr>
      </w:pPr>
      <w:r w:rsidRPr="00C3671B">
        <w:rPr>
          <w:rStyle w:val="FootnoteReference"/>
        </w:rPr>
        <w:footnoteRef/>
      </w:r>
      <w:r w:rsidRPr="00C3671B">
        <w:t xml:space="preserve"> </w:t>
      </w:r>
      <w:r w:rsidRPr="00C3671B">
        <w:rPr>
          <w:lang w:eastAsia="zh-CN"/>
        </w:rPr>
        <w:tab/>
        <w:t xml:space="preserve">For the purposes of the </w:t>
      </w:r>
      <w:r w:rsidR="004961AC" w:rsidRPr="00C3671B">
        <w:rPr>
          <w:lang w:eastAsia="zh-CN"/>
        </w:rPr>
        <w:t>CP</w:t>
      </w:r>
      <w:r w:rsidRPr="00C3671B">
        <w:rPr>
          <w:lang w:eastAsia="zh-CN"/>
        </w:rPr>
        <w:t xml:space="preserve">, an outcome related fee structure means </w:t>
      </w:r>
      <w:r w:rsidR="004961AC" w:rsidRPr="00C3671B">
        <w:rPr>
          <w:lang w:eastAsia="zh-CN"/>
        </w:rPr>
        <w:t xml:space="preserve">an agreement between a Lawyer and client, whereby the Lawyer advises on litigation or arbitration proceedings </w:t>
      </w:r>
      <w:r w:rsidR="00C45A36" w:rsidRPr="00C3671B">
        <w:rPr>
          <w:lang w:eastAsia="zh-CN"/>
        </w:rPr>
        <w:t>(</w:t>
      </w:r>
      <w:r w:rsidR="00BD0346" w:rsidRPr="00C3671B">
        <w:t>"</w:t>
      </w:r>
      <w:r w:rsidR="00C45A36" w:rsidRPr="00C3671B">
        <w:rPr>
          <w:b/>
          <w:lang w:eastAsia="zh-CN"/>
        </w:rPr>
        <w:t>Proceedings</w:t>
      </w:r>
      <w:r w:rsidR="00BD0346" w:rsidRPr="00C3671B">
        <w:t>"</w:t>
      </w:r>
      <w:r w:rsidR="00C45A36" w:rsidRPr="00C3671B">
        <w:rPr>
          <w:lang w:eastAsia="zh-CN"/>
        </w:rPr>
        <w:t xml:space="preserve">) </w:t>
      </w:r>
      <w:r w:rsidR="004961AC" w:rsidRPr="00C3671B">
        <w:rPr>
          <w:lang w:eastAsia="zh-CN"/>
        </w:rPr>
        <w:t>which are contentious and the Lawyer receives a financ</w:t>
      </w:r>
      <w:r w:rsidR="00EE416F" w:rsidRPr="00C3671B">
        <w:rPr>
          <w:lang w:eastAsia="zh-CN"/>
        </w:rPr>
        <w:t xml:space="preserve">ial benefit if those </w:t>
      </w:r>
      <w:r w:rsidR="00C45A36" w:rsidRPr="00C3671B">
        <w:rPr>
          <w:lang w:eastAsia="zh-CN"/>
        </w:rPr>
        <w:t>P</w:t>
      </w:r>
      <w:r w:rsidR="00EE416F" w:rsidRPr="00C3671B">
        <w:rPr>
          <w:lang w:eastAsia="zh-CN"/>
        </w:rPr>
        <w:t>roceedings</w:t>
      </w:r>
      <w:r w:rsidR="004961AC" w:rsidRPr="00C3671B">
        <w:rPr>
          <w:lang w:eastAsia="zh-CN"/>
        </w:rPr>
        <w:t xml:space="preserve"> are successful within the meaning of that agreement</w:t>
      </w:r>
      <w:r w:rsidRPr="00C3671B">
        <w:rPr>
          <w:lang w:eastAsia="zh-CN"/>
        </w:rPr>
        <w:t>.</w:t>
      </w:r>
      <w:r w:rsidR="004961AC" w:rsidRPr="00C3671B">
        <w:rPr>
          <w:lang w:eastAsia="zh-CN"/>
        </w:rPr>
        <w:t xml:space="preserve"> </w:t>
      </w:r>
    </w:p>
  </w:footnote>
  <w:footnote w:id="2">
    <w:p w14:paraId="77ABA7C9" w14:textId="49104395" w:rsidR="00406B1B" w:rsidRPr="00C3671B" w:rsidRDefault="00406B1B">
      <w:pPr>
        <w:pStyle w:val="FootnoteText"/>
        <w:rPr>
          <w:rFonts w:eastAsia="SimSun"/>
          <w:lang w:eastAsia="zh-CN"/>
        </w:rPr>
      </w:pPr>
      <w:r w:rsidRPr="00C3671B">
        <w:rPr>
          <w:rStyle w:val="FootnoteReference"/>
        </w:rPr>
        <w:footnoteRef/>
      </w:r>
      <w:r w:rsidRPr="00C3671B">
        <w:t xml:space="preserve"> </w:t>
      </w:r>
      <w:r w:rsidRPr="00C3671B">
        <w:tab/>
      </w:r>
      <w:r w:rsidRPr="00C3671B">
        <w:rPr>
          <w:lang w:eastAsia="zh-HK"/>
        </w:rPr>
        <w:t xml:space="preserve">A person who is qualified to </w:t>
      </w:r>
      <w:proofErr w:type="spellStart"/>
      <w:r w:rsidRPr="00C3671B">
        <w:rPr>
          <w:lang w:eastAsia="zh-HK"/>
        </w:rPr>
        <w:t>practise</w:t>
      </w:r>
      <w:proofErr w:type="spellEnd"/>
      <w:r w:rsidRPr="00C3671B">
        <w:rPr>
          <w:lang w:eastAsia="zh-HK"/>
        </w:rPr>
        <w:t xml:space="preserve"> the law of any jurisdiction, including Hong Kong.  For the purposes of the Report, </w:t>
      </w:r>
      <w:r w:rsidR="006B0C50" w:rsidRPr="00C3671B">
        <w:rPr>
          <w:lang w:eastAsia="zh-HK"/>
        </w:rPr>
        <w:t>"</w:t>
      </w:r>
      <w:r w:rsidRPr="00C3671B">
        <w:rPr>
          <w:lang w:eastAsia="zh-HK"/>
        </w:rPr>
        <w:t>Lawyer</w:t>
      </w:r>
      <w:r w:rsidR="006B0C50" w:rsidRPr="00C3671B">
        <w:rPr>
          <w:lang w:eastAsia="zh-HK"/>
        </w:rPr>
        <w:t>"</w:t>
      </w:r>
      <w:r w:rsidRPr="00C3671B">
        <w:rPr>
          <w:lang w:eastAsia="zh-HK"/>
        </w:rPr>
        <w:t xml:space="preserve"> includes (but is not limited to) Hong Kong barristers, solicitors and foreign lawyers</w:t>
      </w:r>
      <w:r w:rsidR="00435899" w:rsidRPr="00C3671B">
        <w:rPr>
          <w:lang w:eastAsia="zh-HK"/>
        </w:rPr>
        <w:t xml:space="preserve"> registered under Part IIIA of the Legal Practitioners Ordinance (Cap 159) of Hong Kong</w:t>
      </w:r>
      <w:r w:rsidRPr="00C3671B">
        <w:rPr>
          <w:lang w:eastAsia="zh-HK"/>
        </w:rPr>
        <w:t>.</w:t>
      </w:r>
    </w:p>
  </w:footnote>
  <w:footnote w:id="3">
    <w:p w14:paraId="7338FC23" w14:textId="08DBF6A7" w:rsidR="00406B1B" w:rsidRPr="00C3671B" w:rsidRDefault="00406B1B">
      <w:pPr>
        <w:pStyle w:val="FootnoteText"/>
        <w:rPr>
          <w:rFonts w:eastAsia="SimSun"/>
          <w:lang w:eastAsia="zh-CN"/>
        </w:rPr>
      </w:pPr>
      <w:r w:rsidRPr="00C3671B">
        <w:rPr>
          <w:rStyle w:val="FootnoteReference"/>
        </w:rPr>
        <w:footnoteRef/>
      </w:r>
      <w:r w:rsidRPr="00C3671B">
        <w:t xml:space="preserve"> </w:t>
      </w:r>
      <w:r w:rsidRPr="00C3671B">
        <w:tab/>
      </w:r>
      <w:r w:rsidRPr="00C3671B">
        <w:rPr>
          <w:lang w:eastAsia="zh-HK"/>
        </w:rPr>
        <w:t>Any arbitration, whether or not administered by a permanent arbitral institution, in or outside Hong Kong, including the following proceedings under the Arbitration Ordinance</w:t>
      </w:r>
      <w:r w:rsidR="00D518C6" w:rsidRPr="00C3671B">
        <w:rPr>
          <w:lang w:eastAsia="zh-HK"/>
        </w:rPr>
        <w:t xml:space="preserve"> (Cap 609) of Hong Kong</w:t>
      </w:r>
      <w:r w:rsidRPr="00C3671B">
        <w:rPr>
          <w:lang w:eastAsia="zh-HK"/>
        </w:rPr>
        <w:t>: (</w:t>
      </w:r>
      <w:proofErr w:type="spellStart"/>
      <w:r w:rsidRPr="00C3671B">
        <w:rPr>
          <w:lang w:eastAsia="zh-HK"/>
        </w:rPr>
        <w:t>i</w:t>
      </w:r>
      <w:proofErr w:type="spellEnd"/>
      <w:r w:rsidRPr="00C3671B">
        <w:rPr>
          <w:lang w:eastAsia="zh-HK"/>
        </w:rPr>
        <w:t>) court proceedings; (ii) proceedings before an emergency arbitrator; and (iii) mediation proceedings.</w:t>
      </w:r>
    </w:p>
  </w:footnote>
  <w:footnote w:id="4">
    <w:p w14:paraId="10DBEBE8" w14:textId="48F12E6C" w:rsidR="00406B1B" w:rsidRPr="00C3671B" w:rsidRDefault="00406B1B">
      <w:pPr>
        <w:pStyle w:val="FootnoteText"/>
      </w:pPr>
      <w:r w:rsidRPr="00C3671B">
        <w:rPr>
          <w:rStyle w:val="FootnoteReference"/>
        </w:rPr>
        <w:footnoteRef/>
      </w:r>
      <w:r w:rsidRPr="00C3671B">
        <w:t xml:space="preserve"> </w:t>
      </w:r>
      <w:r w:rsidRPr="00C3671B">
        <w:tab/>
      </w:r>
      <w:r w:rsidR="006B0C50" w:rsidRPr="00C3671B">
        <w:t>"</w:t>
      </w:r>
      <w:r w:rsidRPr="00C3671B">
        <w:t>Arbitration funding</w:t>
      </w:r>
      <w:r w:rsidR="006B0C50" w:rsidRPr="00C3671B">
        <w:t>"</w:t>
      </w:r>
      <w:r w:rsidRPr="00C3671B">
        <w:t xml:space="preserve"> is defined in s 98F of the Arbitration Ordinance (Cap 609) </w:t>
      </w:r>
      <w:r w:rsidR="00C45A36" w:rsidRPr="00C3671B">
        <w:t xml:space="preserve">of Hong Kong </w:t>
      </w:r>
      <w:r w:rsidRPr="00C3671B">
        <w:t xml:space="preserve">as </w:t>
      </w:r>
      <w:r w:rsidR="006B0C50" w:rsidRPr="00C3671B">
        <w:rPr>
          <w:i/>
        </w:rPr>
        <w:t>"</w:t>
      </w:r>
      <w:r w:rsidRPr="00C3671B">
        <w:rPr>
          <w:i/>
        </w:rPr>
        <w:t>money, or any other financial assistance, in relation to any costs of the arbitration</w:t>
      </w:r>
      <w:r w:rsidR="006B0C50" w:rsidRPr="00C3671B">
        <w:rPr>
          <w:i/>
        </w:rPr>
        <w:t>"</w:t>
      </w:r>
      <w:r w:rsidRPr="00C3671B">
        <w:t>.</w:t>
      </w:r>
    </w:p>
  </w:footnote>
  <w:footnote w:id="5">
    <w:p w14:paraId="431058E0" w14:textId="72706001" w:rsidR="00406B1B" w:rsidRPr="00C3671B" w:rsidRDefault="00406B1B" w:rsidP="00FC0814">
      <w:pPr>
        <w:pStyle w:val="FootnoteText"/>
      </w:pPr>
      <w:r w:rsidRPr="00C3671B">
        <w:rPr>
          <w:rStyle w:val="FootnoteReference"/>
        </w:rPr>
        <w:footnoteRef/>
      </w:r>
      <w:r w:rsidRPr="00C3671B">
        <w:t xml:space="preserve"> </w:t>
      </w:r>
      <w:r w:rsidRPr="00C3671B">
        <w:tab/>
        <w:t>Arbitration Ordinance</w:t>
      </w:r>
      <w:r w:rsidR="00C45A36" w:rsidRPr="00C3671B">
        <w:t xml:space="preserve"> (Cap 609) of Hong Kong</w:t>
      </w:r>
      <w:r w:rsidRPr="00C3671B">
        <w:t>, s 98O.</w:t>
      </w:r>
    </w:p>
  </w:footnote>
  <w:footnote w:id="6">
    <w:p w14:paraId="2DEFBC0F" w14:textId="0FFD82A6" w:rsidR="00406B1B" w:rsidRPr="00C3671B" w:rsidRDefault="00406B1B" w:rsidP="00FC0814">
      <w:pPr>
        <w:pStyle w:val="FootnoteText"/>
      </w:pPr>
      <w:r w:rsidRPr="00C3671B">
        <w:rPr>
          <w:rStyle w:val="FootnoteReference"/>
          <w:szCs w:val="20"/>
        </w:rPr>
        <w:footnoteRef/>
      </w:r>
      <w:r w:rsidRPr="00C3671B">
        <w:rPr>
          <w:sz w:val="20"/>
          <w:szCs w:val="20"/>
        </w:rPr>
        <w:t xml:space="preserve"> </w:t>
      </w:r>
      <w:r w:rsidRPr="00C3671B">
        <w:rPr>
          <w:sz w:val="20"/>
          <w:szCs w:val="20"/>
        </w:rPr>
        <w:tab/>
      </w:r>
      <w:r w:rsidRPr="00C3671B">
        <w:t xml:space="preserve">These </w:t>
      </w:r>
      <w:r w:rsidR="003A2B65" w:rsidRPr="00C3671B">
        <w:t xml:space="preserve">responses came from </w:t>
      </w:r>
      <w:r w:rsidRPr="00C3671B">
        <w:t xml:space="preserve">arbitral institutions, an arbitrator/barrister, a barrister, a chamber of commerce, consumer/public interest groups, the finance sector, a Government department, law firms, a litigation funder, professional bodies and a regulator.  </w:t>
      </w:r>
    </w:p>
  </w:footnote>
  <w:footnote w:id="7">
    <w:p w14:paraId="6D7841FB" w14:textId="0FAD35F9" w:rsidR="004961AC" w:rsidRPr="00C3671B" w:rsidRDefault="004961AC">
      <w:pPr>
        <w:pStyle w:val="FootnoteText"/>
        <w:rPr>
          <w:lang w:eastAsia="zh-CN"/>
        </w:rPr>
      </w:pPr>
      <w:r w:rsidRPr="00C3671B">
        <w:rPr>
          <w:rStyle w:val="FootnoteReference"/>
        </w:rPr>
        <w:footnoteRef/>
      </w:r>
      <w:r w:rsidRPr="00C3671B">
        <w:t xml:space="preserve"> </w:t>
      </w:r>
      <w:r w:rsidRPr="00C3671B">
        <w:rPr>
          <w:lang w:eastAsia="zh-CN"/>
        </w:rPr>
        <w:tab/>
        <w:t>For the purposes of the Report, an outcome related fee structure means any of the following agreements made between a Lawyer and client:</w:t>
      </w:r>
      <w:r w:rsidR="00955E8F" w:rsidRPr="00C3671B">
        <w:rPr>
          <w:b/>
          <w:lang w:eastAsia="zh-CN"/>
        </w:rPr>
        <w:t xml:space="preserve"> </w:t>
      </w:r>
      <w:r w:rsidRPr="00C3671B">
        <w:rPr>
          <w:lang w:eastAsia="zh-CN"/>
        </w:rPr>
        <w:t>CFAs, DBAs and hybrid damages-based agreements.</w:t>
      </w:r>
    </w:p>
  </w:footnote>
  <w:footnote w:id="8">
    <w:p w14:paraId="33276757" w14:textId="3CD8DCA8" w:rsidR="00406B1B" w:rsidRPr="00C3671B" w:rsidRDefault="00406B1B">
      <w:pPr>
        <w:pStyle w:val="FootnoteText"/>
        <w:rPr>
          <w:lang w:eastAsia="zh-CN"/>
        </w:rPr>
      </w:pPr>
      <w:r w:rsidRPr="00C3671B">
        <w:rPr>
          <w:rStyle w:val="FootnoteReference"/>
        </w:rPr>
        <w:footnoteRef/>
      </w:r>
      <w:r w:rsidRPr="00C3671B">
        <w:t xml:space="preserve"> </w:t>
      </w:r>
      <w:r w:rsidRPr="00C3671B">
        <w:rPr>
          <w:lang w:eastAsia="zh-CN"/>
        </w:rPr>
        <w:tab/>
        <w:t>Portion of the Success Fee which exceeds the amount of fees which would be payable to the Lawyer if there were no ORFS in place.</w:t>
      </w:r>
    </w:p>
  </w:footnote>
  <w:footnote w:id="9">
    <w:p w14:paraId="171CA582" w14:textId="53E66409" w:rsidR="00406B1B" w:rsidRPr="00C3671B" w:rsidRDefault="00406B1B">
      <w:pPr>
        <w:pStyle w:val="FootnoteText"/>
        <w:rPr>
          <w:rFonts w:eastAsia="SimSun"/>
          <w:lang w:eastAsia="zh-CN"/>
        </w:rPr>
      </w:pPr>
      <w:r w:rsidRPr="00C3671B">
        <w:rPr>
          <w:rStyle w:val="FootnoteReference"/>
        </w:rPr>
        <w:footnoteRef/>
      </w:r>
      <w:r w:rsidRPr="00C3671B">
        <w:t xml:space="preserve"> </w:t>
      </w:r>
      <w:r w:rsidRPr="00C3671B">
        <w:rPr>
          <w:rFonts w:eastAsia="SimSun"/>
          <w:lang w:eastAsia="zh-CN"/>
        </w:rPr>
        <w:tab/>
      </w:r>
      <w:r w:rsidRPr="00C3671B">
        <w:rPr>
          <w:lang w:eastAsia="zh-CN"/>
        </w:rPr>
        <w:t>A contract of insurance that provides reimbursement to a client or a lawyer for some or all of the legal fees, adverse costs or disbursements incurred in respect of a matter.</w:t>
      </w:r>
    </w:p>
  </w:footnote>
  <w:footnote w:id="10">
    <w:p w14:paraId="0C5947BC" w14:textId="3AEEA06D" w:rsidR="00406B1B" w:rsidRPr="00C3671B" w:rsidRDefault="00406B1B">
      <w:pPr>
        <w:pStyle w:val="FootnoteText"/>
        <w:rPr>
          <w:rFonts w:eastAsia="SimSun"/>
          <w:lang w:eastAsia="zh-CN"/>
        </w:rPr>
      </w:pPr>
      <w:r w:rsidRPr="00C3671B">
        <w:rPr>
          <w:rStyle w:val="FootnoteReference"/>
        </w:rPr>
        <w:footnoteRef/>
      </w:r>
      <w:r w:rsidRPr="00C3671B">
        <w:t xml:space="preserve"> </w:t>
      </w:r>
      <w:r w:rsidRPr="00C3671B">
        <w:rPr>
          <w:rFonts w:eastAsia="SimSun"/>
          <w:lang w:eastAsia="zh-CN"/>
        </w:rPr>
        <w:tab/>
      </w:r>
      <w:r w:rsidRPr="00C3671B">
        <w:rPr>
          <w:lang w:eastAsia="zh-HK"/>
        </w:rPr>
        <w:t>Additional fee in respect of the claim or</w:t>
      </w:r>
      <w:r w:rsidR="003206F8" w:rsidRPr="00C3671B">
        <w:rPr>
          <w:lang w:eastAsia="zh-HK"/>
        </w:rPr>
        <w:t xml:space="preserve"> </w:t>
      </w:r>
      <w:r w:rsidR="00C35CD6" w:rsidRPr="00C3671B">
        <w:rPr>
          <w:lang w:eastAsia="zh-HK"/>
        </w:rPr>
        <w:t>Proceedings</w:t>
      </w:r>
      <w:r w:rsidR="00C35CD6" w:rsidRPr="00C3671B">
        <w:t xml:space="preserve"> </w:t>
      </w:r>
      <w:r w:rsidRPr="00C3671B">
        <w:rPr>
          <w:lang w:eastAsia="zh-HK"/>
        </w:rPr>
        <w:t>that the client agrees to pay the Lawyer in accordance with a CFA only in the event of a successful outcome for the client in the matter.</w:t>
      </w:r>
      <w:r w:rsidR="0053054C" w:rsidRPr="00C3671B">
        <w:rPr>
          <w:lang w:eastAsia="zh-HK"/>
        </w:rPr>
        <w:t xml:space="preserve">  The difference between Success Fee and Success Fee premium </w:t>
      </w:r>
      <w:r w:rsidR="007E25E1" w:rsidRPr="00C3671B">
        <w:rPr>
          <w:lang w:eastAsia="zh-HK"/>
        </w:rPr>
        <w:t>is</w:t>
      </w:r>
      <w:r w:rsidR="0053054C" w:rsidRPr="00C3671B">
        <w:rPr>
          <w:lang w:eastAsia="zh-HK"/>
        </w:rPr>
        <w:t xml:space="preserve"> illustrated in the worked example of a </w:t>
      </w:r>
      <w:r w:rsidR="006B0C50" w:rsidRPr="00C3671B">
        <w:rPr>
          <w:lang w:eastAsia="zh-HK"/>
        </w:rPr>
        <w:t>"</w:t>
      </w:r>
      <w:r w:rsidR="0053054C" w:rsidRPr="00C3671B">
        <w:rPr>
          <w:lang w:eastAsia="zh-HK"/>
        </w:rPr>
        <w:t>no win, low fee</w:t>
      </w:r>
      <w:r w:rsidR="006B0C50" w:rsidRPr="00C3671B">
        <w:rPr>
          <w:lang w:eastAsia="zh-HK"/>
        </w:rPr>
        <w:t>"</w:t>
      </w:r>
      <w:r w:rsidR="0053054C" w:rsidRPr="00C3671B">
        <w:rPr>
          <w:lang w:eastAsia="zh-HK"/>
        </w:rPr>
        <w:t xml:space="preserve"> arrangement at para 1.7 of the Report.</w:t>
      </w:r>
    </w:p>
  </w:footnote>
  <w:footnote w:id="11">
    <w:p w14:paraId="7D668027" w14:textId="77777777" w:rsidR="003D7BE7" w:rsidRPr="00C3671B" w:rsidRDefault="00406B1B" w:rsidP="00985309">
      <w:pPr>
        <w:pStyle w:val="FootnoteText"/>
      </w:pPr>
      <w:r w:rsidRPr="00C3671B">
        <w:rPr>
          <w:rStyle w:val="FootnoteReference"/>
        </w:rPr>
        <w:footnoteRef/>
      </w:r>
      <w:r w:rsidRPr="00C3671B">
        <w:t xml:space="preserve"> </w:t>
      </w:r>
      <w:r w:rsidRPr="00C3671B">
        <w:tab/>
        <w:t>The damages-based fee regime which operates in Ontario, Canada, whereby</w:t>
      </w:r>
      <w:r w:rsidR="003D7BE7" w:rsidRPr="00C3671B">
        <w:t>:</w:t>
      </w:r>
    </w:p>
    <w:p w14:paraId="4ECE7843" w14:textId="6F8D58BA" w:rsidR="003D7BE7" w:rsidRPr="00C3671B" w:rsidRDefault="00406B1B" w:rsidP="00985309">
      <w:pPr>
        <w:pStyle w:val="FootnoteText"/>
        <w:ind w:left="1418"/>
      </w:pPr>
      <w:r w:rsidRPr="00C3671B">
        <w:t>(a)</w:t>
      </w:r>
      <w:r w:rsidRPr="00C3671B">
        <w:tab/>
        <w:t>the recoverable costs of the claimants will be assessed in the conventional way, and</w:t>
      </w:r>
    </w:p>
    <w:p w14:paraId="644E3061" w14:textId="1C91BD53" w:rsidR="00406B1B" w:rsidRPr="00C3671B" w:rsidRDefault="00406B1B" w:rsidP="00985309">
      <w:pPr>
        <w:pStyle w:val="FootnoteText"/>
        <w:ind w:left="1418"/>
      </w:pPr>
      <w:r w:rsidRPr="00C3671B">
        <w:t xml:space="preserve">(b) </w:t>
      </w:r>
      <w:r w:rsidR="003D7BE7" w:rsidRPr="00C3671B">
        <w:tab/>
      </w:r>
      <w:proofErr w:type="gramStart"/>
      <w:r w:rsidRPr="00C3671B">
        <w:t>if</w:t>
      </w:r>
      <w:proofErr w:type="gramEnd"/>
      <w:r w:rsidRPr="00C3671B">
        <w:t xml:space="preserve"> the DBA Payment agreed between the lawyer and the claimant is higher than the figure assessed in the conventional way, the claimant must pay the shortfall out of the damages awarded.</w:t>
      </w:r>
    </w:p>
  </w:footnote>
  <w:footnote w:id="12">
    <w:p w14:paraId="17A615A2" w14:textId="418E38FB" w:rsidR="00406B1B" w:rsidRPr="00C3671B" w:rsidRDefault="00406B1B">
      <w:pPr>
        <w:pStyle w:val="FootnoteText"/>
      </w:pPr>
      <w:r w:rsidRPr="00C3671B">
        <w:rPr>
          <w:rStyle w:val="FootnoteReference"/>
        </w:rPr>
        <w:footnoteRef/>
      </w:r>
      <w:r w:rsidRPr="00C3671B">
        <w:t xml:space="preserve"> </w:t>
      </w:r>
      <w:r w:rsidRPr="00C3671B">
        <w:tab/>
      </w:r>
      <w:r w:rsidRPr="00C3671B">
        <w:rPr>
          <w:lang w:eastAsia="zh-HK"/>
        </w:rPr>
        <w:t xml:space="preserve">The damages-based fee regime proposed in the </w:t>
      </w:r>
      <w:r w:rsidR="00585574" w:rsidRPr="00C3671B">
        <w:rPr>
          <w:lang w:eastAsia="zh-HK"/>
        </w:rPr>
        <w:t xml:space="preserve">independent review of the Damages-Based Agreements Regulations 2013 in England and Wales by Professor Rachael </w:t>
      </w:r>
      <w:proofErr w:type="spellStart"/>
      <w:r w:rsidR="00585574" w:rsidRPr="00C3671B">
        <w:rPr>
          <w:lang w:eastAsia="zh-HK"/>
        </w:rPr>
        <w:t>Mulheron</w:t>
      </w:r>
      <w:proofErr w:type="spellEnd"/>
      <w:r w:rsidR="00585574" w:rsidRPr="00C3671B">
        <w:rPr>
          <w:lang w:eastAsia="zh-HK"/>
        </w:rPr>
        <w:t xml:space="preserve"> and </w:t>
      </w:r>
      <w:proofErr w:type="spellStart"/>
      <w:r w:rsidR="00585574" w:rsidRPr="00C3671B">
        <w:rPr>
          <w:lang w:eastAsia="zh-HK"/>
        </w:rPr>
        <w:t>Mr</w:t>
      </w:r>
      <w:proofErr w:type="spellEnd"/>
      <w:r w:rsidR="00585574" w:rsidRPr="00C3671B">
        <w:rPr>
          <w:lang w:eastAsia="zh-HK"/>
        </w:rPr>
        <w:t xml:space="preserve"> Nicholas Bacon, QC during 2019 to 2020</w:t>
      </w:r>
      <w:r w:rsidRPr="00C3671B">
        <w:rPr>
          <w:lang w:eastAsia="zh-HK"/>
        </w:rPr>
        <w:t>, whereby costs recovered from the opponent are outside of, and additional to, the DBA Payment.</w:t>
      </w:r>
    </w:p>
  </w:footnote>
  <w:footnote w:id="13">
    <w:p w14:paraId="4021443B" w14:textId="322B6A7F" w:rsidR="00AC1635" w:rsidRPr="00C3671B" w:rsidRDefault="00406B1B">
      <w:pPr>
        <w:pStyle w:val="FootnoteText"/>
      </w:pPr>
      <w:r w:rsidRPr="00C3671B">
        <w:rPr>
          <w:rStyle w:val="FootnoteReference"/>
        </w:rPr>
        <w:footnoteRef/>
      </w:r>
      <w:r w:rsidRPr="00C3671B">
        <w:t xml:space="preserve"> </w:t>
      </w:r>
      <w:r w:rsidRPr="00C3671B">
        <w:tab/>
      </w:r>
      <w:r w:rsidRPr="00C3671B">
        <w:rPr>
          <w:lang w:eastAsia="zh-HK"/>
        </w:rPr>
        <w:t xml:space="preserve">The part of the Financial Benefit obtained in respect of the outcome of the claim or </w:t>
      </w:r>
      <w:r w:rsidR="00707701" w:rsidRPr="00C3671B">
        <w:rPr>
          <w:lang w:eastAsia="zh-HK"/>
        </w:rPr>
        <w:t xml:space="preserve">Proceedings </w:t>
      </w:r>
      <w:r w:rsidRPr="00C3671B">
        <w:rPr>
          <w:lang w:eastAsia="zh-HK"/>
        </w:rPr>
        <w:t>that the client agrees to pay the Lawyer in accordance with a DBA or a Hybrid DBA.</w:t>
      </w:r>
      <w:r w:rsidR="00AC1635" w:rsidRPr="00C3671B">
        <w:rPr>
          <w:lang w:eastAsia="zh-HK"/>
        </w:rPr>
        <w:t xml:space="preserve">  </w:t>
      </w:r>
      <w:r w:rsidR="006B0C50" w:rsidRPr="00C3671B">
        <w:rPr>
          <w:lang w:eastAsia="zh-HK"/>
        </w:rPr>
        <w:t>"</w:t>
      </w:r>
      <w:r w:rsidR="00AC1635" w:rsidRPr="00C3671B">
        <w:rPr>
          <w:lang w:eastAsia="zh-HK"/>
        </w:rPr>
        <w:t>Financial Benefit</w:t>
      </w:r>
      <w:r w:rsidR="006B0C50" w:rsidRPr="00C3671B">
        <w:rPr>
          <w:lang w:eastAsia="zh-HK"/>
        </w:rPr>
        <w:t>"</w:t>
      </w:r>
      <w:r w:rsidR="00AC1635" w:rsidRPr="00C3671B">
        <w:rPr>
          <w:lang w:eastAsia="zh-HK"/>
        </w:rPr>
        <w:t xml:space="preserve"> is defined as </w:t>
      </w:r>
      <w:r w:rsidR="006B0C50" w:rsidRPr="00C3671B">
        <w:rPr>
          <w:lang w:eastAsia="zh-HK"/>
        </w:rPr>
        <w:t>"</w:t>
      </w:r>
      <w:r w:rsidR="00AC1635" w:rsidRPr="00C3671B">
        <w:rPr>
          <w:lang w:eastAsia="zh-HK"/>
        </w:rPr>
        <w:t>money or money</w:t>
      </w:r>
      <w:r w:rsidR="006B0C50" w:rsidRPr="00C3671B">
        <w:rPr>
          <w:lang w:eastAsia="zh-HK"/>
        </w:rPr>
        <w:t>'</w:t>
      </w:r>
      <w:r w:rsidR="00AC1635" w:rsidRPr="00C3671B">
        <w:rPr>
          <w:lang w:eastAsia="zh-HK"/>
        </w:rPr>
        <w:t>s worth (</w:t>
      </w:r>
      <w:proofErr w:type="spellStart"/>
      <w:r w:rsidR="00AC1635" w:rsidRPr="00C3671B">
        <w:rPr>
          <w:lang w:eastAsia="zh-HK"/>
        </w:rPr>
        <w:t>ie</w:t>
      </w:r>
      <w:proofErr w:type="spellEnd"/>
      <w:r w:rsidR="00AC1635" w:rsidRPr="00C3671B">
        <w:rPr>
          <w:lang w:eastAsia="zh-HK"/>
        </w:rPr>
        <w:t xml:space="preserve"> money, assets, security, tangible or intangible property, services, any amount owed under an award, settlement agreement or otherwise, and any other consideration reducible to a monetary value, including any avoidance or reduction of a potential liability), but does not include any sum awarded in respect of recoverable Lawyer</w:t>
      </w:r>
      <w:r w:rsidR="006B0C50" w:rsidRPr="00C3671B">
        <w:rPr>
          <w:lang w:eastAsia="zh-HK"/>
        </w:rPr>
        <w:t>'</w:t>
      </w:r>
      <w:r w:rsidR="00AC1635" w:rsidRPr="00C3671B">
        <w:rPr>
          <w:lang w:eastAsia="zh-HK"/>
        </w:rPr>
        <w:t>s costs or recoverable expenses</w:t>
      </w:r>
      <w:r w:rsidR="006B0C50" w:rsidRPr="00C3671B">
        <w:rPr>
          <w:lang w:eastAsia="zh-HK"/>
        </w:rPr>
        <w:t>"</w:t>
      </w:r>
      <w:r w:rsidR="00AC1635" w:rsidRPr="00C3671B">
        <w:rPr>
          <w:lang w:eastAsia="zh-HK"/>
        </w:rPr>
        <w:t>.</w:t>
      </w:r>
    </w:p>
    <w:p w14:paraId="37EC59D0" w14:textId="4FE0BE0B" w:rsidR="00406B1B" w:rsidRPr="00C3671B" w:rsidRDefault="00406B1B">
      <w:pPr>
        <w:pStyle w:val="FootnoteText"/>
      </w:pPr>
    </w:p>
  </w:footnote>
  <w:footnote w:id="14">
    <w:p w14:paraId="15B5A60C" w14:textId="004A58CA" w:rsidR="004619EA" w:rsidRPr="00C3671B" w:rsidRDefault="004619EA">
      <w:pPr>
        <w:pStyle w:val="FootnoteText"/>
      </w:pPr>
      <w:r w:rsidRPr="00C3671B">
        <w:rPr>
          <w:rStyle w:val="FootnoteReference"/>
        </w:rPr>
        <w:footnoteRef/>
      </w:r>
      <w:r w:rsidRPr="00C3671B">
        <w:t xml:space="preserve"> </w:t>
      </w:r>
      <w:r w:rsidRPr="00C3671B">
        <w:tab/>
        <w:t>See s 98ZA of the draft amendments to the Arbitration Ordinance in Annex 1 to the Report.</w:t>
      </w:r>
    </w:p>
  </w:footnote>
  <w:footnote w:id="15">
    <w:p w14:paraId="05318FCE" w14:textId="0BBE71C5" w:rsidR="004619EA" w:rsidRPr="00C3671B" w:rsidRDefault="004619EA">
      <w:pPr>
        <w:pStyle w:val="FootnoteText"/>
      </w:pPr>
      <w:r w:rsidRPr="00C3671B">
        <w:rPr>
          <w:rStyle w:val="FootnoteReference"/>
        </w:rPr>
        <w:footnoteRef/>
      </w:r>
      <w:r w:rsidRPr="00C3671B">
        <w:t xml:space="preserve"> </w:t>
      </w:r>
      <w:r w:rsidRPr="00C3671B">
        <w:tab/>
        <w:t>In Hong Kong, the Judiciary has launched the Pilot Scheme on Private Adjudication of Financial Disputes in Matrimonial and Family Proceedings to deal with financial disputes in matrimonial and family matters by way of private adjudication since 2015.  Pursuant to Practice Direction SL 9 on Pilot Scheme on Private Adjudication of Financial Disputes in Matrimonial and Family Proceedings dated 2 December 2020, the pilot</w:t>
      </w:r>
      <w:r w:rsidR="00965BAF" w:rsidRPr="00C3671B">
        <w:t xml:space="preserve"> scheme</w:t>
      </w:r>
      <w:r w:rsidRPr="00C3671B">
        <w:t xml:space="preserve"> has now been extended to 2024</w:t>
      </w:r>
      <w:r w:rsidR="00965BAF" w:rsidRPr="00C3671B">
        <w:t>.</w:t>
      </w:r>
    </w:p>
  </w:footnote>
  <w:footnote w:id="16">
    <w:p w14:paraId="4E38C11E" w14:textId="6BCEAC3A" w:rsidR="00406B1B" w:rsidRPr="00C3671B" w:rsidRDefault="00406B1B">
      <w:pPr>
        <w:pStyle w:val="FootnoteText"/>
      </w:pPr>
      <w:r w:rsidRPr="00C3671B">
        <w:rPr>
          <w:rStyle w:val="FootnoteReference"/>
        </w:rPr>
        <w:footnoteRef/>
      </w:r>
      <w:r w:rsidRPr="00C3671B">
        <w:t xml:space="preserve"> </w:t>
      </w:r>
      <w:r w:rsidRPr="00C3671B">
        <w:tab/>
        <w:t>An arbitral tribunal, consisting of a sole arbitra</w:t>
      </w:r>
      <w:r w:rsidR="006D3D47" w:rsidRPr="00C3671B">
        <w:t xml:space="preserve">tor or a panel of arbitrator(s), and </w:t>
      </w:r>
      <w:r w:rsidRPr="00C3671B">
        <w:t>includes an umpire, established by the agreement of the parties to finally resolve disputes or differences by arbitration.</w:t>
      </w:r>
    </w:p>
  </w:footnote>
  <w:footnote w:id="17">
    <w:p w14:paraId="742288C6" w14:textId="1E799BA0" w:rsidR="00406B1B" w:rsidRPr="00C3671B" w:rsidRDefault="00406B1B">
      <w:pPr>
        <w:pStyle w:val="FootnoteText"/>
      </w:pPr>
      <w:r w:rsidRPr="00C3671B">
        <w:rPr>
          <w:rStyle w:val="FootnoteReference"/>
        </w:rPr>
        <w:footnoteRef/>
      </w:r>
      <w:r w:rsidRPr="00C3671B">
        <w:t xml:space="preserve"> </w:t>
      </w:r>
      <w:r w:rsidRPr="00C3671B">
        <w:tab/>
        <w:t>ATE Insurance is a contract of insurance between client and insurer, taken out after the event giving rise to the Proceedings, that provides reimbursement for a proportion of the client</w:t>
      </w:r>
      <w:r w:rsidR="006B0C50" w:rsidRPr="00C3671B">
        <w:t>'</w:t>
      </w:r>
      <w:r w:rsidRPr="00C3671B">
        <w:t>s fees, adverse costs, and disbursements in the event that the client</w:t>
      </w:r>
      <w:r w:rsidR="006B0C50" w:rsidRPr="00C3671B">
        <w:t>'</w:t>
      </w:r>
      <w:r w:rsidRPr="00C3671B">
        <w:t>s case is unsuccessful.</w:t>
      </w:r>
    </w:p>
  </w:footnote>
  <w:footnote w:id="18">
    <w:p w14:paraId="246599A2" w14:textId="4E1CD44A" w:rsidR="00406B1B" w:rsidRPr="00C3671B" w:rsidRDefault="00406B1B">
      <w:pPr>
        <w:pStyle w:val="FootnoteText"/>
      </w:pPr>
      <w:r w:rsidRPr="00C3671B">
        <w:rPr>
          <w:rStyle w:val="FootnoteReference"/>
        </w:rPr>
        <w:footnoteRef/>
      </w:r>
      <w:r w:rsidRPr="00C3671B">
        <w:t xml:space="preserve"> </w:t>
      </w:r>
      <w:r w:rsidRPr="00C3671B">
        <w:tab/>
        <w:t>If the Success fee model is not adopted and the DBA Payment is less than the amount of recoverable costs (including as assessed by the Tribunal), then the opponent is not obliged to pay those recoverable costs, and the DBA Payment becomes the ceiling of recoverable costs to which the client is entitled.</w:t>
      </w:r>
    </w:p>
  </w:footnote>
  <w:footnote w:id="19">
    <w:p w14:paraId="126215B0" w14:textId="0AF82FF0" w:rsidR="00406B1B" w:rsidRPr="00C3671B" w:rsidRDefault="00406B1B">
      <w:pPr>
        <w:pStyle w:val="FootnoteText"/>
      </w:pPr>
      <w:r w:rsidRPr="00C3671B">
        <w:rPr>
          <w:rStyle w:val="FootnoteReference"/>
        </w:rPr>
        <w:footnoteRef/>
      </w:r>
      <w:r w:rsidRPr="00C3671B">
        <w:t xml:space="preserve"> </w:t>
      </w:r>
      <w:r w:rsidRPr="00C3671B">
        <w:tab/>
      </w:r>
      <w:r w:rsidRPr="00C3671B">
        <w:rPr>
          <w:lang w:eastAsia="zh-CN"/>
        </w:rPr>
        <w:t>We take the view that any cap only operates as a cap on the maximum DBA Payment that can be charged.  It does not require parties and their Lawyers to adopt the cap, but it does allow the parties and their legal representatives to negotiate within more flexible parameters.</w:t>
      </w:r>
    </w:p>
  </w:footnote>
  <w:footnote w:id="20">
    <w:p w14:paraId="727969D9" w14:textId="678ECEE2" w:rsidR="00406B1B" w:rsidRPr="00C3671B" w:rsidRDefault="00406B1B">
      <w:pPr>
        <w:pStyle w:val="FootnoteText"/>
      </w:pPr>
      <w:r w:rsidRPr="00C3671B">
        <w:rPr>
          <w:rStyle w:val="FootnoteReference"/>
        </w:rPr>
        <w:footnoteRef/>
      </w:r>
      <w:r w:rsidRPr="00C3671B">
        <w:t xml:space="preserve"> </w:t>
      </w:r>
      <w:r w:rsidRPr="00C3671B">
        <w:tab/>
      </w:r>
      <w:r w:rsidRPr="00C3671B">
        <w:rPr>
          <w:lang w:eastAsia="zh-HK"/>
        </w:rPr>
        <w:t xml:space="preserve">An independent review of the Damages-Based Agreements Regulations 2013 in England and Wales by Professor Rachael </w:t>
      </w:r>
      <w:proofErr w:type="spellStart"/>
      <w:r w:rsidRPr="00C3671B">
        <w:rPr>
          <w:lang w:eastAsia="zh-HK"/>
        </w:rPr>
        <w:t>Mulheron</w:t>
      </w:r>
      <w:proofErr w:type="spellEnd"/>
      <w:r w:rsidRPr="00C3671B">
        <w:rPr>
          <w:lang w:eastAsia="zh-HK"/>
        </w:rPr>
        <w:t xml:space="preserve"> and </w:t>
      </w:r>
      <w:proofErr w:type="spellStart"/>
      <w:r w:rsidRPr="00C3671B">
        <w:rPr>
          <w:lang w:eastAsia="zh-HK"/>
        </w:rPr>
        <w:t>Mr</w:t>
      </w:r>
      <w:proofErr w:type="spellEnd"/>
      <w:r w:rsidRPr="00C3671B">
        <w:rPr>
          <w:lang w:eastAsia="zh-HK"/>
        </w:rPr>
        <w:t xml:space="preserve"> Nicholas Bacon, QC </w:t>
      </w:r>
      <w:r w:rsidR="00022D08" w:rsidRPr="00C3671B">
        <w:rPr>
          <w:lang w:eastAsia="zh-HK"/>
        </w:rPr>
        <w:t>during</w:t>
      </w:r>
      <w:r w:rsidRPr="00C3671B">
        <w:rPr>
          <w:lang w:eastAsia="zh-HK"/>
        </w:rPr>
        <w:t xml:space="preserve"> 2019</w:t>
      </w:r>
      <w:r w:rsidR="00022D08" w:rsidRPr="00C3671B">
        <w:rPr>
          <w:lang w:eastAsia="zh-HK"/>
        </w:rPr>
        <w:t xml:space="preserve"> to 2020</w:t>
      </w:r>
      <w:r w:rsidRPr="00C3671B">
        <w:rPr>
          <w:lang w:eastAsia="zh-HK"/>
        </w:rPr>
        <w:t>.</w:t>
      </w:r>
    </w:p>
  </w:footnote>
  <w:footnote w:id="21">
    <w:p w14:paraId="2A13DC36" w14:textId="2FBE5DF2" w:rsidR="00406B1B" w:rsidRPr="00C3671B" w:rsidRDefault="00406B1B">
      <w:pPr>
        <w:pStyle w:val="FootnoteText"/>
      </w:pPr>
      <w:r w:rsidRPr="00C3671B">
        <w:rPr>
          <w:rStyle w:val="FootnoteReference"/>
        </w:rPr>
        <w:footnoteRef/>
      </w:r>
      <w:r w:rsidRPr="00C3671B">
        <w:t xml:space="preserve"> </w:t>
      </w:r>
      <w:r w:rsidRPr="00C3671B">
        <w:tab/>
        <w:t>See the draft amendments to the Legal Practitioners Ordinance in Annex 1 to the Report.</w:t>
      </w:r>
    </w:p>
  </w:footnote>
  <w:footnote w:id="22">
    <w:p w14:paraId="3EC1A7CA" w14:textId="5982EBA2" w:rsidR="00406B1B" w:rsidRPr="00C3671B" w:rsidRDefault="00406B1B">
      <w:pPr>
        <w:pStyle w:val="FootnoteText"/>
      </w:pPr>
      <w:r w:rsidRPr="00C3671B">
        <w:rPr>
          <w:rStyle w:val="FootnoteReference"/>
        </w:rPr>
        <w:footnoteRef/>
      </w:r>
      <w:r w:rsidRPr="00C3671B">
        <w:t xml:space="preserve"> </w:t>
      </w:r>
      <w:r w:rsidRPr="00C3671B">
        <w:tab/>
        <w:t xml:space="preserve">See </w:t>
      </w:r>
      <w:proofErr w:type="spellStart"/>
      <w:r w:rsidR="00B74F82" w:rsidRPr="00C3671B">
        <w:t>ss</w:t>
      </w:r>
      <w:proofErr w:type="spellEnd"/>
      <w:r w:rsidRPr="00C3671B">
        <w:t xml:space="preserve"> 98ZE, 98ZF, 98ZG and 98ZH of the draft amendments to the Arbitration Ordinance in Annex 1 to the Report.</w:t>
      </w:r>
    </w:p>
  </w:footnote>
  <w:footnote w:id="23">
    <w:p w14:paraId="6FD22026" w14:textId="40729644" w:rsidR="00406B1B" w:rsidRPr="00C3671B" w:rsidRDefault="00406B1B">
      <w:pPr>
        <w:pStyle w:val="FootnoteText"/>
      </w:pPr>
      <w:r w:rsidRPr="00C3671B">
        <w:rPr>
          <w:rStyle w:val="FootnoteReference"/>
        </w:rPr>
        <w:footnoteRef/>
      </w:r>
      <w:r w:rsidRPr="00C3671B">
        <w:t xml:space="preserve"> </w:t>
      </w:r>
      <w:r w:rsidRPr="00C3671B">
        <w:tab/>
        <w:t>See item 1(g) of the recommended ORFS safeguards to be included in subsidiary legislation in Annex 2 to the Report.</w:t>
      </w:r>
    </w:p>
  </w:footnote>
  <w:footnote w:id="24">
    <w:p w14:paraId="2766C9DD" w14:textId="01FB9099" w:rsidR="00406B1B" w:rsidRPr="00C3671B" w:rsidRDefault="00406B1B">
      <w:pPr>
        <w:pStyle w:val="FootnoteText"/>
      </w:pPr>
      <w:r w:rsidRPr="00C3671B">
        <w:rPr>
          <w:rStyle w:val="FootnoteReference"/>
        </w:rPr>
        <w:footnoteRef/>
      </w:r>
      <w:r w:rsidRPr="00C3671B">
        <w:t xml:space="preserve"> </w:t>
      </w:r>
      <w:r w:rsidRPr="00C3671B">
        <w:tab/>
        <w:t>See item 1(h) of the recommended ORFS safeguards to be included in subsidiary legislation in Annex 2 to the Report.</w:t>
      </w:r>
    </w:p>
  </w:footnote>
  <w:footnote w:id="25">
    <w:p w14:paraId="3FBEE234" w14:textId="49F5B1A6" w:rsidR="00406B1B" w:rsidRPr="00C3671B" w:rsidRDefault="00406B1B">
      <w:pPr>
        <w:pStyle w:val="FootnoteText"/>
      </w:pPr>
      <w:r w:rsidRPr="00C3671B">
        <w:rPr>
          <w:rStyle w:val="FootnoteReference"/>
        </w:rPr>
        <w:footnoteRef/>
      </w:r>
      <w:r w:rsidRPr="00C3671B">
        <w:t xml:space="preserve"> </w:t>
      </w:r>
      <w:r w:rsidRPr="00C3671B">
        <w:tab/>
        <w:t>See item 1(j) of the recommended ORFS safeguards to be included in subsidiary legislation in Annex 2 to the Report.</w:t>
      </w:r>
    </w:p>
  </w:footnote>
  <w:footnote w:id="26">
    <w:p w14:paraId="3C0A7FDD" w14:textId="3B17D795" w:rsidR="00406B1B" w:rsidRPr="00C3671B" w:rsidRDefault="00406B1B">
      <w:pPr>
        <w:pStyle w:val="FootnoteText"/>
      </w:pPr>
      <w:r w:rsidRPr="00C3671B">
        <w:rPr>
          <w:rStyle w:val="FootnoteReference"/>
        </w:rPr>
        <w:footnoteRef/>
      </w:r>
      <w:r w:rsidRPr="00C3671B">
        <w:t xml:space="preserve"> </w:t>
      </w:r>
      <w:r w:rsidRPr="00C3671B">
        <w:tab/>
        <w:t>See item 1(k) of the recommended ORFS safeguards to be included in subsidiary legislation in Annex 2 to the Report.</w:t>
      </w:r>
    </w:p>
  </w:footnote>
  <w:footnote w:id="27">
    <w:p w14:paraId="5ACA41F8" w14:textId="35E4D460" w:rsidR="00406B1B" w:rsidRPr="00C3671B" w:rsidRDefault="00406B1B">
      <w:pPr>
        <w:pStyle w:val="FootnoteText"/>
      </w:pPr>
      <w:r w:rsidRPr="00C3671B">
        <w:rPr>
          <w:rStyle w:val="FootnoteReference"/>
        </w:rPr>
        <w:footnoteRef/>
      </w:r>
      <w:r w:rsidRPr="00C3671B">
        <w:t xml:space="preserve"> </w:t>
      </w:r>
      <w:r w:rsidRPr="00C3671B">
        <w:tab/>
        <w:t>See item 1(</w:t>
      </w:r>
      <w:proofErr w:type="spellStart"/>
      <w:r w:rsidRPr="00C3671B">
        <w:t>i</w:t>
      </w:r>
      <w:proofErr w:type="spellEnd"/>
      <w:r w:rsidRPr="00C3671B">
        <w:t>) of the recommended ORFS safeguards to be included in subsidiary legislation in Annex 2 to the Report.</w:t>
      </w:r>
    </w:p>
  </w:footnote>
  <w:footnote w:id="28">
    <w:p w14:paraId="457F5BAD" w14:textId="583D54E2"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t xml:space="preserve">See </w:t>
      </w:r>
      <w:r w:rsidRPr="00C3671B">
        <w:t>paras 9.12 to 9.19 of, and items 1(</w:t>
      </w:r>
      <w:proofErr w:type="spellStart"/>
      <w:r w:rsidRPr="00C3671B">
        <w:t>i</w:t>
      </w:r>
      <w:proofErr w:type="spellEnd"/>
      <w:r w:rsidRPr="00C3671B">
        <w:t xml:space="preserve">), 1(n), 1(o)(iii) and 1(o)(iv) of the recommended ORFS safeguards to be included in subsidiary legislation </w:t>
      </w:r>
      <w:r w:rsidR="007A39BA" w:rsidRPr="00C3671B">
        <w:t>i</w:t>
      </w:r>
      <w:r w:rsidRPr="00C3671B">
        <w:t>n Annex 2 to</w:t>
      </w:r>
      <w:r w:rsidR="007C2CE8" w:rsidRPr="00C3671B">
        <w:t>,</w:t>
      </w:r>
      <w:r w:rsidRPr="00C3671B">
        <w:t xml:space="preserve"> the Report.</w:t>
      </w:r>
    </w:p>
  </w:footnote>
  <w:footnote w:id="29">
    <w:p w14:paraId="0762D306" w14:textId="43EAB71F"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t>See paras 10</w:t>
      </w:r>
      <w:r w:rsidRPr="00C3671B">
        <w:t xml:space="preserve">.9 to 10.11 of, and item 1(l) of the recommended ORFS safeguards to be included in subsidiary legislation </w:t>
      </w:r>
      <w:r w:rsidR="007A39BA" w:rsidRPr="00C3671B">
        <w:t>i</w:t>
      </w:r>
      <w:r w:rsidRPr="00C3671B">
        <w:t>n Annex 2 to</w:t>
      </w:r>
      <w:r w:rsidR="007C2CE8" w:rsidRPr="00C3671B">
        <w:t>,</w:t>
      </w:r>
      <w:r w:rsidRPr="00C3671B">
        <w:t xml:space="preserve"> the Report.</w:t>
      </w:r>
    </w:p>
  </w:footnote>
  <w:footnote w:id="30">
    <w:p w14:paraId="434AE816" w14:textId="446F89D8"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r>
      <w:r w:rsidRPr="00C3671B">
        <w:t>See item 1(o</w:t>
      </w:r>
      <w:proofErr w:type="gramStart"/>
      <w:r w:rsidRPr="00C3671B">
        <w:t>)(</w:t>
      </w:r>
      <w:proofErr w:type="gramEnd"/>
      <w:r w:rsidRPr="00C3671B">
        <w:t>v) of the recommended ORFS safeguards to be included in subsidiary legislation in Annex 2 to the Report.</w:t>
      </w:r>
    </w:p>
  </w:footnote>
  <w:footnote w:id="31">
    <w:p w14:paraId="7EFEF3E1" w14:textId="33BF7EDC"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r>
      <w:r w:rsidRPr="00C3671B">
        <w:t>See item 1(o</w:t>
      </w:r>
      <w:proofErr w:type="gramStart"/>
      <w:r w:rsidRPr="00C3671B">
        <w:t>)(</w:t>
      </w:r>
      <w:proofErr w:type="gramEnd"/>
      <w:r w:rsidRPr="00C3671B">
        <w:t>vi) of the recommended ORFS safeguards to be included in subsidiary legislation in Annex 2 to the Report.</w:t>
      </w:r>
    </w:p>
  </w:footnote>
  <w:footnote w:id="32">
    <w:p w14:paraId="2D159402" w14:textId="020A67DD"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r>
      <w:r w:rsidRPr="00C3671B">
        <w:t>See item 1(o</w:t>
      </w:r>
      <w:proofErr w:type="gramStart"/>
      <w:r w:rsidRPr="00C3671B">
        <w:t>)(</w:t>
      </w:r>
      <w:proofErr w:type="gramEnd"/>
      <w:r w:rsidRPr="00C3671B">
        <w:t>vii) of the recommended ORFS safeguards to be included in subsidiary legislation in Annex 2 to the Report.</w:t>
      </w:r>
    </w:p>
  </w:footnote>
  <w:footnote w:id="33">
    <w:p w14:paraId="38ABDD41" w14:textId="1368B085"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r>
      <w:r w:rsidRPr="00C3671B">
        <w:t xml:space="preserve">See </w:t>
      </w:r>
      <w:r w:rsidR="00B74F82" w:rsidRPr="00C3671B">
        <w:t>s</w:t>
      </w:r>
      <w:r w:rsidRPr="00C3671B">
        <w:t xml:space="preserve"> </w:t>
      </w:r>
      <w:proofErr w:type="gramStart"/>
      <w:r w:rsidRPr="00C3671B">
        <w:t>98ZB(</w:t>
      </w:r>
      <w:proofErr w:type="gramEnd"/>
      <w:r w:rsidRPr="00C3671B">
        <w:t>2) of the draft amendments to the Arbitration Ordinance in Annex 1 to the Report.</w:t>
      </w:r>
    </w:p>
  </w:footnote>
  <w:footnote w:id="34">
    <w:p w14:paraId="6CD076C1" w14:textId="5959323F"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r>
      <w:r w:rsidRPr="00C3671B">
        <w:t xml:space="preserve">See </w:t>
      </w:r>
      <w:proofErr w:type="spellStart"/>
      <w:r w:rsidR="00B74F82" w:rsidRPr="00C3671B">
        <w:t>ss</w:t>
      </w:r>
      <w:proofErr w:type="spellEnd"/>
      <w:r w:rsidRPr="00C3671B">
        <w:t xml:space="preserve"> 98ZC and 98ZD of the draft amendments to the Arbitration Ordinance in Annex 1 to the Report.</w:t>
      </w:r>
    </w:p>
  </w:footnote>
  <w:footnote w:id="35">
    <w:p w14:paraId="4CF0DDC5" w14:textId="46D14B0F" w:rsidR="00406B1B" w:rsidRPr="00C3671B" w:rsidRDefault="00406B1B">
      <w:pPr>
        <w:pStyle w:val="FootnoteText"/>
        <w:rPr>
          <w:rFonts w:eastAsia="DengXian"/>
          <w:lang w:eastAsia="zh-CN"/>
        </w:rPr>
      </w:pPr>
      <w:r w:rsidRPr="00C3671B">
        <w:rPr>
          <w:rStyle w:val="FootnoteReference"/>
        </w:rPr>
        <w:footnoteRef/>
      </w:r>
      <w:r w:rsidRPr="00C3671B">
        <w:t xml:space="preserve"> </w:t>
      </w:r>
      <w:r w:rsidRPr="00C3671B">
        <w:rPr>
          <w:rFonts w:eastAsia="DengXian"/>
          <w:lang w:eastAsia="zh-CN"/>
        </w:rPr>
        <w:tab/>
      </w:r>
      <w:r w:rsidRPr="00C3671B">
        <w:t xml:space="preserve">See </w:t>
      </w:r>
      <w:r w:rsidR="00B74F82" w:rsidRPr="00C3671B">
        <w:t>s</w:t>
      </w:r>
      <w:r w:rsidRPr="00C3671B">
        <w:t xml:space="preserve"> </w:t>
      </w:r>
      <w:proofErr w:type="gramStart"/>
      <w:r w:rsidRPr="00C3671B">
        <w:t>98ZA(</w:t>
      </w:r>
      <w:proofErr w:type="gramEnd"/>
      <w:r w:rsidRPr="00C3671B">
        <w:t>1) of the draft amendments to the Arbitration Ordinance in Annex 1 to the Report.</w:t>
      </w:r>
    </w:p>
  </w:footnote>
  <w:footnote w:id="36">
    <w:p w14:paraId="42193B27" w14:textId="77777777" w:rsidR="00406B1B" w:rsidRPr="00C3671B" w:rsidRDefault="00406B1B">
      <w:pPr>
        <w:pStyle w:val="FootnoteText"/>
        <w:rPr>
          <w:lang w:eastAsia="zh-CN"/>
        </w:rPr>
      </w:pPr>
      <w:r w:rsidRPr="00C3671B">
        <w:rPr>
          <w:rStyle w:val="FootnoteReference"/>
        </w:rPr>
        <w:footnoteRef/>
      </w:r>
      <w:r w:rsidRPr="00C3671B">
        <w:t xml:space="preserve"> </w:t>
      </w:r>
      <w:r w:rsidRPr="00C3671B">
        <w:rPr>
          <w:lang w:eastAsia="zh-CN"/>
        </w:rPr>
        <w:tab/>
        <w:t>Same as above.</w:t>
      </w:r>
    </w:p>
  </w:footnote>
  <w:footnote w:id="37">
    <w:p w14:paraId="4381C2BE" w14:textId="77777777" w:rsidR="00B262DF" w:rsidRPr="00C3671B" w:rsidRDefault="00B262DF" w:rsidP="00B262DF">
      <w:pPr>
        <w:pStyle w:val="FootnoteText"/>
        <w:rPr>
          <w:lang w:eastAsia="zh-CN"/>
        </w:rPr>
      </w:pPr>
      <w:r w:rsidRPr="00C3671B">
        <w:rPr>
          <w:rStyle w:val="FootnoteReference"/>
        </w:rPr>
        <w:footnoteRef/>
      </w:r>
      <w:r w:rsidRPr="00C3671B">
        <w:t xml:space="preserve"> </w:t>
      </w:r>
      <w:r w:rsidRPr="00C3671B">
        <w:rPr>
          <w:lang w:eastAsia="zh-CN"/>
        </w:rPr>
        <w:tab/>
        <w:t>Same as above.</w:t>
      </w:r>
    </w:p>
  </w:footnote>
  <w:footnote w:id="38">
    <w:p w14:paraId="3A3988BF" w14:textId="489207F1" w:rsidR="00406B1B" w:rsidRPr="00C3671B" w:rsidRDefault="00406B1B">
      <w:pPr>
        <w:pStyle w:val="FootnoteText"/>
      </w:pPr>
      <w:r w:rsidRPr="00C3671B">
        <w:rPr>
          <w:rStyle w:val="FootnoteReference"/>
        </w:rPr>
        <w:footnoteRef/>
      </w:r>
      <w:r w:rsidRPr="00C3671B">
        <w:t xml:space="preserve"> </w:t>
      </w:r>
      <w:r w:rsidRPr="00C3671B">
        <w:tab/>
        <w:t>See s 98ZK of the draft amendments to the Arbitration Ordinance in Annex 1 to the Report.</w:t>
      </w:r>
    </w:p>
  </w:footnote>
  <w:footnote w:id="39">
    <w:p w14:paraId="799D51C1" w14:textId="6CA39249" w:rsidR="00406B1B" w:rsidRPr="00C3671B" w:rsidRDefault="00406B1B">
      <w:pPr>
        <w:pStyle w:val="FootnoteText"/>
        <w:rPr>
          <w:rFonts w:eastAsia="SimSun"/>
          <w:lang w:eastAsia="zh-CN"/>
        </w:rPr>
      </w:pPr>
      <w:r w:rsidRPr="00C3671B">
        <w:rPr>
          <w:rStyle w:val="FootnoteReference"/>
        </w:rPr>
        <w:footnoteRef/>
      </w:r>
      <w:r w:rsidRPr="00C3671B">
        <w:t xml:space="preserve"> </w:t>
      </w:r>
      <w:r w:rsidRPr="00C3671B">
        <w:tab/>
        <w:t>See item 1(o</w:t>
      </w:r>
      <w:proofErr w:type="gramStart"/>
      <w:r w:rsidRPr="00C3671B">
        <w:t>)(</w:t>
      </w:r>
      <w:proofErr w:type="spellStart"/>
      <w:proofErr w:type="gramEnd"/>
      <w:r w:rsidRPr="00C3671B">
        <w:t>i</w:t>
      </w:r>
      <w:proofErr w:type="spellEnd"/>
      <w:r w:rsidRPr="00C3671B">
        <w:t xml:space="preserve">) of the recommended ORFS safeguards to be included in subsidiary legislation in Annex 2 to </w:t>
      </w:r>
      <w:r w:rsidR="009465CE" w:rsidRPr="00C3671B">
        <w:t xml:space="preserve">the </w:t>
      </w:r>
      <w:r w:rsidRPr="00C3671B">
        <w:t>Report.</w:t>
      </w:r>
    </w:p>
  </w:footnote>
  <w:footnote w:id="40">
    <w:p w14:paraId="511DDBAE" w14:textId="77777777" w:rsidR="006C1E38" w:rsidRPr="00452F7B" w:rsidRDefault="006C1E38" w:rsidP="006C1E38">
      <w:pPr>
        <w:pStyle w:val="FootnoteText"/>
        <w:rPr>
          <w:rFonts w:eastAsia="DengXian"/>
          <w:lang w:eastAsia="zh-CN"/>
        </w:rPr>
      </w:pPr>
      <w:r w:rsidRPr="00C3671B">
        <w:rPr>
          <w:rStyle w:val="FootnoteReference"/>
        </w:rPr>
        <w:footnoteRef/>
      </w:r>
      <w:r w:rsidRPr="00C3671B">
        <w:t xml:space="preserve"> </w:t>
      </w:r>
      <w:r w:rsidRPr="00C3671B">
        <w:rPr>
          <w:rFonts w:eastAsia="SimSun"/>
          <w:lang w:eastAsia="zh-CN"/>
        </w:rPr>
        <w:tab/>
      </w:r>
      <w:r w:rsidRPr="00C3671B">
        <w:rPr>
          <w:rFonts w:eastAsia="DengXian"/>
          <w:lang w:eastAsia="zh-CN"/>
        </w:rPr>
        <w:t>S</w:t>
      </w:r>
      <w:r w:rsidRPr="00C3671B">
        <w:t>ee item 1(o</w:t>
      </w:r>
      <w:proofErr w:type="gramStart"/>
      <w:r w:rsidRPr="00C3671B">
        <w:t>)(</w:t>
      </w:r>
      <w:proofErr w:type="gramEnd"/>
      <w:r w:rsidRPr="00C3671B">
        <w:t>ii) of the recommended ORFS safeguards to be included in subsidiary legislation in Annex 2 to the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4B6C0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FAD66F2A"/>
    <w:lvl w:ilvl="0">
      <w:start w:val="1"/>
      <w:numFmt w:val="bullet"/>
      <w:pStyle w:val="ListBullet"/>
      <w:lvlText w:val=""/>
      <w:lvlJc w:val="left"/>
      <w:pPr>
        <w:tabs>
          <w:tab w:val="num" w:pos="1440"/>
        </w:tabs>
        <w:ind w:left="1440" w:hanging="720"/>
      </w:pPr>
      <w:rPr>
        <w:rFonts w:ascii="Symbol" w:hAnsi="Symbol" w:hint="default"/>
      </w:rPr>
    </w:lvl>
  </w:abstractNum>
  <w:abstractNum w:abstractNumId="2" w15:restartNumberingAfterBreak="0">
    <w:nsid w:val="004D38DB"/>
    <w:multiLevelType w:val="hybridMultilevel"/>
    <w:tmpl w:val="174E6412"/>
    <w:lvl w:ilvl="0" w:tplc="8BD872FE">
      <w:start w:val="1"/>
      <w:numFmt w:val="decimal"/>
      <w:pStyle w:val="Heading5"/>
      <w:lvlText w:val="(%1)"/>
      <w:lvlJc w:val="left"/>
      <w:pPr>
        <w:ind w:left="720" w:hanging="360"/>
      </w:pPr>
      <w:rPr>
        <w:rFonts w:hint="eastAsia"/>
        <w:b w:val="0"/>
        <w:i w:val="0"/>
        <w:caps w:val="0"/>
        <w:strike w:val="0"/>
        <w:dstrike w:val="0"/>
        <w:vanish w:val="0"/>
        <w:color w:val="00000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F15F6"/>
    <w:multiLevelType w:val="hybridMultilevel"/>
    <w:tmpl w:val="4FD2AB86"/>
    <w:lvl w:ilvl="0" w:tplc="468CE5B8">
      <w:start w:val="1"/>
      <w:numFmt w:val="lowerLetter"/>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 w15:restartNumberingAfterBreak="0">
    <w:nsid w:val="09CE5019"/>
    <w:multiLevelType w:val="hybridMultilevel"/>
    <w:tmpl w:val="9872FA94"/>
    <w:lvl w:ilvl="0" w:tplc="D5000DC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0E336D55"/>
    <w:multiLevelType w:val="hybridMultilevel"/>
    <w:tmpl w:val="E538301C"/>
    <w:lvl w:ilvl="0" w:tplc="8954F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4A1661"/>
    <w:multiLevelType w:val="hybridMultilevel"/>
    <w:tmpl w:val="FCF631D8"/>
    <w:lvl w:ilvl="0" w:tplc="9A10C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57851"/>
    <w:multiLevelType w:val="hybridMultilevel"/>
    <w:tmpl w:val="9872FA94"/>
    <w:lvl w:ilvl="0" w:tplc="D5000DC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B767E05"/>
    <w:multiLevelType w:val="hybridMultilevel"/>
    <w:tmpl w:val="3FCA76F6"/>
    <w:lvl w:ilvl="0" w:tplc="FFFFFFFF">
      <w:start w:val="1"/>
      <w:numFmt w:val="lowerRoman"/>
      <w:lvlText w:val="(%1)"/>
      <w:lvlJc w:val="left"/>
      <w:pPr>
        <w:ind w:left="216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0196E05"/>
    <w:multiLevelType w:val="hybridMultilevel"/>
    <w:tmpl w:val="F96C5A8C"/>
    <w:lvl w:ilvl="0" w:tplc="BC56E358">
      <w:start w:val="7"/>
      <w:numFmt w:val="low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385BBC"/>
    <w:multiLevelType w:val="singleLevel"/>
    <w:tmpl w:val="F4A2B454"/>
    <w:lvl w:ilvl="0">
      <w:start w:val="1"/>
      <w:numFmt w:val="decimal"/>
      <w:pStyle w:val="a"/>
      <w:lvlText w:val="“(%1)"/>
      <w:lvlJc w:val="left"/>
      <w:pPr>
        <w:tabs>
          <w:tab w:val="num" w:pos="1644"/>
        </w:tabs>
        <w:ind w:left="1644" w:hanging="805"/>
      </w:pPr>
      <w:rPr>
        <w:rFonts w:ascii="Times New Roman" w:hAnsi="Times New Roman" w:hint="default"/>
        <w:b/>
        <w:i w:val="0"/>
        <w:spacing w:val="0"/>
        <w:sz w:val="22"/>
      </w:rPr>
    </w:lvl>
  </w:abstractNum>
  <w:abstractNum w:abstractNumId="11" w15:restartNumberingAfterBreak="0">
    <w:nsid w:val="375C74A5"/>
    <w:multiLevelType w:val="hybridMultilevel"/>
    <w:tmpl w:val="3FCA76F6"/>
    <w:lvl w:ilvl="0" w:tplc="FFFFFFFF">
      <w:start w:val="1"/>
      <w:numFmt w:val="lowerRoman"/>
      <w:lvlText w:val="(%1)"/>
      <w:lvlJc w:val="left"/>
      <w:pPr>
        <w:ind w:left="216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A080DC7"/>
    <w:multiLevelType w:val="hybridMultilevel"/>
    <w:tmpl w:val="9872FA94"/>
    <w:lvl w:ilvl="0" w:tplc="D5000DC4">
      <w:start w:val="1"/>
      <w:numFmt w:val="lowerLetter"/>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406F1157"/>
    <w:multiLevelType w:val="singleLevel"/>
    <w:tmpl w:val="9214A48E"/>
    <w:lvl w:ilvl="0">
      <w:start w:val="1"/>
      <w:numFmt w:val="decimal"/>
      <w:pStyle w:val="List"/>
      <w:lvlText w:val="%1."/>
      <w:lvlJc w:val="left"/>
      <w:pPr>
        <w:tabs>
          <w:tab w:val="num" w:pos="1440"/>
        </w:tabs>
        <w:ind w:left="1440" w:hanging="720"/>
      </w:pPr>
      <w:rPr>
        <w:rFonts w:ascii="Arial" w:hAnsi="Arial" w:hint="default"/>
        <w:sz w:val="24"/>
      </w:rPr>
    </w:lvl>
  </w:abstractNum>
  <w:abstractNum w:abstractNumId="14" w15:restartNumberingAfterBreak="0">
    <w:nsid w:val="477F14CF"/>
    <w:multiLevelType w:val="hybridMultilevel"/>
    <w:tmpl w:val="9872FA94"/>
    <w:lvl w:ilvl="0" w:tplc="D5000DC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486E5F50"/>
    <w:multiLevelType w:val="hybridMultilevel"/>
    <w:tmpl w:val="E2127B44"/>
    <w:lvl w:ilvl="0" w:tplc="1D828236">
      <w:start w:val="1"/>
      <w:numFmt w:val="lowerRoman"/>
      <w:lvlText w:val="(%1)"/>
      <w:lvlJc w:val="left"/>
      <w:pPr>
        <w:ind w:left="2153" w:hanging="720"/>
      </w:pPr>
      <w:rPr>
        <w:rFonts w:hint="default"/>
      </w:rPr>
    </w:lvl>
    <w:lvl w:ilvl="1" w:tplc="04090019" w:tentative="1">
      <w:start w:val="1"/>
      <w:numFmt w:val="ideographTraditional"/>
      <w:lvlText w:val="%2、"/>
      <w:lvlJc w:val="left"/>
      <w:pPr>
        <w:ind w:left="2393" w:hanging="480"/>
      </w:pPr>
    </w:lvl>
    <w:lvl w:ilvl="2" w:tplc="0409001B" w:tentative="1">
      <w:start w:val="1"/>
      <w:numFmt w:val="lowerRoman"/>
      <w:lvlText w:val="%3."/>
      <w:lvlJc w:val="right"/>
      <w:pPr>
        <w:ind w:left="2873" w:hanging="480"/>
      </w:pPr>
    </w:lvl>
    <w:lvl w:ilvl="3" w:tplc="0409000F" w:tentative="1">
      <w:start w:val="1"/>
      <w:numFmt w:val="decimal"/>
      <w:lvlText w:val="%4."/>
      <w:lvlJc w:val="left"/>
      <w:pPr>
        <w:ind w:left="3353" w:hanging="480"/>
      </w:pPr>
    </w:lvl>
    <w:lvl w:ilvl="4" w:tplc="04090019" w:tentative="1">
      <w:start w:val="1"/>
      <w:numFmt w:val="ideographTraditional"/>
      <w:lvlText w:val="%5、"/>
      <w:lvlJc w:val="left"/>
      <w:pPr>
        <w:ind w:left="3833" w:hanging="480"/>
      </w:pPr>
    </w:lvl>
    <w:lvl w:ilvl="5" w:tplc="0409001B" w:tentative="1">
      <w:start w:val="1"/>
      <w:numFmt w:val="lowerRoman"/>
      <w:lvlText w:val="%6."/>
      <w:lvlJc w:val="right"/>
      <w:pPr>
        <w:ind w:left="4313" w:hanging="480"/>
      </w:pPr>
    </w:lvl>
    <w:lvl w:ilvl="6" w:tplc="0409000F" w:tentative="1">
      <w:start w:val="1"/>
      <w:numFmt w:val="decimal"/>
      <w:lvlText w:val="%7."/>
      <w:lvlJc w:val="left"/>
      <w:pPr>
        <w:ind w:left="4793" w:hanging="480"/>
      </w:pPr>
    </w:lvl>
    <w:lvl w:ilvl="7" w:tplc="04090019" w:tentative="1">
      <w:start w:val="1"/>
      <w:numFmt w:val="ideographTraditional"/>
      <w:lvlText w:val="%8、"/>
      <w:lvlJc w:val="left"/>
      <w:pPr>
        <w:ind w:left="5273" w:hanging="480"/>
      </w:pPr>
    </w:lvl>
    <w:lvl w:ilvl="8" w:tplc="0409001B" w:tentative="1">
      <w:start w:val="1"/>
      <w:numFmt w:val="lowerRoman"/>
      <w:lvlText w:val="%9."/>
      <w:lvlJc w:val="right"/>
      <w:pPr>
        <w:ind w:left="5753" w:hanging="480"/>
      </w:pPr>
    </w:lvl>
  </w:abstractNum>
  <w:abstractNum w:abstractNumId="16" w15:restartNumberingAfterBreak="0">
    <w:nsid w:val="5A582C37"/>
    <w:multiLevelType w:val="hybridMultilevel"/>
    <w:tmpl w:val="0E80A530"/>
    <w:lvl w:ilvl="0" w:tplc="D04C6D06">
      <w:start w:val="1"/>
      <w:numFmt w:val="lowerRoman"/>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5AAF2DA6"/>
    <w:multiLevelType w:val="hybridMultilevel"/>
    <w:tmpl w:val="3FCA76F6"/>
    <w:lvl w:ilvl="0" w:tplc="FFFFFFFF">
      <w:start w:val="1"/>
      <w:numFmt w:val="lowerRoman"/>
      <w:lvlText w:val="(%1)"/>
      <w:lvlJc w:val="left"/>
      <w:pPr>
        <w:ind w:left="216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6EDA725E"/>
    <w:multiLevelType w:val="hybridMultilevel"/>
    <w:tmpl w:val="FCF631D8"/>
    <w:lvl w:ilvl="0" w:tplc="9A10C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A60BD9"/>
    <w:multiLevelType w:val="hybridMultilevel"/>
    <w:tmpl w:val="9872FA94"/>
    <w:lvl w:ilvl="0" w:tplc="D5000DC4">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76CF35A3"/>
    <w:multiLevelType w:val="hybridMultilevel"/>
    <w:tmpl w:val="BC8CEE3E"/>
    <w:lvl w:ilvl="0" w:tplc="9A8ECC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310AF8"/>
    <w:multiLevelType w:val="hybridMultilevel"/>
    <w:tmpl w:val="FCF631D8"/>
    <w:lvl w:ilvl="0" w:tplc="9A10C9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
  </w:num>
  <w:num w:numId="3">
    <w:abstractNumId w:val="2"/>
  </w:num>
  <w:num w:numId="4">
    <w:abstractNumId w:val="10"/>
  </w:num>
  <w:num w:numId="5">
    <w:abstractNumId w:val="18"/>
  </w:num>
  <w:num w:numId="6">
    <w:abstractNumId w:val="0"/>
  </w:num>
  <w:num w:numId="7">
    <w:abstractNumId w:val="21"/>
  </w:num>
  <w:num w:numId="8">
    <w:abstractNumId w:val="6"/>
  </w:num>
  <w:num w:numId="9">
    <w:abstractNumId w:val="12"/>
  </w:num>
  <w:num w:numId="10">
    <w:abstractNumId w:val="14"/>
  </w:num>
  <w:num w:numId="11">
    <w:abstractNumId w:val="7"/>
  </w:num>
  <w:num w:numId="12">
    <w:abstractNumId w:val="4"/>
  </w:num>
  <w:num w:numId="13">
    <w:abstractNumId w:val="19"/>
  </w:num>
  <w:num w:numId="14">
    <w:abstractNumId w:val="17"/>
  </w:num>
  <w:num w:numId="15">
    <w:abstractNumId w:val="3"/>
  </w:num>
  <w:num w:numId="16">
    <w:abstractNumId w:val="20"/>
  </w:num>
  <w:num w:numId="17">
    <w:abstractNumId w:val="5"/>
  </w:num>
  <w:num w:numId="18">
    <w:abstractNumId w:val="9"/>
  </w:num>
  <w:num w:numId="19">
    <w:abstractNumId w:val="11"/>
  </w:num>
  <w:num w:numId="20">
    <w:abstractNumId w:val="8"/>
  </w:num>
  <w:num w:numId="21">
    <w:abstractNumId w:val="16"/>
  </w:num>
  <w:num w:numId="22">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attachedTemplate r:id="rId1"/>
  <w:defaultTabStop w:val="720"/>
  <w:drawingGridHorizontalSpacing w:val="120"/>
  <w:displayHorizontalDrawingGridEvery w:val="0"/>
  <w:displayVerticalDrawingGridEvery w:val="2"/>
  <w:characterSpacingControl w:val="compressPunctuation"/>
  <w:hdrShapeDefaults>
    <o:shapedefaults v:ext="edit" spidmax="339969">
      <o:colormenu v:ext="edit" fillcolor="none [3212]"/>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DB4E99E-35F7-4A05-BC1E-FAC63ED4A035}"/>
    <w:docVar w:name="dgnword-eventsink" w:val="311031560"/>
  </w:docVars>
  <w:rsids>
    <w:rsidRoot w:val="00EC28E7"/>
    <w:rsid w:val="00001427"/>
    <w:rsid w:val="0000160F"/>
    <w:rsid w:val="00003DDB"/>
    <w:rsid w:val="00004AA6"/>
    <w:rsid w:val="00005F29"/>
    <w:rsid w:val="00006C62"/>
    <w:rsid w:val="00007ECE"/>
    <w:rsid w:val="000103FB"/>
    <w:rsid w:val="00010823"/>
    <w:rsid w:val="0002154E"/>
    <w:rsid w:val="00022D08"/>
    <w:rsid w:val="000236CB"/>
    <w:rsid w:val="00023F6D"/>
    <w:rsid w:val="00025518"/>
    <w:rsid w:val="00025B05"/>
    <w:rsid w:val="00026B25"/>
    <w:rsid w:val="00031420"/>
    <w:rsid w:val="00032428"/>
    <w:rsid w:val="000327AC"/>
    <w:rsid w:val="00035127"/>
    <w:rsid w:val="000354B1"/>
    <w:rsid w:val="00036F44"/>
    <w:rsid w:val="0003798D"/>
    <w:rsid w:val="0004017B"/>
    <w:rsid w:val="000409FA"/>
    <w:rsid w:val="00042183"/>
    <w:rsid w:val="0004226C"/>
    <w:rsid w:val="000445D4"/>
    <w:rsid w:val="00044AF6"/>
    <w:rsid w:val="000454A7"/>
    <w:rsid w:val="0004695F"/>
    <w:rsid w:val="00047F38"/>
    <w:rsid w:val="00053BFC"/>
    <w:rsid w:val="00054AA6"/>
    <w:rsid w:val="00056F13"/>
    <w:rsid w:val="0005778D"/>
    <w:rsid w:val="00057D2D"/>
    <w:rsid w:val="00057E40"/>
    <w:rsid w:val="000604C9"/>
    <w:rsid w:val="00060A3A"/>
    <w:rsid w:val="00062665"/>
    <w:rsid w:val="00062EF7"/>
    <w:rsid w:val="000635A3"/>
    <w:rsid w:val="00065D63"/>
    <w:rsid w:val="00066D12"/>
    <w:rsid w:val="00067F2C"/>
    <w:rsid w:val="00072FA4"/>
    <w:rsid w:val="00075460"/>
    <w:rsid w:val="00077B8B"/>
    <w:rsid w:val="000801D8"/>
    <w:rsid w:val="0008081A"/>
    <w:rsid w:val="00081454"/>
    <w:rsid w:val="00083706"/>
    <w:rsid w:val="000845C7"/>
    <w:rsid w:val="00085C8A"/>
    <w:rsid w:val="00086FF5"/>
    <w:rsid w:val="00091035"/>
    <w:rsid w:val="000921D3"/>
    <w:rsid w:val="000938D6"/>
    <w:rsid w:val="00095E87"/>
    <w:rsid w:val="00096369"/>
    <w:rsid w:val="000970D8"/>
    <w:rsid w:val="0009769A"/>
    <w:rsid w:val="00097C6C"/>
    <w:rsid w:val="000A0F0A"/>
    <w:rsid w:val="000A3030"/>
    <w:rsid w:val="000A3659"/>
    <w:rsid w:val="000A45E5"/>
    <w:rsid w:val="000B0C65"/>
    <w:rsid w:val="000B1122"/>
    <w:rsid w:val="000B2BFD"/>
    <w:rsid w:val="000B32D2"/>
    <w:rsid w:val="000B3FE2"/>
    <w:rsid w:val="000B612A"/>
    <w:rsid w:val="000B63A3"/>
    <w:rsid w:val="000C13C8"/>
    <w:rsid w:val="000C2C56"/>
    <w:rsid w:val="000C6BD7"/>
    <w:rsid w:val="000C73C8"/>
    <w:rsid w:val="000C75F8"/>
    <w:rsid w:val="000C7C57"/>
    <w:rsid w:val="000D183F"/>
    <w:rsid w:val="000D2CCF"/>
    <w:rsid w:val="000D37F5"/>
    <w:rsid w:val="000D4A16"/>
    <w:rsid w:val="000D4DBE"/>
    <w:rsid w:val="000D56C1"/>
    <w:rsid w:val="000D5E96"/>
    <w:rsid w:val="000E0260"/>
    <w:rsid w:val="000E0A40"/>
    <w:rsid w:val="000E104C"/>
    <w:rsid w:val="000E155D"/>
    <w:rsid w:val="000E1C1E"/>
    <w:rsid w:val="000E1E7F"/>
    <w:rsid w:val="000E22C1"/>
    <w:rsid w:val="000E34F2"/>
    <w:rsid w:val="000E3DA3"/>
    <w:rsid w:val="000E48A7"/>
    <w:rsid w:val="000E544D"/>
    <w:rsid w:val="000E73BC"/>
    <w:rsid w:val="000F1714"/>
    <w:rsid w:val="000F243F"/>
    <w:rsid w:val="000F2EBA"/>
    <w:rsid w:val="000F3132"/>
    <w:rsid w:val="000F38AC"/>
    <w:rsid w:val="000F4FF1"/>
    <w:rsid w:val="000F5057"/>
    <w:rsid w:val="000F7C4E"/>
    <w:rsid w:val="00102475"/>
    <w:rsid w:val="00102EFC"/>
    <w:rsid w:val="00103A3D"/>
    <w:rsid w:val="00104BD2"/>
    <w:rsid w:val="001052CE"/>
    <w:rsid w:val="0010610F"/>
    <w:rsid w:val="0010614A"/>
    <w:rsid w:val="00106212"/>
    <w:rsid w:val="0010643E"/>
    <w:rsid w:val="001064C2"/>
    <w:rsid w:val="001066BB"/>
    <w:rsid w:val="001070A4"/>
    <w:rsid w:val="001127BC"/>
    <w:rsid w:val="00112E04"/>
    <w:rsid w:val="00114800"/>
    <w:rsid w:val="0012099F"/>
    <w:rsid w:val="00122A20"/>
    <w:rsid w:val="0012401C"/>
    <w:rsid w:val="00124320"/>
    <w:rsid w:val="00125CAB"/>
    <w:rsid w:val="00126C9C"/>
    <w:rsid w:val="00132C7C"/>
    <w:rsid w:val="00133DAB"/>
    <w:rsid w:val="001342A7"/>
    <w:rsid w:val="0013473B"/>
    <w:rsid w:val="001366DF"/>
    <w:rsid w:val="00136CD4"/>
    <w:rsid w:val="0014038B"/>
    <w:rsid w:val="00142C77"/>
    <w:rsid w:val="0014374F"/>
    <w:rsid w:val="0014468C"/>
    <w:rsid w:val="00144837"/>
    <w:rsid w:val="00145156"/>
    <w:rsid w:val="00147EC0"/>
    <w:rsid w:val="001518FA"/>
    <w:rsid w:val="001532D3"/>
    <w:rsid w:val="00153AAD"/>
    <w:rsid w:val="00154DD7"/>
    <w:rsid w:val="00155602"/>
    <w:rsid w:val="0016109D"/>
    <w:rsid w:val="00162B0C"/>
    <w:rsid w:val="00163684"/>
    <w:rsid w:val="00163B0C"/>
    <w:rsid w:val="00164E49"/>
    <w:rsid w:val="00170021"/>
    <w:rsid w:val="001731EB"/>
    <w:rsid w:val="00174348"/>
    <w:rsid w:val="00176F99"/>
    <w:rsid w:val="00176FB1"/>
    <w:rsid w:val="001775D5"/>
    <w:rsid w:val="001800BD"/>
    <w:rsid w:val="00180471"/>
    <w:rsid w:val="00180A60"/>
    <w:rsid w:val="00180AED"/>
    <w:rsid w:val="0018320A"/>
    <w:rsid w:val="00185053"/>
    <w:rsid w:val="00186831"/>
    <w:rsid w:val="0018723A"/>
    <w:rsid w:val="00191688"/>
    <w:rsid w:val="00191BB2"/>
    <w:rsid w:val="00192670"/>
    <w:rsid w:val="0019292D"/>
    <w:rsid w:val="00192FED"/>
    <w:rsid w:val="001934C5"/>
    <w:rsid w:val="001937BD"/>
    <w:rsid w:val="00195B07"/>
    <w:rsid w:val="001A06D0"/>
    <w:rsid w:val="001A2AAA"/>
    <w:rsid w:val="001A328C"/>
    <w:rsid w:val="001A3FAD"/>
    <w:rsid w:val="001A541A"/>
    <w:rsid w:val="001A56E4"/>
    <w:rsid w:val="001A5883"/>
    <w:rsid w:val="001A61BB"/>
    <w:rsid w:val="001A7C8D"/>
    <w:rsid w:val="001A7FCD"/>
    <w:rsid w:val="001B03B8"/>
    <w:rsid w:val="001B06A2"/>
    <w:rsid w:val="001B18FB"/>
    <w:rsid w:val="001B2D52"/>
    <w:rsid w:val="001B5420"/>
    <w:rsid w:val="001B6889"/>
    <w:rsid w:val="001B79E3"/>
    <w:rsid w:val="001C09BA"/>
    <w:rsid w:val="001C1B35"/>
    <w:rsid w:val="001C3553"/>
    <w:rsid w:val="001C4672"/>
    <w:rsid w:val="001C6A74"/>
    <w:rsid w:val="001D0D76"/>
    <w:rsid w:val="001D0FF9"/>
    <w:rsid w:val="001D24FD"/>
    <w:rsid w:val="001D47F9"/>
    <w:rsid w:val="001D485C"/>
    <w:rsid w:val="001D53FD"/>
    <w:rsid w:val="001D6176"/>
    <w:rsid w:val="001D660B"/>
    <w:rsid w:val="001D7122"/>
    <w:rsid w:val="001E101A"/>
    <w:rsid w:val="001E1D21"/>
    <w:rsid w:val="001E4060"/>
    <w:rsid w:val="001E6EB2"/>
    <w:rsid w:val="001E6FF0"/>
    <w:rsid w:val="001E7440"/>
    <w:rsid w:val="001E78FC"/>
    <w:rsid w:val="001E7C0F"/>
    <w:rsid w:val="001F3FEE"/>
    <w:rsid w:val="001F4022"/>
    <w:rsid w:val="001F5269"/>
    <w:rsid w:val="001F5643"/>
    <w:rsid w:val="001F601F"/>
    <w:rsid w:val="00201916"/>
    <w:rsid w:val="00201F93"/>
    <w:rsid w:val="00202346"/>
    <w:rsid w:val="00203E8C"/>
    <w:rsid w:val="002048B7"/>
    <w:rsid w:val="00205A3F"/>
    <w:rsid w:val="00207E96"/>
    <w:rsid w:val="00207F02"/>
    <w:rsid w:val="0021059E"/>
    <w:rsid w:val="00211CDE"/>
    <w:rsid w:val="0021223C"/>
    <w:rsid w:val="002127B5"/>
    <w:rsid w:val="00212AA9"/>
    <w:rsid w:val="00212C19"/>
    <w:rsid w:val="00214E58"/>
    <w:rsid w:val="002156DC"/>
    <w:rsid w:val="002166D0"/>
    <w:rsid w:val="00220A55"/>
    <w:rsid w:val="002260A6"/>
    <w:rsid w:val="00226A15"/>
    <w:rsid w:val="00231C61"/>
    <w:rsid w:val="00232369"/>
    <w:rsid w:val="0023324B"/>
    <w:rsid w:val="0023494C"/>
    <w:rsid w:val="00235B46"/>
    <w:rsid w:val="00236942"/>
    <w:rsid w:val="00236A12"/>
    <w:rsid w:val="00237537"/>
    <w:rsid w:val="0024192A"/>
    <w:rsid w:val="00243F1F"/>
    <w:rsid w:val="0024620D"/>
    <w:rsid w:val="00251BBF"/>
    <w:rsid w:val="002532AD"/>
    <w:rsid w:val="00255F22"/>
    <w:rsid w:val="002574CD"/>
    <w:rsid w:val="002579C9"/>
    <w:rsid w:val="00257ED6"/>
    <w:rsid w:val="00262809"/>
    <w:rsid w:val="00262850"/>
    <w:rsid w:val="00263EB1"/>
    <w:rsid w:val="00265658"/>
    <w:rsid w:val="00267316"/>
    <w:rsid w:val="00272DBD"/>
    <w:rsid w:val="002738F5"/>
    <w:rsid w:val="00273FCC"/>
    <w:rsid w:val="00275453"/>
    <w:rsid w:val="002760D4"/>
    <w:rsid w:val="00276BC8"/>
    <w:rsid w:val="002775BB"/>
    <w:rsid w:val="002800F0"/>
    <w:rsid w:val="00280E3A"/>
    <w:rsid w:val="00282C25"/>
    <w:rsid w:val="00284C0C"/>
    <w:rsid w:val="00284E5F"/>
    <w:rsid w:val="002854A0"/>
    <w:rsid w:val="00285CB8"/>
    <w:rsid w:val="00285FF0"/>
    <w:rsid w:val="002862F2"/>
    <w:rsid w:val="00286C7C"/>
    <w:rsid w:val="0028767A"/>
    <w:rsid w:val="002905ED"/>
    <w:rsid w:val="002922BE"/>
    <w:rsid w:val="0029315B"/>
    <w:rsid w:val="00293D28"/>
    <w:rsid w:val="00295057"/>
    <w:rsid w:val="0029597C"/>
    <w:rsid w:val="00296174"/>
    <w:rsid w:val="00296E91"/>
    <w:rsid w:val="00297CBA"/>
    <w:rsid w:val="002A0B8C"/>
    <w:rsid w:val="002A2506"/>
    <w:rsid w:val="002A2952"/>
    <w:rsid w:val="002A57F5"/>
    <w:rsid w:val="002A5EE1"/>
    <w:rsid w:val="002A6339"/>
    <w:rsid w:val="002A68AC"/>
    <w:rsid w:val="002B0394"/>
    <w:rsid w:val="002B3A3C"/>
    <w:rsid w:val="002B4E70"/>
    <w:rsid w:val="002B51F4"/>
    <w:rsid w:val="002B52FE"/>
    <w:rsid w:val="002B5AD4"/>
    <w:rsid w:val="002C42FC"/>
    <w:rsid w:val="002C5255"/>
    <w:rsid w:val="002C5337"/>
    <w:rsid w:val="002C6ABA"/>
    <w:rsid w:val="002C758D"/>
    <w:rsid w:val="002C7E39"/>
    <w:rsid w:val="002D042C"/>
    <w:rsid w:val="002D178B"/>
    <w:rsid w:val="002D263C"/>
    <w:rsid w:val="002D5A41"/>
    <w:rsid w:val="002D7408"/>
    <w:rsid w:val="002D7880"/>
    <w:rsid w:val="002D7E2E"/>
    <w:rsid w:val="002E0D29"/>
    <w:rsid w:val="002E4B43"/>
    <w:rsid w:val="002F0EDE"/>
    <w:rsid w:val="002F1030"/>
    <w:rsid w:val="002F1821"/>
    <w:rsid w:val="002F415B"/>
    <w:rsid w:val="002F4DB0"/>
    <w:rsid w:val="002F5FAB"/>
    <w:rsid w:val="002F73A2"/>
    <w:rsid w:val="0030164A"/>
    <w:rsid w:val="00301831"/>
    <w:rsid w:val="003029C1"/>
    <w:rsid w:val="003043A3"/>
    <w:rsid w:val="00310410"/>
    <w:rsid w:val="00310E50"/>
    <w:rsid w:val="00313865"/>
    <w:rsid w:val="00313ED2"/>
    <w:rsid w:val="00315908"/>
    <w:rsid w:val="00316137"/>
    <w:rsid w:val="003176D1"/>
    <w:rsid w:val="00317AEA"/>
    <w:rsid w:val="00317D23"/>
    <w:rsid w:val="00320609"/>
    <w:rsid w:val="003206F8"/>
    <w:rsid w:val="003213F4"/>
    <w:rsid w:val="00323BA1"/>
    <w:rsid w:val="00323FAA"/>
    <w:rsid w:val="00324546"/>
    <w:rsid w:val="00325381"/>
    <w:rsid w:val="00330B5C"/>
    <w:rsid w:val="00330C29"/>
    <w:rsid w:val="0033108F"/>
    <w:rsid w:val="0033347A"/>
    <w:rsid w:val="0033366E"/>
    <w:rsid w:val="003347D4"/>
    <w:rsid w:val="003371A8"/>
    <w:rsid w:val="00341981"/>
    <w:rsid w:val="00341A0D"/>
    <w:rsid w:val="00341FAC"/>
    <w:rsid w:val="00343A4F"/>
    <w:rsid w:val="00343E2C"/>
    <w:rsid w:val="00345244"/>
    <w:rsid w:val="00346A3A"/>
    <w:rsid w:val="00346CA0"/>
    <w:rsid w:val="00353E30"/>
    <w:rsid w:val="00353EFC"/>
    <w:rsid w:val="0035448B"/>
    <w:rsid w:val="003547A7"/>
    <w:rsid w:val="00355340"/>
    <w:rsid w:val="00356066"/>
    <w:rsid w:val="00356DF8"/>
    <w:rsid w:val="003611C8"/>
    <w:rsid w:val="00367D10"/>
    <w:rsid w:val="00367F25"/>
    <w:rsid w:val="0037619F"/>
    <w:rsid w:val="003764BE"/>
    <w:rsid w:val="00376E06"/>
    <w:rsid w:val="00380064"/>
    <w:rsid w:val="0038095F"/>
    <w:rsid w:val="00382F9F"/>
    <w:rsid w:val="00387A71"/>
    <w:rsid w:val="00387E31"/>
    <w:rsid w:val="003909EC"/>
    <w:rsid w:val="0039485A"/>
    <w:rsid w:val="00394BB0"/>
    <w:rsid w:val="00394EA4"/>
    <w:rsid w:val="0039518D"/>
    <w:rsid w:val="003962BA"/>
    <w:rsid w:val="003A0BDA"/>
    <w:rsid w:val="003A0E9A"/>
    <w:rsid w:val="003A2076"/>
    <w:rsid w:val="003A2B65"/>
    <w:rsid w:val="003A4673"/>
    <w:rsid w:val="003A5527"/>
    <w:rsid w:val="003A591C"/>
    <w:rsid w:val="003A5B20"/>
    <w:rsid w:val="003A671E"/>
    <w:rsid w:val="003A7972"/>
    <w:rsid w:val="003B038F"/>
    <w:rsid w:val="003B12FD"/>
    <w:rsid w:val="003B2326"/>
    <w:rsid w:val="003B4CD1"/>
    <w:rsid w:val="003B5BF1"/>
    <w:rsid w:val="003C1D2E"/>
    <w:rsid w:val="003C21A6"/>
    <w:rsid w:val="003C2341"/>
    <w:rsid w:val="003C27FF"/>
    <w:rsid w:val="003C3639"/>
    <w:rsid w:val="003C596D"/>
    <w:rsid w:val="003C7BA0"/>
    <w:rsid w:val="003D0D82"/>
    <w:rsid w:val="003D1791"/>
    <w:rsid w:val="003D24E2"/>
    <w:rsid w:val="003D291F"/>
    <w:rsid w:val="003D45DC"/>
    <w:rsid w:val="003D4BAD"/>
    <w:rsid w:val="003D5CEF"/>
    <w:rsid w:val="003D6523"/>
    <w:rsid w:val="003D72AE"/>
    <w:rsid w:val="003D7BE7"/>
    <w:rsid w:val="003E0B77"/>
    <w:rsid w:val="003E1DBD"/>
    <w:rsid w:val="003E1F09"/>
    <w:rsid w:val="003E2A55"/>
    <w:rsid w:val="003E31A8"/>
    <w:rsid w:val="003E449E"/>
    <w:rsid w:val="003E4678"/>
    <w:rsid w:val="003F060D"/>
    <w:rsid w:val="003F0A03"/>
    <w:rsid w:val="003F580E"/>
    <w:rsid w:val="003F5A5B"/>
    <w:rsid w:val="003F5F86"/>
    <w:rsid w:val="00403373"/>
    <w:rsid w:val="00403D4C"/>
    <w:rsid w:val="00406B1B"/>
    <w:rsid w:val="00407501"/>
    <w:rsid w:val="00407B1F"/>
    <w:rsid w:val="00411EA1"/>
    <w:rsid w:val="00412BC2"/>
    <w:rsid w:val="00412FD7"/>
    <w:rsid w:val="00414587"/>
    <w:rsid w:val="00414FF1"/>
    <w:rsid w:val="004158A8"/>
    <w:rsid w:val="00416218"/>
    <w:rsid w:val="00420434"/>
    <w:rsid w:val="00420DD5"/>
    <w:rsid w:val="00422064"/>
    <w:rsid w:val="0042542D"/>
    <w:rsid w:val="00433D44"/>
    <w:rsid w:val="004343CC"/>
    <w:rsid w:val="00434549"/>
    <w:rsid w:val="00434594"/>
    <w:rsid w:val="00435899"/>
    <w:rsid w:val="004376C9"/>
    <w:rsid w:val="00437E0D"/>
    <w:rsid w:val="0044064D"/>
    <w:rsid w:val="00440FFF"/>
    <w:rsid w:val="00441149"/>
    <w:rsid w:val="0044225F"/>
    <w:rsid w:val="004424FA"/>
    <w:rsid w:val="0044374E"/>
    <w:rsid w:val="00445BCA"/>
    <w:rsid w:val="004461FB"/>
    <w:rsid w:val="0044729B"/>
    <w:rsid w:val="004518E9"/>
    <w:rsid w:val="00451F43"/>
    <w:rsid w:val="00452787"/>
    <w:rsid w:val="00452F7B"/>
    <w:rsid w:val="0045517E"/>
    <w:rsid w:val="00455A9F"/>
    <w:rsid w:val="00456611"/>
    <w:rsid w:val="0045795A"/>
    <w:rsid w:val="00460069"/>
    <w:rsid w:val="00460D6F"/>
    <w:rsid w:val="00461002"/>
    <w:rsid w:val="0046127D"/>
    <w:rsid w:val="00461839"/>
    <w:rsid w:val="0046191F"/>
    <w:rsid w:val="004619EA"/>
    <w:rsid w:val="00466C65"/>
    <w:rsid w:val="00467118"/>
    <w:rsid w:val="0047004E"/>
    <w:rsid w:val="0047078F"/>
    <w:rsid w:val="00471556"/>
    <w:rsid w:val="00471B6A"/>
    <w:rsid w:val="00472923"/>
    <w:rsid w:val="00474797"/>
    <w:rsid w:val="00475607"/>
    <w:rsid w:val="00475AB0"/>
    <w:rsid w:val="00476FF4"/>
    <w:rsid w:val="0048012D"/>
    <w:rsid w:val="00480183"/>
    <w:rsid w:val="00480197"/>
    <w:rsid w:val="00480689"/>
    <w:rsid w:val="00482C93"/>
    <w:rsid w:val="00484B06"/>
    <w:rsid w:val="00485F49"/>
    <w:rsid w:val="004861CE"/>
    <w:rsid w:val="00487A7B"/>
    <w:rsid w:val="00491B41"/>
    <w:rsid w:val="0049211C"/>
    <w:rsid w:val="004923F6"/>
    <w:rsid w:val="00492B28"/>
    <w:rsid w:val="004933EF"/>
    <w:rsid w:val="004942A1"/>
    <w:rsid w:val="00495189"/>
    <w:rsid w:val="00495414"/>
    <w:rsid w:val="0049569F"/>
    <w:rsid w:val="00495EEF"/>
    <w:rsid w:val="004961AC"/>
    <w:rsid w:val="004A1F0E"/>
    <w:rsid w:val="004A2171"/>
    <w:rsid w:val="004A3B47"/>
    <w:rsid w:val="004A47A1"/>
    <w:rsid w:val="004A6666"/>
    <w:rsid w:val="004A7A01"/>
    <w:rsid w:val="004B069D"/>
    <w:rsid w:val="004B0C04"/>
    <w:rsid w:val="004B5A24"/>
    <w:rsid w:val="004B5E21"/>
    <w:rsid w:val="004C2E69"/>
    <w:rsid w:val="004C5C70"/>
    <w:rsid w:val="004C7AC7"/>
    <w:rsid w:val="004D1779"/>
    <w:rsid w:val="004D1C99"/>
    <w:rsid w:val="004D6377"/>
    <w:rsid w:val="004D6423"/>
    <w:rsid w:val="004E2BD0"/>
    <w:rsid w:val="004E3B6D"/>
    <w:rsid w:val="004E4422"/>
    <w:rsid w:val="004E508A"/>
    <w:rsid w:val="004E5EA3"/>
    <w:rsid w:val="004E7255"/>
    <w:rsid w:val="004F149B"/>
    <w:rsid w:val="004F345A"/>
    <w:rsid w:val="004F4BD4"/>
    <w:rsid w:val="004F4D87"/>
    <w:rsid w:val="004F584D"/>
    <w:rsid w:val="0050108A"/>
    <w:rsid w:val="00502362"/>
    <w:rsid w:val="00502C45"/>
    <w:rsid w:val="00503122"/>
    <w:rsid w:val="00507FA1"/>
    <w:rsid w:val="00510092"/>
    <w:rsid w:val="00510288"/>
    <w:rsid w:val="00513450"/>
    <w:rsid w:val="0051438D"/>
    <w:rsid w:val="00514791"/>
    <w:rsid w:val="00516B89"/>
    <w:rsid w:val="005170E1"/>
    <w:rsid w:val="00517464"/>
    <w:rsid w:val="00521A6A"/>
    <w:rsid w:val="00524162"/>
    <w:rsid w:val="0053054C"/>
    <w:rsid w:val="005332B5"/>
    <w:rsid w:val="00534954"/>
    <w:rsid w:val="00534BE4"/>
    <w:rsid w:val="005351B4"/>
    <w:rsid w:val="00535222"/>
    <w:rsid w:val="00542178"/>
    <w:rsid w:val="005422AF"/>
    <w:rsid w:val="00542A75"/>
    <w:rsid w:val="005432AB"/>
    <w:rsid w:val="005435F3"/>
    <w:rsid w:val="00544E8E"/>
    <w:rsid w:val="00546C31"/>
    <w:rsid w:val="00547FEC"/>
    <w:rsid w:val="005542A1"/>
    <w:rsid w:val="00555572"/>
    <w:rsid w:val="00562F1A"/>
    <w:rsid w:val="00567546"/>
    <w:rsid w:val="0056789B"/>
    <w:rsid w:val="00567914"/>
    <w:rsid w:val="00571D8F"/>
    <w:rsid w:val="005720E3"/>
    <w:rsid w:val="00573745"/>
    <w:rsid w:val="005766D3"/>
    <w:rsid w:val="005774DC"/>
    <w:rsid w:val="0058005D"/>
    <w:rsid w:val="00580222"/>
    <w:rsid w:val="005848AD"/>
    <w:rsid w:val="00585574"/>
    <w:rsid w:val="00586DED"/>
    <w:rsid w:val="00587A67"/>
    <w:rsid w:val="00590597"/>
    <w:rsid w:val="00590E0D"/>
    <w:rsid w:val="00592E9C"/>
    <w:rsid w:val="00596136"/>
    <w:rsid w:val="005966AF"/>
    <w:rsid w:val="005A1CED"/>
    <w:rsid w:val="005A271C"/>
    <w:rsid w:val="005A3263"/>
    <w:rsid w:val="005A3FF0"/>
    <w:rsid w:val="005A40FF"/>
    <w:rsid w:val="005A4A1B"/>
    <w:rsid w:val="005B0F3D"/>
    <w:rsid w:val="005B586D"/>
    <w:rsid w:val="005B6500"/>
    <w:rsid w:val="005C08B1"/>
    <w:rsid w:val="005C1254"/>
    <w:rsid w:val="005C16E2"/>
    <w:rsid w:val="005C22DE"/>
    <w:rsid w:val="005C3A1C"/>
    <w:rsid w:val="005C3FD1"/>
    <w:rsid w:val="005C462D"/>
    <w:rsid w:val="005C4ED0"/>
    <w:rsid w:val="005C5536"/>
    <w:rsid w:val="005C5ACA"/>
    <w:rsid w:val="005C78D2"/>
    <w:rsid w:val="005D3427"/>
    <w:rsid w:val="005D5F4B"/>
    <w:rsid w:val="005E07B0"/>
    <w:rsid w:val="005E2834"/>
    <w:rsid w:val="005E2CA1"/>
    <w:rsid w:val="005E330A"/>
    <w:rsid w:val="005E349D"/>
    <w:rsid w:val="005E4008"/>
    <w:rsid w:val="005E725B"/>
    <w:rsid w:val="005F0F93"/>
    <w:rsid w:val="005F21BE"/>
    <w:rsid w:val="005F7626"/>
    <w:rsid w:val="006011CD"/>
    <w:rsid w:val="00601765"/>
    <w:rsid w:val="00602D86"/>
    <w:rsid w:val="00603858"/>
    <w:rsid w:val="00604C58"/>
    <w:rsid w:val="00605783"/>
    <w:rsid w:val="0060679C"/>
    <w:rsid w:val="006073D3"/>
    <w:rsid w:val="0060785B"/>
    <w:rsid w:val="00607DB3"/>
    <w:rsid w:val="006100D1"/>
    <w:rsid w:val="006109E3"/>
    <w:rsid w:val="00610AB5"/>
    <w:rsid w:val="00613949"/>
    <w:rsid w:val="00613B19"/>
    <w:rsid w:val="0061611E"/>
    <w:rsid w:val="00616DCB"/>
    <w:rsid w:val="0062033F"/>
    <w:rsid w:val="006220B3"/>
    <w:rsid w:val="00622BFD"/>
    <w:rsid w:val="00622CC2"/>
    <w:rsid w:val="00624516"/>
    <w:rsid w:val="006247D7"/>
    <w:rsid w:val="00626F08"/>
    <w:rsid w:val="006270D3"/>
    <w:rsid w:val="00627790"/>
    <w:rsid w:val="0063062A"/>
    <w:rsid w:val="0063110D"/>
    <w:rsid w:val="006320AE"/>
    <w:rsid w:val="00634295"/>
    <w:rsid w:val="00634857"/>
    <w:rsid w:val="00637B40"/>
    <w:rsid w:val="006409D4"/>
    <w:rsid w:val="00641917"/>
    <w:rsid w:val="006432CF"/>
    <w:rsid w:val="00644F37"/>
    <w:rsid w:val="00645565"/>
    <w:rsid w:val="00645DD4"/>
    <w:rsid w:val="006477D4"/>
    <w:rsid w:val="00647F83"/>
    <w:rsid w:val="0065036F"/>
    <w:rsid w:val="00650847"/>
    <w:rsid w:val="00650E94"/>
    <w:rsid w:val="00654E08"/>
    <w:rsid w:val="00660367"/>
    <w:rsid w:val="00661C1C"/>
    <w:rsid w:val="0066263E"/>
    <w:rsid w:val="0066358A"/>
    <w:rsid w:val="0066550A"/>
    <w:rsid w:val="00665686"/>
    <w:rsid w:val="00665FDA"/>
    <w:rsid w:val="00666B8B"/>
    <w:rsid w:val="006677F3"/>
    <w:rsid w:val="00671D7A"/>
    <w:rsid w:val="006738EE"/>
    <w:rsid w:val="00673DAF"/>
    <w:rsid w:val="00674B89"/>
    <w:rsid w:val="0067542A"/>
    <w:rsid w:val="00677F5C"/>
    <w:rsid w:val="00680BC8"/>
    <w:rsid w:val="00682C29"/>
    <w:rsid w:val="00682F55"/>
    <w:rsid w:val="00685653"/>
    <w:rsid w:val="00686069"/>
    <w:rsid w:val="00687228"/>
    <w:rsid w:val="006875D1"/>
    <w:rsid w:val="006901AE"/>
    <w:rsid w:val="006907C1"/>
    <w:rsid w:val="00691E7E"/>
    <w:rsid w:val="00693487"/>
    <w:rsid w:val="00695382"/>
    <w:rsid w:val="00696207"/>
    <w:rsid w:val="00696769"/>
    <w:rsid w:val="0069775A"/>
    <w:rsid w:val="006A1457"/>
    <w:rsid w:val="006A16F9"/>
    <w:rsid w:val="006A1A8A"/>
    <w:rsid w:val="006A3490"/>
    <w:rsid w:val="006A3B88"/>
    <w:rsid w:val="006A4E42"/>
    <w:rsid w:val="006A4F0F"/>
    <w:rsid w:val="006A5CF7"/>
    <w:rsid w:val="006B0268"/>
    <w:rsid w:val="006B0C50"/>
    <w:rsid w:val="006B231C"/>
    <w:rsid w:val="006B2A12"/>
    <w:rsid w:val="006B3215"/>
    <w:rsid w:val="006B5DCD"/>
    <w:rsid w:val="006B747F"/>
    <w:rsid w:val="006B7EBF"/>
    <w:rsid w:val="006B7F1B"/>
    <w:rsid w:val="006C1E1F"/>
    <w:rsid w:val="006C1E38"/>
    <w:rsid w:val="006C21C6"/>
    <w:rsid w:val="006C7001"/>
    <w:rsid w:val="006C7167"/>
    <w:rsid w:val="006C71FF"/>
    <w:rsid w:val="006D2832"/>
    <w:rsid w:val="006D3D47"/>
    <w:rsid w:val="006D49B6"/>
    <w:rsid w:val="006D64BA"/>
    <w:rsid w:val="006D681E"/>
    <w:rsid w:val="006D7F2B"/>
    <w:rsid w:val="006E077A"/>
    <w:rsid w:val="006E184F"/>
    <w:rsid w:val="006E3240"/>
    <w:rsid w:val="006E3396"/>
    <w:rsid w:val="006E4A36"/>
    <w:rsid w:val="006E51FD"/>
    <w:rsid w:val="006E57E7"/>
    <w:rsid w:val="006E5F8D"/>
    <w:rsid w:val="006E5FCD"/>
    <w:rsid w:val="006E6F8A"/>
    <w:rsid w:val="006F03C1"/>
    <w:rsid w:val="006F0DBF"/>
    <w:rsid w:val="006F2658"/>
    <w:rsid w:val="006F2D92"/>
    <w:rsid w:val="006F3A1F"/>
    <w:rsid w:val="006F3B16"/>
    <w:rsid w:val="006F49DB"/>
    <w:rsid w:val="006F629D"/>
    <w:rsid w:val="006F7AA0"/>
    <w:rsid w:val="007002E2"/>
    <w:rsid w:val="00701232"/>
    <w:rsid w:val="00701AF6"/>
    <w:rsid w:val="00703D4C"/>
    <w:rsid w:val="00703FE2"/>
    <w:rsid w:val="00706EA4"/>
    <w:rsid w:val="00707701"/>
    <w:rsid w:val="007108FC"/>
    <w:rsid w:val="00711DE6"/>
    <w:rsid w:val="00712C71"/>
    <w:rsid w:val="007135A1"/>
    <w:rsid w:val="00713A20"/>
    <w:rsid w:val="0071416E"/>
    <w:rsid w:val="007145DA"/>
    <w:rsid w:val="00714690"/>
    <w:rsid w:val="00714C69"/>
    <w:rsid w:val="00715C01"/>
    <w:rsid w:val="00715C2B"/>
    <w:rsid w:val="007160A2"/>
    <w:rsid w:val="00717B2B"/>
    <w:rsid w:val="00717BA3"/>
    <w:rsid w:val="00717C82"/>
    <w:rsid w:val="00720561"/>
    <w:rsid w:val="00720D84"/>
    <w:rsid w:val="007220C1"/>
    <w:rsid w:val="00725623"/>
    <w:rsid w:val="00725FC0"/>
    <w:rsid w:val="00726EE5"/>
    <w:rsid w:val="007324DB"/>
    <w:rsid w:val="00734BE5"/>
    <w:rsid w:val="00735E74"/>
    <w:rsid w:val="00737145"/>
    <w:rsid w:val="00741660"/>
    <w:rsid w:val="00741DEA"/>
    <w:rsid w:val="00741E3E"/>
    <w:rsid w:val="00742AAF"/>
    <w:rsid w:val="00743906"/>
    <w:rsid w:val="00743F36"/>
    <w:rsid w:val="00744E0F"/>
    <w:rsid w:val="00745287"/>
    <w:rsid w:val="00745450"/>
    <w:rsid w:val="00746093"/>
    <w:rsid w:val="007473DC"/>
    <w:rsid w:val="007514C7"/>
    <w:rsid w:val="00752213"/>
    <w:rsid w:val="00752BAF"/>
    <w:rsid w:val="007533F2"/>
    <w:rsid w:val="00756CB4"/>
    <w:rsid w:val="00760250"/>
    <w:rsid w:val="007622AB"/>
    <w:rsid w:val="00762D70"/>
    <w:rsid w:val="007641A9"/>
    <w:rsid w:val="0076680B"/>
    <w:rsid w:val="007702F8"/>
    <w:rsid w:val="00771077"/>
    <w:rsid w:val="00773F25"/>
    <w:rsid w:val="00774CAD"/>
    <w:rsid w:val="007768DB"/>
    <w:rsid w:val="00776CFE"/>
    <w:rsid w:val="007813E3"/>
    <w:rsid w:val="00783CE4"/>
    <w:rsid w:val="007851C0"/>
    <w:rsid w:val="00787E75"/>
    <w:rsid w:val="00791087"/>
    <w:rsid w:val="00793625"/>
    <w:rsid w:val="00793CC6"/>
    <w:rsid w:val="0079421B"/>
    <w:rsid w:val="007947A9"/>
    <w:rsid w:val="007951E6"/>
    <w:rsid w:val="007A39BA"/>
    <w:rsid w:val="007A4308"/>
    <w:rsid w:val="007A6EFE"/>
    <w:rsid w:val="007B0C62"/>
    <w:rsid w:val="007B2063"/>
    <w:rsid w:val="007B2453"/>
    <w:rsid w:val="007B2F15"/>
    <w:rsid w:val="007B3968"/>
    <w:rsid w:val="007B3D08"/>
    <w:rsid w:val="007B4769"/>
    <w:rsid w:val="007B5B7F"/>
    <w:rsid w:val="007B6C33"/>
    <w:rsid w:val="007C0529"/>
    <w:rsid w:val="007C119E"/>
    <w:rsid w:val="007C1F98"/>
    <w:rsid w:val="007C1FDF"/>
    <w:rsid w:val="007C2CDF"/>
    <w:rsid w:val="007C2CE8"/>
    <w:rsid w:val="007C2CEA"/>
    <w:rsid w:val="007C2E3C"/>
    <w:rsid w:val="007C7296"/>
    <w:rsid w:val="007C74E9"/>
    <w:rsid w:val="007D0BDB"/>
    <w:rsid w:val="007D132D"/>
    <w:rsid w:val="007D1483"/>
    <w:rsid w:val="007D153A"/>
    <w:rsid w:val="007D1654"/>
    <w:rsid w:val="007D1C47"/>
    <w:rsid w:val="007D3737"/>
    <w:rsid w:val="007D3A68"/>
    <w:rsid w:val="007D4F03"/>
    <w:rsid w:val="007D7E84"/>
    <w:rsid w:val="007E14F4"/>
    <w:rsid w:val="007E1A90"/>
    <w:rsid w:val="007E25E1"/>
    <w:rsid w:val="007E2803"/>
    <w:rsid w:val="007E3C0F"/>
    <w:rsid w:val="007E68EC"/>
    <w:rsid w:val="007E6D78"/>
    <w:rsid w:val="007E74A5"/>
    <w:rsid w:val="007F004F"/>
    <w:rsid w:val="007F268B"/>
    <w:rsid w:val="007F2B93"/>
    <w:rsid w:val="007F3052"/>
    <w:rsid w:val="007F3E7A"/>
    <w:rsid w:val="007F4322"/>
    <w:rsid w:val="007F4637"/>
    <w:rsid w:val="007F464B"/>
    <w:rsid w:val="007F4DA8"/>
    <w:rsid w:val="007F665E"/>
    <w:rsid w:val="0080081C"/>
    <w:rsid w:val="0080249F"/>
    <w:rsid w:val="00804F2C"/>
    <w:rsid w:val="00805E9C"/>
    <w:rsid w:val="008062D7"/>
    <w:rsid w:val="0080642B"/>
    <w:rsid w:val="00806BD2"/>
    <w:rsid w:val="008079D5"/>
    <w:rsid w:val="008110F9"/>
    <w:rsid w:val="0081219B"/>
    <w:rsid w:val="0081320E"/>
    <w:rsid w:val="00813F2E"/>
    <w:rsid w:val="00815164"/>
    <w:rsid w:val="0081609B"/>
    <w:rsid w:val="00820778"/>
    <w:rsid w:val="008211AE"/>
    <w:rsid w:val="008218C8"/>
    <w:rsid w:val="00822104"/>
    <w:rsid w:val="00825260"/>
    <w:rsid w:val="00826F3D"/>
    <w:rsid w:val="0083005F"/>
    <w:rsid w:val="00832E72"/>
    <w:rsid w:val="0083344C"/>
    <w:rsid w:val="00841199"/>
    <w:rsid w:val="008435FD"/>
    <w:rsid w:val="00844BB2"/>
    <w:rsid w:val="00846688"/>
    <w:rsid w:val="00850FC1"/>
    <w:rsid w:val="00851238"/>
    <w:rsid w:val="00852BE5"/>
    <w:rsid w:val="00852C7D"/>
    <w:rsid w:val="00852FBF"/>
    <w:rsid w:val="008530EA"/>
    <w:rsid w:val="008539F4"/>
    <w:rsid w:val="00853A0B"/>
    <w:rsid w:val="008548E5"/>
    <w:rsid w:val="00854AF3"/>
    <w:rsid w:val="008620BC"/>
    <w:rsid w:val="008625E3"/>
    <w:rsid w:val="00863E83"/>
    <w:rsid w:val="00864B02"/>
    <w:rsid w:val="0086628E"/>
    <w:rsid w:val="008671D7"/>
    <w:rsid w:val="00867F73"/>
    <w:rsid w:val="00870C11"/>
    <w:rsid w:val="00871872"/>
    <w:rsid w:val="008731AE"/>
    <w:rsid w:val="00873887"/>
    <w:rsid w:val="00873A64"/>
    <w:rsid w:val="00874C38"/>
    <w:rsid w:val="00876AB1"/>
    <w:rsid w:val="00876F20"/>
    <w:rsid w:val="00877470"/>
    <w:rsid w:val="00877920"/>
    <w:rsid w:val="00880C27"/>
    <w:rsid w:val="00880F26"/>
    <w:rsid w:val="00882242"/>
    <w:rsid w:val="00882E77"/>
    <w:rsid w:val="008844F1"/>
    <w:rsid w:val="008852D9"/>
    <w:rsid w:val="0088596D"/>
    <w:rsid w:val="00886F2D"/>
    <w:rsid w:val="008874CE"/>
    <w:rsid w:val="008920E1"/>
    <w:rsid w:val="0089235E"/>
    <w:rsid w:val="00894210"/>
    <w:rsid w:val="00894606"/>
    <w:rsid w:val="00895403"/>
    <w:rsid w:val="00897240"/>
    <w:rsid w:val="008979CD"/>
    <w:rsid w:val="008A015D"/>
    <w:rsid w:val="008A21DA"/>
    <w:rsid w:val="008A2ECA"/>
    <w:rsid w:val="008A5A15"/>
    <w:rsid w:val="008A67B7"/>
    <w:rsid w:val="008A6F18"/>
    <w:rsid w:val="008B2E6F"/>
    <w:rsid w:val="008B390E"/>
    <w:rsid w:val="008C3171"/>
    <w:rsid w:val="008C3F67"/>
    <w:rsid w:val="008C5344"/>
    <w:rsid w:val="008C5D1D"/>
    <w:rsid w:val="008C5E84"/>
    <w:rsid w:val="008D1E0A"/>
    <w:rsid w:val="008D25E6"/>
    <w:rsid w:val="008D268D"/>
    <w:rsid w:val="008D2F3A"/>
    <w:rsid w:val="008D30A2"/>
    <w:rsid w:val="008D36E1"/>
    <w:rsid w:val="008D4CAE"/>
    <w:rsid w:val="008D6665"/>
    <w:rsid w:val="008E10AA"/>
    <w:rsid w:val="008E19FD"/>
    <w:rsid w:val="008E316C"/>
    <w:rsid w:val="008E5041"/>
    <w:rsid w:val="008E5071"/>
    <w:rsid w:val="008E567A"/>
    <w:rsid w:val="008E5EC6"/>
    <w:rsid w:val="008E7261"/>
    <w:rsid w:val="008E7502"/>
    <w:rsid w:val="008E75EA"/>
    <w:rsid w:val="008F1930"/>
    <w:rsid w:val="008F2B87"/>
    <w:rsid w:val="008F36CA"/>
    <w:rsid w:val="008F43B1"/>
    <w:rsid w:val="00900D73"/>
    <w:rsid w:val="00901689"/>
    <w:rsid w:val="00901987"/>
    <w:rsid w:val="009039EF"/>
    <w:rsid w:val="009058F5"/>
    <w:rsid w:val="00911938"/>
    <w:rsid w:val="00912B12"/>
    <w:rsid w:val="00913347"/>
    <w:rsid w:val="0091344A"/>
    <w:rsid w:val="0091648F"/>
    <w:rsid w:val="009204A1"/>
    <w:rsid w:val="00920B7C"/>
    <w:rsid w:val="00922206"/>
    <w:rsid w:val="00926741"/>
    <w:rsid w:val="0092748B"/>
    <w:rsid w:val="009274DD"/>
    <w:rsid w:val="00931948"/>
    <w:rsid w:val="00931B59"/>
    <w:rsid w:val="00933E54"/>
    <w:rsid w:val="00935AD6"/>
    <w:rsid w:val="00936C8C"/>
    <w:rsid w:val="00937478"/>
    <w:rsid w:val="00937603"/>
    <w:rsid w:val="009377FE"/>
    <w:rsid w:val="00937851"/>
    <w:rsid w:val="00942826"/>
    <w:rsid w:val="00944434"/>
    <w:rsid w:val="00945F47"/>
    <w:rsid w:val="00946370"/>
    <w:rsid w:val="00946462"/>
    <w:rsid w:val="009465CE"/>
    <w:rsid w:val="00947855"/>
    <w:rsid w:val="009509C3"/>
    <w:rsid w:val="00950EC5"/>
    <w:rsid w:val="009511A7"/>
    <w:rsid w:val="00951C16"/>
    <w:rsid w:val="00954B80"/>
    <w:rsid w:val="00955ADB"/>
    <w:rsid w:val="00955E8F"/>
    <w:rsid w:val="00956F23"/>
    <w:rsid w:val="009614BC"/>
    <w:rsid w:val="00962ED9"/>
    <w:rsid w:val="0096360A"/>
    <w:rsid w:val="009638AE"/>
    <w:rsid w:val="00964729"/>
    <w:rsid w:val="009652FE"/>
    <w:rsid w:val="0096584F"/>
    <w:rsid w:val="00965BAF"/>
    <w:rsid w:val="009664E5"/>
    <w:rsid w:val="00966EA6"/>
    <w:rsid w:val="00967411"/>
    <w:rsid w:val="00967713"/>
    <w:rsid w:val="00970F2B"/>
    <w:rsid w:val="00971954"/>
    <w:rsid w:val="00971C57"/>
    <w:rsid w:val="0097346F"/>
    <w:rsid w:val="00975C90"/>
    <w:rsid w:val="00982D78"/>
    <w:rsid w:val="00983500"/>
    <w:rsid w:val="0098388C"/>
    <w:rsid w:val="00985309"/>
    <w:rsid w:val="00985525"/>
    <w:rsid w:val="00990219"/>
    <w:rsid w:val="00992764"/>
    <w:rsid w:val="00992766"/>
    <w:rsid w:val="00993992"/>
    <w:rsid w:val="009943DC"/>
    <w:rsid w:val="00994652"/>
    <w:rsid w:val="009950CF"/>
    <w:rsid w:val="00995FDC"/>
    <w:rsid w:val="009A0C57"/>
    <w:rsid w:val="009A0F78"/>
    <w:rsid w:val="009A12FC"/>
    <w:rsid w:val="009A1747"/>
    <w:rsid w:val="009A3086"/>
    <w:rsid w:val="009A4161"/>
    <w:rsid w:val="009A7F61"/>
    <w:rsid w:val="009B0DBE"/>
    <w:rsid w:val="009B3072"/>
    <w:rsid w:val="009B3F1D"/>
    <w:rsid w:val="009B4C21"/>
    <w:rsid w:val="009B4D6E"/>
    <w:rsid w:val="009B5912"/>
    <w:rsid w:val="009B6258"/>
    <w:rsid w:val="009B6680"/>
    <w:rsid w:val="009B6B86"/>
    <w:rsid w:val="009B7CAC"/>
    <w:rsid w:val="009C570C"/>
    <w:rsid w:val="009C6274"/>
    <w:rsid w:val="009C72B3"/>
    <w:rsid w:val="009D0F64"/>
    <w:rsid w:val="009D14D5"/>
    <w:rsid w:val="009D24AE"/>
    <w:rsid w:val="009D2A4A"/>
    <w:rsid w:val="009D350B"/>
    <w:rsid w:val="009D36FD"/>
    <w:rsid w:val="009D626F"/>
    <w:rsid w:val="009D7A9E"/>
    <w:rsid w:val="009E0010"/>
    <w:rsid w:val="009E1F19"/>
    <w:rsid w:val="009E2F5A"/>
    <w:rsid w:val="009E7261"/>
    <w:rsid w:val="009E7329"/>
    <w:rsid w:val="009F0E0C"/>
    <w:rsid w:val="009F2871"/>
    <w:rsid w:val="009F5267"/>
    <w:rsid w:val="009F7FB1"/>
    <w:rsid w:val="00A02D6B"/>
    <w:rsid w:val="00A03B69"/>
    <w:rsid w:val="00A04AD2"/>
    <w:rsid w:val="00A05201"/>
    <w:rsid w:val="00A058E7"/>
    <w:rsid w:val="00A05D4C"/>
    <w:rsid w:val="00A1036E"/>
    <w:rsid w:val="00A15E6A"/>
    <w:rsid w:val="00A203FA"/>
    <w:rsid w:val="00A2128D"/>
    <w:rsid w:val="00A2236A"/>
    <w:rsid w:val="00A22B41"/>
    <w:rsid w:val="00A2389D"/>
    <w:rsid w:val="00A2597F"/>
    <w:rsid w:val="00A259FD"/>
    <w:rsid w:val="00A26A5F"/>
    <w:rsid w:val="00A2752D"/>
    <w:rsid w:val="00A27FF9"/>
    <w:rsid w:val="00A30992"/>
    <w:rsid w:val="00A3162E"/>
    <w:rsid w:val="00A323B5"/>
    <w:rsid w:val="00A340A3"/>
    <w:rsid w:val="00A35A5F"/>
    <w:rsid w:val="00A3720C"/>
    <w:rsid w:val="00A37877"/>
    <w:rsid w:val="00A42419"/>
    <w:rsid w:val="00A47915"/>
    <w:rsid w:val="00A50701"/>
    <w:rsid w:val="00A517C9"/>
    <w:rsid w:val="00A518CC"/>
    <w:rsid w:val="00A52CE2"/>
    <w:rsid w:val="00A53198"/>
    <w:rsid w:val="00A53EA9"/>
    <w:rsid w:val="00A55F12"/>
    <w:rsid w:val="00A56A38"/>
    <w:rsid w:val="00A600DF"/>
    <w:rsid w:val="00A605F3"/>
    <w:rsid w:val="00A60F03"/>
    <w:rsid w:val="00A61382"/>
    <w:rsid w:val="00A65F5D"/>
    <w:rsid w:val="00A66F78"/>
    <w:rsid w:val="00A67D86"/>
    <w:rsid w:val="00A70701"/>
    <w:rsid w:val="00A71031"/>
    <w:rsid w:val="00A71613"/>
    <w:rsid w:val="00A7633E"/>
    <w:rsid w:val="00A76B0F"/>
    <w:rsid w:val="00A76B2F"/>
    <w:rsid w:val="00A805E9"/>
    <w:rsid w:val="00A82C76"/>
    <w:rsid w:val="00A853BB"/>
    <w:rsid w:val="00A85919"/>
    <w:rsid w:val="00A865EE"/>
    <w:rsid w:val="00A869EB"/>
    <w:rsid w:val="00A870F8"/>
    <w:rsid w:val="00A90153"/>
    <w:rsid w:val="00A9151A"/>
    <w:rsid w:val="00A91A54"/>
    <w:rsid w:val="00A936CF"/>
    <w:rsid w:val="00A9461B"/>
    <w:rsid w:val="00A9534E"/>
    <w:rsid w:val="00A9686D"/>
    <w:rsid w:val="00A97CE9"/>
    <w:rsid w:val="00AA0487"/>
    <w:rsid w:val="00AA0A14"/>
    <w:rsid w:val="00AA0AC9"/>
    <w:rsid w:val="00AA0D96"/>
    <w:rsid w:val="00AA2A02"/>
    <w:rsid w:val="00AA380C"/>
    <w:rsid w:val="00AA3AE4"/>
    <w:rsid w:val="00AA5B0A"/>
    <w:rsid w:val="00AA5C2B"/>
    <w:rsid w:val="00AA680B"/>
    <w:rsid w:val="00AA756F"/>
    <w:rsid w:val="00AB1037"/>
    <w:rsid w:val="00AB72E1"/>
    <w:rsid w:val="00AC04F1"/>
    <w:rsid w:val="00AC1635"/>
    <w:rsid w:val="00AC1FB1"/>
    <w:rsid w:val="00AC379E"/>
    <w:rsid w:val="00AD0EC9"/>
    <w:rsid w:val="00AD158A"/>
    <w:rsid w:val="00AD2C75"/>
    <w:rsid w:val="00AD2E7D"/>
    <w:rsid w:val="00AD2F14"/>
    <w:rsid w:val="00AD3B9F"/>
    <w:rsid w:val="00AD3F36"/>
    <w:rsid w:val="00AD43C7"/>
    <w:rsid w:val="00AD785E"/>
    <w:rsid w:val="00AE06A1"/>
    <w:rsid w:val="00AE0F67"/>
    <w:rsid w:val="00AE2048"/>
    <w:rsid w:val="00AE24DC"/>
    <w:rsid w:val="00AE27BE"/>
    <w:rsid w:val="00AE415A"/>
    <w:rsid w:val="00AE4AC7"/>
    <w:rsid w:val="00AF02F8"/>
    <w:rsid w:val="00AF1F58"/>
    <w:rsid w:val="00AF2137"/>
    <w:rsid w:val="00AF365C"/>
    <w:rsid w:val="00AF3949"/>
    <w:rsid w:val="00AF3B08"/>
    <w:rsid w:val="00AF3BAF"/>
    <w:rsid w:val="00AF56D4"/>
    <w:rsid w:val="00AF69C9"/>
    <w:rsid w:val="00AF7CBF"/>
    <w:rsid w:val="00B009F8"/>
    <w:rsid w:val="00B00DB8"/>
    <w:rsid w:val="00B0136A"/>
    <w:rsid w:val="00B029ED"/>
    <w:rsid w:val="00B02CC2"/>
    <w:rsid w:val="00B03A00"/>
    <w:rsid w:val="00B0445A"/>
    <w:rsid w:val="00B05172"/>
    <w:rsid w:val="00B053FD"/>
    <w:rsid w:val="00B1197A"/>
    <w:rsid w:val="00B14BBC"/>
    <w:rsid w:val="00B17AAD"/>
    <w:rsid w:val="00B2019B"/>
    <w:rsid w:val="00B206D8"/>
    <w:rsid w:val="00B20792"/>
    <w:rsid w:val="00B20FA6"/>
    <w:rsid w:val="00B215E5"/>
    <w:rsid w:val="00B231A7"/>
    <w:rsid w:val="00B236BD"/>
    <w:rsid w:val="00B239E3"/>
    <w:rsid w:val="00B23E1C"/>
    <w:rsid w:val="00B24220"/>
    <w:rsid w:val="00B24F70"/>
    <w:rsid w:val="00B25F5F"/>
    <w:rsid w:val="00B262DF"/>
    <w:rsid w:val="00B27453"/>
    <w:rsid w:val="00B2754F"/>
    <w:rsid w:val="00B304DD"/>
    <w:rsid w:val="00B332CC"/>
    <w:rsid w:val="00B3458F"/>
    <w:rsid w:val="00B367DD"/>
    <w:rsid w:val="00B42164"/>
    <w:rsid w:val="00B42C09"/>
    <w:rsid w:val="00B42DF1"/>
    <w:rsid w:val="00B44571"/>
    <w:rsid w:val="00B44D84"/>
    <w:rsid w:val="00B46E87"/>
    <w:rsid w:val="00B522A2"/>
    <w:rsid w:val="00B52FD9"/>
    <w:rsid w:val="00B563D7"/>
    <w:rsid w:val="00B56D4D"/>
    <w:rsid w:val="00B63396"/>
    <w:rsid w:val="00B64A97"/>
    <w:rsid w:val="00B66BAB"/>
    <w:rsid w:val="00B672DE"/>
    <w:rsid w:val="00B707F5"/>
    <w:rsid w:val="00B70F0C"/>
    <w:rsid w:val="00B72AF5"/>
    <w:rsid w:val="00B74280"/>
    <w:rsid w:val="00B74B91"/>
    <w:rsid w:val="00B74F82"/>
    <w:rsid w:val="00B7508C"/>
    <w:rsid w:val="00B76AB3"/>
    <w:rsid w:val="00B801BF"/>
    <w:rsid w:val="00B81508"/>
    <w:rsid w:val="00B82B3D"/>
    <w:rsid w:val="00B8397A"/>
    <w:rsid w:val="00B8576E"/>
    <w:rsid w:val="00B8789F"/>
    <w:rsid w:val="00B91A41"/>
    <w:rsid w:val="00B97293"/>
    <w:rsid w:val="00B97908"/>
    <w:rsid w:val="00B97CF5"/>
    <w:rsid w:val="00BA288E"/>
    <w:rsid w:val="00BA43CC"/>
    <w:rsid w:val="00BA5DEE"/>
    <w:rsid w:val="00BA6B99"/>
    <w:rsid w:val="00BA7F81"/>
    <w:rsid w:val="00BB145D"/>
    <w:rsid w:val="00BB17A0"/>
    <w:rsid w:val="00BB20FF"/>
    <w:rsid w:val="00BB23B3"/>
    <w:rsid w:val="00BB2E14"/>
    <w:rsid w:val="00BB567C"/>
    <w:rsid w:val="00BB609E"/>
    <w:rsid w:val="00BB686B"/>
    <w:rsid w:val="00BC098A"/>
    <w:rsid w:val="00BC35F1"/>
    <w:rsid w:val="00BC48C1"/>
    <w:rsid w:val="00BC6265"/>
    <w:rsid w:val="00BC6FBD"/>
    <w:rsid w:val="00BD0346"/>
    <w:rsid w:val="00BD1005"/>
    <w:rsid w:val="00BD12CF"/>
    <w:rsid w:val="00BD2C34"/>
    <w:rsid w:val="00BD2F1D"/>
    <w:rsid w:val="00BD3719"/>
    <w:rsid w:val="00BD475E"/>
    <w:rsid w:val="00BD7310"/>
    <w:rsid w:val="00BE3809"/>
    <w:rsid w:val="00BE4018"/>
    <w:rsid w:val="00BE4F5C"/>
    <w:rsid w:val="00BE602A"/>
    <w:rsid w:val="00BF01B9"/>
    <w:rsid w:val="00BF1355"/>
    <w:rsid w:val="00BF1817"/>
    <w:rsid w:val="00BF2300"/>
    <w:rsid w:val="00BF3CE9"/>
    <w:rsid w:val="00BF3E35"/>
    <w:rsid w:val="00BF5B16"/>
    <w:rsid w:val="00BF6381"/>
    <w:rsid w:val="00BF79EA"/>
    <w:rsid w:val="00C007E4"/>
    <w:rsid w:val="00C00889"/>
    <w:rsid w:val="00C00B1F"/>
    <w:rsid w:val="00C023F9"/>
    <w:rsid w:val="00C02C67"/>
    <w:rsid w:val="00C05C0B"/>
    <w:rsid w:val="00C065C6"/>
    <w:rsid w:val="00C067D3"/>
    <w:rsid w:val="00C07EC8"/>
    <w:rsid w:val="00C10480"/>
    <w:rsid w:val="00C109A5"/>
    <w:rsid w:val="00C1124B"/>
    <w:rsid w:val="00C124E9"/>
    <w:rsid w:val="00C171D7"/>
    <w:rsid w:val="00C17940"/>
    <w:rsid w:val="00C17F95"/>
    <w:rsid w:val="00C22BD4"/>
    <w:rsid w:val="00C22E25"/>
    <w:rsid w:val="00C230AF"/>
    <w:rsid w:val="00C23366"/>
    <w:rsid w:val="00C23D9E"/>
    <w:rsid w:val="00C242CB"/>
    <w:rsid w:val="00C261AC"/>
    <w:rsid w:val="00C2708F"/>
    <w:rsid w:val="00C274DD"/>
    <w:rsid w:val="00C31239"/>
    <w:rsid w:val="00C31E50"/>
    <w:rsid w:val="00C33CBC"/>
    <w:rsid w:val="00C350B7"/>
    <w:rsid w:val="00C35CD6"/>
    <w:rsid w:val="00C36543"/>
    <w:rsid w:val="00C3671B"/>
    <w:rsid w:val="00C40AB1"/>
    <w:rsid w:val="00C40FAB"/>
    <w:rsid w:val="00C420D2"/>
    <w:rsid w:val="00C42CDA"/>
    <w:rsid w:val="00C43B04"/>
    <w:rsid w:val="00C45029"/>
    <w:rsid w:val="00C45A36"/>
    <w:rsid w:val="00C46776"/>
    <w:rsid w:val="00C47128"/>
    <w:rsid w:val="00C50A50"/>
    <w:rsid w:val="00C517EE"/>
    <w:rsid w:val="00C5278C"/>
    <w:rsid w:val="00C55A0A"/>
    <w:rsid w:val="00C5736A"/>
    <w:rsid w:val="00C602F3"/>
    <w:rsid w:val="00C624AE"/>
    <w:rsid w:val="00C628DF"/>
    <w:rsid w:val="00C63A1C"/>
    <w:rsid w:val="00C63B9C"/>
    <w:rsid w:val="00C65509"/>
    <w:rsid w:val="00C65682"/>
    <w:rsid w:val="00C6570F"/>
    <w:rsid w:val="00C658A9"/>
    <w:rsid w:val="00C678C7"/>
    <w:rsid w:val="00C706D0"/>
    <w:rsid w:val="00C70DB1"/>
    <w:rsid w:val="00C72537"/>
    <w:rsid w:val="00C728D5"/>
    <w:rsid w:val="00C72EC3"/>
    <w:rsid w:val="00C7366B"/>
    <w:rsid w:val="00C74FFB"/>
    <w:rsid w:val="00C8145F"/>
    <w:rsid w:val="00C81595"/>
    <w:rsid w:val="00C81AC5"/>
    <w:rsid w:val="00C822AF"/>
    <w:rsid w:val="00C82931"/>
    <w:rsid w:val="00C83141"/>
    <w:rsid w:val="00C8330A"/>
    <w:rsid w:val="00C836A9"/>
    <w:rsid w:val="00C843AF"/>
    <w:rsid w:val="00C86E77"/>
    <w:rsid w:val="00C90BCF"/>
    <w:rsid w:val="00C91B7B"/>
    <w:rsid w:val="00C91C74"/>
    <w:rsid w:val="00C927AA"/>
    <w:rsid w:val="00C933CE"/>
    <w:rsid w:val="00C949A6"/>
    <w:rsid w:val="00C94A37"/>
    <w:rsid w:val="00C96423"/>
    <w:rsid w:val="00C975B6"/>
    <w:rsid w:val="00C97991"/>
    <w:rsid w:val="00CA0F5D"/>
    <w:rsid w:val="00CA32C5"/>
    <w:rsid w:val="00CA4325"/>
    <w:rsid w:val="00CA45D9"/>
    <w:rsid w:val="00CA6114"/>
    <w:rsid w:val="00CA7779"/>
    <w:rsid w:val="00CB1C69"/>
    <w:rsid w:val="00CB1FE3"/>
    <w:rsid w:val="00CB299A"/>
    <w:rsid w:val="00CB2AB8"/>
    <w:rsid w:val="00CB5954"/>
    <w:rsid w:val="00CB741C"/>
    <w:rsid w:val="00CB7AF8"/>
    <w:rsid w:val="00CC084A"/>
    <w:rsid w:val="00CC2710"/>
    <w:rsid w:val="00CC5F06"/>
    <w:rsid w:val="00CC5F2D"/>
    <w:rsid w:val="00CD2C6B"/>
    <w:rsid w:val="00CD3FB2"/>
    <w:rsid w:val="00CD4936"/>
    <w:rsid w:val="00CD5ABA"/>
    <w:rsid w:val="00CD799D"/>
    <w:rsid w:val="00CE2046"/>
    <w:rsid w:val="00CE21ED"/>
    <w:rsid w:val="00CE2FC6"/>
    <w:rsid w:val="00CE31B1"/>
    <w:rsid w:val="00CE34BD"/>
    <w:rsid w:val="00CE45EA"/>
    <w:rsid w:val="00CE4602"/>
    <w:rsid w:val="00CE4A49"/>
    <w:rsid w:val="00CE6091"/>
    <w:rsid w:val="00CE6F00"/>
    <w:rsid w:val="00CE6FC5"/>
    <w:rsid w:val="00CF06A4"/>
    <w:rsid w:val="00CF087D"/>
    <w:rsid w:val="00CF08E5"/>
    <w:rsid w:val="00CF218A"/>
    <w:rsid w:val="00CF2DF2"/>
    <w:rsid w:val="00CF3279"/>
    <w:rsid w:val="00CF3AC2"/>
    <w:rsid w:val="00CF447B"/>
    <w:rsid w:val="00CF58F0"/>
    <w:rsid w:val="00D023F8"/>
    <w:rsid w:val="00D03EDB"/>
    <w:rsid w:val="00D03FBF"/>
    <w:rsid w:val="00D04FF6"/>
    <w:rsid w:val="00D05162"/>
    <w:rsid w:val="00D06EA6"/>
    <w:rsid w:val="00D07999"/>
    <w:rsid w:val="00D11A0A"/>
    <w:rsid w:val="00D1230D"/>
    <w:rsid w:val="00D1258A"/>
    <w:rsid w:val="00D14A93"/>
    <w:rsid w:val="00D176D1"/>
    <w:rsid w:val="00D2241B"/>
    <w:rsid w:val="00D22A2A"/>
    <w:rsid w:val="00D236F2"/>
    <w:rsid w:val="00D240BF"/>
    <w:rsid w:val="00D26F17"/>
    <w:rsid w:val="00D27557"/>
    <w:rsid w:val="00D32C94"/>
    <w:rsid w:val="00D336A0"/>
    <w:rsid w:val="00D339F4"/>
    <w:rsid w:val="00D33B3A"/>
    <w:rsid w:val="00D3480F"/>
    <w:rsid w:val="00D35C31"/>
    <w:rsid w:val="00D365B9"/>
    <w:rsid w:val="00D434C6"/>
    <w:rsid w:val="00D4438B"/>
    <w:rsid w:val="00D45912"/>
    <w:rsid w:val="00D45E70"/>
    <w:rsid w:val="00D50936"/>
    <w:rsid w:val="00D50C41"/>
    <w:rsid w:val="00D518C6"/>
    <w:rsid w:val="00D5327D"/>
    <w:rsid w:val="00D535E5"/>
    <w:rsid w:val="00D564CA"/>
    <w:rsid w:val="00D56E93"/>
    <w:rsid w:val="00D6177E"/>
    <w:rsid w:val="00D62A65"/>
    <w:rsid w:val="00D63AE8"/>
    <w:rsid w:val="00D6485F"/>
    <w:rsid w:val="00D648AE"/>
    <w:rsid w:val="00D64E46"/>
    <w:rsid w:val="00D65DA2"/>
    <w:rsid w:val="00D66D74"/>
    <w:rsid w:val="00D70C81"/>
    <w:rsid w:val="00D71EA4"/>
    <w:rsid w:val="00D72133"/>
    <w:rsid w:val="00D73976"/>
    <w:rsid w:val="00D74787"/>
    <w:rsid w:val="00D750CC"/>
    <w:rsid w:val="00D75FF2"/>
    <w:rsid w:val="00D766BA"/>
    <w:rsid w:val="00D77F7A"/>
    <w:rsid w:val="00D86921"/>
    <w:rsid w:val="00D905FC"/>
    <w:rsid w:val="00D915B7"/>
    <w:rsid w:val="00D9290F"/>
    <w:rsid w:val="00D93836"/>
    <w:rsid w:val="00D9506C"/>
    <w:rsid w:val="00D9687A"/>
    <w:rsid w:val="00D977F7"/>
    <w:rsid w:val="00D97F79"/>
    <w:rsid w:val="00DA1238"/>
    <w:rsid w:val="00DA2955"/>
    <w:rsid w:val="00DA5D11"/>
    <w:rsid w:val="00DA776D"/>
    <w:rsid w:val="00DB14BA"/>
    <w:rsid w:val="00DB29FB"/>
    <w:rsid w:val="00DB3025"/>
    <w:rsid w:val="00DB458E"/>
    <w:rsid w:val="00DC2D8A"/>
    <w:rsid w:val="00DC2FEB"/>
    <w:rsid w:val="00DC4B22"/>
    <w:rsid w:val="00DC4BC3"/>
    <w:rsid w:val="00DC4CA5"/>
    <w:rsid w:val="00DC639D"/>
    <w:rsid w:val="00DC689F"/>
    <w:rsid w:val="00DC69CD"/>
    <w:rsid w:val="00DD0FF0"/>
    <w:rsid w:val="00DD110D"/>
    <w:rsid w:val="00DD32CB"/>
    <w:rsid w:val="00DD5D3F"/>
    <w:rsid w:val="00DD63F3"/>
    <w:rsid w:val="00DD68BA"/>
    <w:rsid w:val="00DD6FCD"/>
    <w:rsid w:val="00DE1CF6"/>
    <w:rsid w:val="00DE30EB"/>
    <w:rsid w:val="00DE5F03"/>
    <w:rsid w:val="00DF2876"/>
    <w:rsid w:val="00DF5656"/>
    <w:rsid w:val="00DF62D9"/>
    <w:rsid w:val="00DF7D4F"/>
    <w:rsid w:val="00E03548"/>
    <w:rsid w:val="00E03B13"/>
    <w:rsid w:val="00E040E1"/>
    <w:rsid w:val="00E06330"/>
    <w:rsid w:val="00E11045"/>
    <w:rsid w:val="00E11BB0"/>
    <w:rsid w:val="00E16770"/>
    <w:rsid w:val="00E16F0B"/>
    <w:rsid w:val="00E21653"/>
    <w:rsid w:val="00E26D0A"/>
    <w:rsid w:val="00E30294"/>
    <w:rsid w:val="00E30569"/>
    <w:rsid w:val="00E3058B"/>
    <w:rsid w:val="00E31FDF"/>
    <w:rsid w:val="00E32213"/>
    <w:rsid w:val="00E323E8"/>
    <w:rsid w:val="00E33392"/>
    <w:rsid w:val="00E33670"/>
    <w:rsid w:val="00E345FC"/>
    <w:rsid w:val="00E34F5F"/>
    <w:rsid w:val="00E367A2"/>
    <w:rsid w:val="00E37909"/>
    <w:rsid w:val="00E438A0"/>
    <w:rsid w:val="00E44288"/>
    <w:rsid w:val="00E451F1"/>
    <w:rsid w:val="00E501A3"/>
    <w:rsid w:val="00E514C3"/>
    <w:rsid w:val="00E517CD"/>
    <w:rsid w:val="00E53D86"/>
    <w:rsid w:val="00E5512E"/>
    <w:rsid w:val="00E62B17"/>
    <w:rsid w:val="00E62D9C"/>
    <w:rsid w:val="00E700B2"/>
    <w:rsid w:val="00E70E50"/>
    <w:rsid w:val="00E7136E"/>
    <w:rsid w:val="00E72C38"/>
    <w:rsid w:val="00E75A90"/>
    <w:rsid w:val="00E75CE2"/>
    <w:rsid w:val="00E77E6D"/>
    <w:rsid w:val="00E80748"/>
    <w:rsid w:val="00E82654"/>
    <w:rsid w:val="00E82BBD"/>
    <w:rsid w:val="00E84E86"/>
    <w:rsid w:val="00E87FCE"/>
    <w:rsid w:val="00E906BE"/>
    <w:rsid w:val="00E93BDD"/>
    <w:rsid w:val="00E93CA8"/>
    <w:rsid w:val="00E943BD"/>
    <w:rsid w:val="00E94698"/>
    <w:rsid w:val="00E94714"/>
    <w:rsid w:val="00E94AC5"/>
    <w:rsid w:val="00E96059"/>
    <w:rsid w:val="00E96323"/>
    <w:rsid w:val="00E9662E"/>
    <w:rsid w:val="00E96E1A"/>
    <w:rsid w:val="00E96F67"/>
    <w:rsid w:val="00EA182F"/>
    <w:rsid w:val="00EA331D"/>
    <w:rsid w:val="00EA3753"/>
    <w:rsid w:val="00EA41AD"/>
    <w:rsid w:val="00EA5597"/>
    <w:rsid w:val="00EB06AB"/>
    <w:rsid w:val="00EB082E"/>
    <w:rsid w:val="00EB1F5A"/>
    <w:rsid w:val="00EB2174"/>
    <w:rsid w:val="00EB648E"/>
    <w:rsid w:val="00EB6917"/>
    <w:rsid w:val="00EB7EEE"/>
    <w:rsid w:val="00EB7F30"/>
    <w:rsid w:val="00EC0C89"/>
    <w:rsid w:val="00EC123E"/>
    <w:rsid w:val="00EC1A00"/>
    <w:rsid w:val="00EC28E7"/>
    <w:rsid w:val="00EC3068"/>
    <w:rsid w:val="00EC3E3F"/>
    <w:rsid w:val="00EC5722"/>
    <w:rsid w:val="00EC7648"/>
    <w:rsid w:val="00EC7DF9"/>
    <w:rsid w:val="00ED0DED"/>
    <w:rsid w:val="00ED1FA3"/>
    <w:rsid w:val="00ED2461"/>
    <w:rsid w:val="00ED3477"/>
    <w:rsid w:val="00ED3B06"/>
    <w:rsid w:val="00ED5457"/>
    <w:rsid w:val="00ED57A9"/>
    <w:rsid w:val="00ED7633"/>
    <w:rsid w:val="00ED767B"/>
    <w:rsid w:val="00ED7BBA"/>
    <w:rsid w:val="00EE0B51"/>
    <w:rsid w:val="00EE3A40"/>
    <w:rsid w:val="00EE416F"/>
    <w:rsid w:val="00EE4C02"/>
    <w:rsid w:val="00EE7CF0"/>
    <w:rsid w:val="00EE7D82"/>
    <w:rsid w:val="00EF4074"/>
    <w:rsid w:val="00EF4792"/>
    <w:rsid w:val="00EF621C"/>
    <w:rsid w:val="00EF6496"/>
    <w:rsid w:val="00EF7447"/>
    <w:rsid w:val="00F03840"/>
    <w:rsid w:val="00F11887"/>
    <w:rsid w:val="00F11B36"/>
    <w:rsid w:val="00F11F66"/>
    <w:rsid w:val="00F12902"/>
    <w:rsid w:val="00F12A1C"/>
    <w:rsid w:val="00F14C1E"/>
    <w:rsid w:val="00F14DD2"/>
    <w:rsid w:val="00F22147"/>
    <w:rsid w:val="00F22741"/>
    <w:rsid w:val="00F238A8"/>
    <w:rsid w:val="00F23C8D"/>
    <w:rsid w:val="00F24BB0"/>
    <w:rsid w:val="00F24F7C"/>
    <w:rsid w:val="00F252F8"/>
    <w:rsid w:val="00F26DBB"/>
    <w:rsid w:val="00F274AC"/>
    <w:rsid w:val="00F30553"/>
    <w:rsid w:val="00F31569"/>
    <w:rsid w:val="00F31F0E"/>
    <w:rsid w:val="00F3506B"/>
    <w:rsid w:val="00F353EF"/>
    <w:rsid w:val="00F35E1B"/>
    <w:rsid w:val="00F36345"/>
    <w:rsid w:val="00F3679D"/>
    <w:rsid w:val="00F37256"/>
    <w:rsid w:val="00F4024F"/>
    <w:rsid w:val="00F40C63"/>
    <w:rsid w:val="00F40FB2"/>
    <w:rsid w:val="00F4225B"/>
    <w:rsid w:val="00F43E88"/>
    <w:rsid w:val="00F44971"/>
    <w:rsid w:val="00F47967"/>
    <w:rsid w:val="00F47E12"/>
    <w:rsid w:val="00F52831"/>
    <w:rsid w:val="00F528C1"/>
    <w:rsid w:val="00F5338F"/>
    <w:rsid w:val="00F542BC"/>
    <w:rsid w:val="00F554B1"/>
    <w:rsid w:val="00F555AF"/>
    <w:rsid w:val="00F567BD"/>
    <w:rsid w:val="00F618E9"/>
    <w:rsid w:val="00F62829"/>
    <w:rsid w:val="00F657C7"/>
    <w:rsid w:val="00F66CC3"/>
    <w:rsid w:val="00F67442"/>
    <w:rsid w:val="00F7237A"/>
    <w:rsid w:val="00F75373"/>
    <w:rsid w:val="00F770B3"/>
    <w:rsid w:val="00F774E0"/>
    <w:rsid w:val="00F811AA"/>
    <w:rsid w:val="00F81386"/>
    <w:rsid w:val="00F8164E"/>
    <w:rsid w:val="00F83FF6"/>
    <w:rsid w:val="00F842A7"/>
    <w:rsid w:val="00F847DA"/>
    <w:rsid w:val="00F848DF"/>
    <w:rsid w:val="00F865B0"/>
    <w:rsid w:val="00F86CF0"/>
    <w:rsid w:val="00F906FC"/>
    <w:rsid w:val="00F945D4"/>
    <w:rsid w:val="00F95F3D"/>
    <w:rsid w:val="00F97320"/>
    <w:rsid w:val="00FA0E5A"/>
    <w:rsid w:val="00FA184D"/>
    <w:rsid w:val="00FA3244"/>
    <w:rsid w:val="00FA33C0"/>
    <w:rsid w:val="00FA40B6"/>
    <w:rsid w:val="00FA5709"/>
    <w:rsid w:val="00FA7887"/>
    <w:rsid w:val="00FB0C74"/>
    <w:rsid w:val="00FB1404"/>
    <w:rsid w:val="00FB141C"/>
    <w:rsid w:val="00FB1574"/>
    <w:rsid w:val="00FC06D4"/>
    <w:rsid w:val="00FC0814"/>
    <w:rsid w:val="00FC2390"/>
    <w:rsid w:val="00FC289D"/>
    <w:rsid w:val="00FC32E4"/>
    <w:rsid w:val="00FC34C7"/>
    <w:rsid w:val="00FC38C4"/>
    <w:rsid w:val="00FC5074"/>
    <w:rsid w:val="00FC7961"/>
    <w:rsid w:val="00FD005B"/>
    <w:rsid w:val="00FD030F"/>
    <w:rsid w:val="00FD3272"/>
    <w:rsid w:val="00FD4346"/>
    <w:rsid w:val="00FD7110"/>
    <w:rsid w:val="00FD725A"/>
    <w:rsid w:val="00FE38B4"/>
    <w:rsid w:val="00FE39CF"/>
    <w:rsid w:val="00FF13BE"/>
    <w:rsid w:val="00FF1F90"/>
    <w:rsid w:val="00FF214F"/>
    <w:rsid w:val="00FF39AA"/>
    <w:rsid w:val="00FF5B31"/>
    <w:rsid w:val="00FF65CD"/>
    <w:rsid w:val="00FF7F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9969">
      <o:colormenu v:ext="edit" fillcolor="none [3212]"/>
    </o:shapedefaults>
    <o:shapelayout v:ext="edit">
      <o:idmap v:ext="edit" data="1"/>
    </o:shapelayout>
  </w:shapeDefaults>
  <w:decimalSymbol w:val="."/>
  <w:listSeparator w:val=","/>
  <w14:docId w14:val="3A3638F6"/>
  <w15:docId w15:val="{94D8863F-8908-429A-A329-179C3C5A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33"/>
    <w:pPr>
      <w:widowControl w:val="0"/>
      <w:tabs>
        <w:tab w:val="left" w:pos="1418"/>
      </w:tabs>
      <w:adjustRightInd w:val="0"/>
      <w:snapToGrid w:val="0"/>
      <w:jc w:val="both"/>
    </w:pPr>
    <w:rPr>
      <w:rFonts w:ascii="Arial" w:eastAsia="新細明體" w:hAnsi="Arial" w:cs="Times New Roman"/>
      <w:kern w:val="0"/>
      <w:szCs w:val="24"/>
      <w:lang w:val="en-GB"/>
    </w:rPr>
  </w:style>
  <w:style w:type="paragraph" w:styleId="Heading1">
    <w:name w:val="heading 1"/>
    <w:basedOn w:val="Normal"/>
    <w:next w:val="Normal"/>
    <w:link w:val="Heading1Char"/>
    <w:qFormat/>
    <w:rsid w:val="007B6C33"/>
    <w:pPr>
      <w:keepNext/>
      <w:jc w:val="left"/>
      <w:outlineLvl w:val="0"/>
    </w:pPr>
    <w:rPr>
      <w:b/>
      <w:sz w:val="36"/>
    </w:rPr>
  </w:style>
  <w:style w:type="paragraph" w:styleId="Heading2">
    <w:name w:val="heading 2"/>
    <w:basedOn w:val="Normal"/>
    <w:next w:val="Normal"/>
    <w:link w:val="Heading2Char"/>
    <w:qFormat/>
    <w:rsid w:val="007B6C33"/>
    <w:pPr>
      <w:keepNext/>
      <w:jc w:val="left"/>
      <w:outlineLvl w:val="1"/>
    </w:pPr>
    <w:rPr>
      <w:b/>
      <w:sz w:val="28"/>
    </w:rPr>
  </w:style>
  <w:style w:type="paragraph" w:styleId="Heading3">
    <w:name w:val="heading 3"/>
    <w:basedOn w:val="Normal"/>
    <w:next w:val="Normal"/>
    <w:link w:val="Heading3Char"/>
    <w:qFormat/>
    <w:rsid w:val="007B6C33"/>
    <w:pPr>
      <w:keepNext/>
      <w:jc w:val="left"/>
      <w:outlineLvl w:val="2"/>
    </w:pPr>
    <w:rPr>
      <w:b/>
      <w:i/>
    </w:rPr>
  </w:style>
  <w:style w:type="paragraph" w:styleId="Heading4">
    <w:name w:val="heading 4"/>
    <w:basedOn w:val="Normal"/>
    <w:next w:val="Normal"/>
    <w:link w:val="Heading4Char"/>
    <w:qFormat/>
    <w:rsid w:val="007B6C33"/>
    <w:pPr>
      <w:keepNext/>
      <w:jc w:val="left"/>
      <w:outlineLvl w:val="3"/>
    </w:pPr>
    <w:rPr>
      <w:i/>
    </w:rPr>
  </w:style>
  <w:style w:type="paragraph" w:styleId="Heading5">
    <w:name w:val="heading 5"/>
    <w:basedOn w:val="Normal"/>
    <w:next w:val="NormalIndent"/>
    <w:link w:val="Heading5Char"/>
    <w:qFormat/>
    <w:rsid w:val="00BB567C"/>
    <w:pPr>
      <w:keepNext/>
      <w:widowControl/>
      <w:numPr>
        <w:numId w:val="3"/>
      </w:numPr>
      <w:tabs>
        <w:tab w:val="clear" w:pos="1418"/>
      </w:tabs>
      <w:adjustRightInd/>
      <w:ind w:left="0" w:firstLine="0"/>
      <w:outlineLvl w:val="4"/>
    </w:pPr>
    <w:rPr>
      <w:b/>
      <w:sz w:val="26"/>
      <w:szCs w:val="20"/>
    </w:rPr>
  </w:style>
  <w:style w:type="paragraph" w:styleId="Heading8">
    <w:name w:val="heading 8"/>
    <w:basedOn w:val="Normal"/>
    <w:next w:val="Normal"/>
    <w:link w:val="Heading8Char"/>
    <w:qFormat/>
    <w:rsid w:val="006B7EBF"/>
    <w:pPr>
      <w:keepNext/>
      <w:widowControl/>
      <w:tabs>
        <w:tab w:val="clear" w:pos="1418"/>
      </w:tabs>
      <w:adjustRightInd/>
      <w:spacing w:line="720" w:lineRule="auto"/>
      <w:ind w:left="851"/>
      <w:outlineLvl w:val="7"/>
    </w:pPr>
    <w:rPr>
      <w:sz w:val="36"/>
      <w:szCs w:val="36"/>
    </w:rPr>
  </w:style>
  <w:style w:type="paragraph" w:styleId="Heading9">
    <w:name w:val="heading 9"/>
    <w:basedOn w:val="Normal"/>
    <w:next w:val="Normal"/>
    <w:link w:val="Heading9Char"/>
    <w:qFormat/>
    <w:rsid w:val="006B7EBF"/>
    <w:pPr>
      <w:keepNext/>
      <w:widowControl/>
      <w:tabs>
        <w:tab w:val="clear" w:pos="1418"/>
      </w:tabs>
      <w:adjustRightInd/>
      <w:spacing w:line="720" w:lineRule="auto"/>
      <w:ind w:left="851"/>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6C33"/>
    <w:rPr>
      <w:rFonts w:ascii="Arial" w:eastAsia="新細明體" w:hAnsi="Arial" w:cs="Times New Roman"/>
      <w:b/>
      <w:kern w:val="0"/>
      <w:sz w:val="36"/>
      <w:szCs w:val="24"/>
      <w:lang w:val="en-GB"/>
    </w:rPr>
  </w:style>
  <w:style w:type="character" w:customStyle="1" w:styleId="Heading2Char">
    <w:name w:val="Heading 2 Char"/>
    <w:basedOn w:val="DefaultParagraphFont"/>
    <w:link w:val="Heading2"/>
    <w:rsid w:val="007B6C33"/>
    <w:rPr>
      <w:rFonts w:ascii="Arial" w:eastAsia="新細明體" w:hAnsi="Arial" w:cs="Times New Roman"/>
      <w:b/>
      <w:kern w:val="0"/>
      <w:sz w:val="28"/>
      <w:szCs w:val="24"/>
      <w:lang w:val="en-GB"/>
    </w:rPr>
  </w:style>
  <w:style w:type="character" w:customStyle="1" w:styleId="Heading3Char">
    <w:name w:val="Heading 3 Char"/>
    <w:basedOn w:val="DefaultParagraphFont"/>
    <w:link w:val="Heading3"/>
    <w:rsid w:val="007B6C33"/>
    <w:rPr>
      <w:rFonts w:ascii="Arial" w:eastAsia="新細明體" w:hAnsi="Arial" w:cs="Times New Roman"/>
      <w:b/>
      <w:i/>
      <w:kern w:val="0"/>
      <w:szCs w:val="24"/>
      <w:lang w:val="en-GB"/>
    </w:rPr>
  </w:style>
  <w:style w:type="character" w:customStyle="1" w:styleId="Heading4Char">
    <w:name w:val="Heading 4 Char"/>
    <w:basedOn w:val="DefaultParagraphFont"/>
    <w:link w:val="Heading4"/>
    <w:rsid w:val="007B6C33"/>
    <w:rPr>
      <w:rFonts w:ascii="Arial" w:eastAsia="新細明體" w:hAnsi="Arial" w:cs="Times New Roman"/>
      <w:i/>
      <w:kern w:val="0"/>
      <w:szCs w:val="24"/>
      <w:lang w:val="en-GB"/>
    </w:rPr>
  </w:style>
  <w:style w:type="paragraph" w:styleId="NormalIndent">
    <w:name w:val="Normal Indent"/>
    <w:basedOn w:val="Normal"/>
    <w:unhideWhenUsed/>
    <w:rsid w:val="00BB567C"/>
    <w:pPr>
      <w:ind w:left="480"/>
    </w:pPr>
  </w:style>
  <w:style w:type="character" w:customStyle="1" w:styleId="Heading5Char">
    <w:name w:val="Heading 5 Char"/>
    <w:basedOn w:val="DefaultParagraphFont"/>
    <w:link w:val="Heading5"/>
    <w:rsid w:val="00BB567C"/>
    <w:rPr>
      <w:rFonts w:ascii="Arial" w:eastAsia="新細明體" w:hAnsi="Arial" w:cs="Times New Roman"/>
      <w:b/>
      <w:kern w:val="0"/>
      <w:sz w:val="26"/>
      <w:szCs w:val="20"/>
      <w:lang w:val="en-GB"/>
    </w:rPr>
  </w:style>
  <w:style w:type="character" w:customStyle="1" w:styleId="Heading8Char">
    <w:name w:val="Heading 8 Char"/>
    <w:basedOn w:val="DefaultParagraphFont"/>
    <w:link w:val="Heading8"/>
    <w:rsid w:val="006B7EBF"/>
    <w:rPr>
      <w:rFonts w:ascii="Arial" w:eastAsia="新細明體" w:hAnsi="Arial" w:cs="Times New Roman"/>
      <w:kern w:val="0"/>
      <w:sz w:val="36"/>
      <w:szCs w:val="36"/>
      <w:lang w:val="en-GB"/>
    </w:rPr>
  </w:style>
  <w:style w:type="character" w:customStyle="1" w:styleId="Heading9Char">
    <w:name w:val="Heading 9 Char"/>
    <w:basedOn w:val="DefaultParagraphFont"/>
    <w:link w:val="Heading9"/>
    <w:rsid w:val="006B7EBF"/>
    <w:rPr>
      <w:rFonts w:ascii="Arial" w:eastAsia="新細明體" w:hAnsi="Arial" w:cs="Times New Roman"/>
      <w:kern w:val="0"/>
      <w:sz w:val="36"/>
      <w:szCs w:val="36"/>
      <w:lang w:val="en-GB"/>
    </w:rPr>
  </w:style>
  <w:style w:type="character" w:styleId="Hyperlink">
    <w:name w:val="Hyperlink"/>
    <w:basedOn w:val="DefaultParagraphFont"/>
    <w:uiPriority w:val="99"/>
    <w:unhideWhenUsed/>
    <w:rsid w:val="00EC28E7"/>
    <w:rPr>
      <w:color w:val="0000FF" w:themeColor="hyperlink"/>
      <w:u w:val="single"/>
    </w:rPr>
  </w:style>
  <w:style w:type="paragraph" w:styleId="BlockText">
    <w:name w:val="Block Text"/>
    <w:basedOn w:val="Normal"/>
    <w:link w:val="BlockTextChar"/>
    <w:rsid w:val="007B6C33"/>
    <w:pPr>
      <w:ind w:left="720" w:right="720"/>
    </w:pPr>
    <w:rPr>
      <w:i/>
      <w:snapToGrid w:val="0"/>
    </w:rPr>
  </w:style>
  <w:style w:type="character" w:customStyle="1" w:styleId="BlockTextChar">
    <w:name w:val="Block Text Char"/>
    <w:link w:val="BlockText"/>
    <w:rsid w:val="00BB567C"/>
    <w:rPr>
      <w:rFonts w:ascii="Arial" w:eastAsia="新細明體" w:hAnsi="Arial" w:cs="Times New Roman"/>
      <w:i/>
      <w:snapToGrid w:val="0"/>
      <w:kern w:val="0"/>
      <w:szCs w:val="24"/>
      <w:lang w:val="en-GB"/>
    </w:rPr>
  </w:style>
  <w:style w:type="paragraph" w:styleId="FootnoteText">
    <w:name w:val="footnote text"/>
    <w:basedOn w:val="Normal"/>
    <w:link w:val="FootnoteTextChar"/>
    <w:autoRedefine/>
    <w:uiPriority w:val="99"/>
    <w:rsid w:val="003D7BE7"/>
    <w:pPr>
      <w:widowControl/>
      <w:tabs>
        <w:tab w:val="clear" w:pos="1418"/>
      </w:tabs>
      <w:overflowPunct w:val="0"/>
      <w:autoSpaceDE w:val="0"/>
      <w:autoSpaceDN w:val="0"/>
      <w:spacing w:after="60" w:line="0" w:lineRule="atLeast"/>
      <w:ind w:left="709" w:hanging="709"/>
      <w:textAlignment w:val="baseline"/>
    </w:pPr>
    <w:rPr>
      <w:rFonts w:cs="Arial"/>
      <w:sz w:val="18"/>
      <w:szCs w:val="18"/>
      <w:lang w:val="en-US"/>
    </w:rPr>
  </w:style>
  <w:style w:type="character" w:customStyle="1" w:styleId="FootnoteTextChar">
    <w:name w:val="Footnote Text Char"/>
    <w:basedOn w:val="DefaultParagraphFont"/>
    <w:link w:val="FootnoteText"/>
    <w:uiPriority w:val="99"/>
    <w:rsid w:val="003D7BE7"/>
    <w:rPr>
      <w:rFonts w:ascii="Arial" w:eastAsia="新細明體" w:hAnsi="Arial" w:cs="Arial"/>
      <w:kern w:val="0"/>
      <w:sz w:val="18"/>
      <w:szCs w:val="18"/>
    </w:rPr>
  </w:style>
  <w:style w:type="paragraph" w:customStyle="1" w:styleId="Footnotelegislation1">
    <w:name w:val="Footnote legislation 1"/>
    <w:basedOn w:val="FootnoteText"/>
    <w:rsid w:val="007B6C33"/>
    <w:pPr>
      <w:ind w:left="1440"/>
    </w:pPr>
    <w:rPr>
      <w:i/>
    </w:rPr>
  </w:style>
  <w:style w:type="paragraph" w:customStyle="1" w:styleId="Footnotelegislation2">
    <w:name w:val="Footnote legislation 2"/>
    <w:basedOn w:val="FootnoteText"/>
    <w:rsid w:val="007B6C33"/>
    <w:pPr>
      <w:ind w:left="2160"/>
    </w:pPr>
    <w:rPr>
      <w:i/>
    </w:rPr>
  </w:style>
  <w:style w:type="paragraph" w:customStyle="1" w:styleId="Footnotelegislation3">
    <w:name w:val="Footnote legislation 3"/>
    <w:basedOn w:val="FootnoteText"/>
    <w:rsid w:val="007B6C33"/>
    <w:pPr>
      <w:ind w:left="2880"/>
    </w:pPr>
    <w:rPr>
      <w:i/>
    </w:rPr>
  </w:style>
  <w:style w:type="character" w:styleId="FootnoteReference">
    <w:name w:val="footnote reference"/>
    <w:uiPriority w:val="99"/>
    <w:rsid w:val="007B6C33"/>
    <w:rPr>
      <w:rFonts w:ascii="Arial" w:eastAsia="新細明體" w:hAnsi="Arial"/>
      <w:dstrike w:val="0"/>
      <w:sz w:val="18"/>
      <w:szCs w:val="18"/>
      <w:vertAlign w:val="superscript"/>
    </w:rPr>
  </w:style>
  <w:style w:type="paragraph" w:customStyle="1" w:styleId="Indent1">
    <w:name w:val="Indent 1"/>
    <w:basedOn w:val="Normal"/>
    <w:rsid w:val="007B6C33"/>
    <w:pPr>
      <w:ind w:left="1440" w:hanging="720"/>
    </w:pPr>
  </w:style>
  <w:style w:type="paragraph" w:customStyle="1" w:styleId="Indent2">
    <w:name w:val="Indent 2"/>
    <w:basedOn w:val="Normal"/>
    <w:rsid w:val="007B6C33"/>
    <w:pPr>
      <w:ind w:left="2160" w:hanging="720"/>
    </w:pPr>
  </w:style>
  <w:style w:type="paragraph" w:customStyle="1" w:styleId="Indent3">
    <w:name w:val="Indent 3"/>
    <w:basedOn w:val="Normal"/>
    <w:rsid w:val="007B6C33"/>
    <w:pPr>
      <w:ind w:left="2880" w:hanging="720"/>
    </w:pPr>
  </w:style>
  <w:style w:type="paragraph" w:customStyle="1" w:styleId="Legislationindent1">
    <w:name w:val="Legislation indent 1"/>
    <w:basedOn w:val="Normal"/>
    <w:rsid w:val="007B6C33"/>
    <w:pPr>
      <w:ind w:left="1440" w:right="720" w:hanging="720"/>
    </w:pPr>
    <w:rPr>
      <w:i/>
    </w:rPr>
  </w:style>
  <w:style w:type="paragraph" w:customStyle="1" w:styleId="Legislationindent2">
    <w:name w:val="Legislation indent 2"/>
    <w:basedOn w:val="Normal"/>
    <w:rsid w:val="007B6C33"/>
    <w:pPr>
      <w:ind w:left="2160" w:right="720" w:hanging="720"/>
    </w:pPr>
    <w:rPr>
      <w:i/>
    </w:rPr>
  </w:style>
  <w:style w:type="paragraph" w:customStyle="1" w:styleId="Legislationindent3">
    <w:name w:val="Legislation indent 3"/>
    <w:basedOn w:val="Normal"/>
    <w:rsid w:val="007B6C33"/>
    <w:pPr>
      <w:ind w:left="2880" w:right="720" w:hanging="720"/>
    </w:pPr>
    <w:rPr>
      <w:i/>
    </w:rPr>
  </w:style>
  <w:style w:type="paragraph" w:customStyle="1" w:styleId="Legislationindent4">
    <w:name w:val="Legislation indent 4"/>
    <w:basedOn w:val="Normal"/>
    <w:rsid w:val="007B6C33"/>
    <w:pPr>
      <w:ind w:left="3600" w:right="720" w:hanging="720"/>
    </w:pPr>
    <w:rPr>
      <w:i/>
    </w:rPr>
  </w:style>
  <w:style w:type="paragraph" w:styleId="List">
    <w:name w:val="List"/>
    <w:basedOn w:val="Normal"/>
    <w:rsid w:val="007B6C33"/>
    <w:pPr>
      <w:numPr>
        <w:numId w:val="1"/>
      </w:numPr>
    </w:pPr>
  </w:style>
  <w:style w:type="paragraph" w:styleId="ListBullet">
    <w:name w:val="List Bullet"/>
    <w:basedOn w:val="Normal"/>
    <w:autoRedefine/>
    <w:rsid w:val="007B6C33"/>
    <w:pPr>
      <w:numPr>
        <w:numId w:val="2"/>
      </w:numPr>
    </w:pPr>
  </w:style>
  <w:style w:type="paragraph" w:customStyle="1" w:styleId="Recommendationindent1">
    <w:name w:val="Recommendation indent 1"/>
    <w:basedOn w:val="Normal"/>
    <w:rsid w:val="007B6C33"/>
    <w:pPr>
      <w:ind w:left="720" w:hanging="720"/>
    </w:pPr>
    <w:rPr>
      <w:b/>
    </w:rPr>
  </w:style>
  <w:style w:type="paragraph" w:customStyle="1" w:styleId="Recommendationindent2">
    <w:name w:val="Recommendation indent 2"/>
    <w:basedOn w:val="Normal"/>
    <w:rsid w:val="007B6C33"/>
    <w:pPr>
      <w:ind w:left="1440" w:hanging="720"/>
    </w:pPr>
    <w:rPr>
      <w:b/>
    </w:rPr>
  </w:style>
  <w:style w:type="paragraph" w:customStyle="1" w:styleId="Recommendationindent3">
    <w:name w:val="Recommendation indent 3"/>
    <w:basedOn w:val="Normal"/>
    <w:rsid w:val="007B6C33"/>
    <w:pPr>
      <w:ind w:left="2160" w:hanging="720"/>
    </w:pPr>
    <w:rPr>
      <w:b/>
    </w:rPr>
  </w:style>
  <w:style w:type="paragraph" w:customStyle="1" w:styleId="Recommendationindent4">
    <w:name w:val="Recommendation indent 4"/>
    <w:basedOn w:val="Recommendationindent3"/>
    <w:rsid w:val="007B6C33"/>
    <w:pPr>
      <w:ind w:left="2880"/>
    </w:pPr>
  </w:style>
  <w:style w:type="paragraph" w:styleId="Header">
    <w:name w:val="header"/>
    <w:basedOn w:val="Normal"/>
    <w:link w:val="HeaderChar"/>
    <w:unhideWhenUsed/>
    <w:rsid w:val="0021223C"/>
    <w:pPr>
      <w:tabs>
        <w:tab w:val="clear" w:pos="1418"/>
        <w:tab w:val="center" w:pos="4153"/>
        <w:tab w:val="right" w:pos="8306"/>
      </w:tabs>
    </w:pPr>
    <w:rPr>
      <w:sz w:val="20"/>
      <w:szCs w:val="20"/>
    </w:rPr>
  </w:style>
  <w:style w:type="character" w:customStyle="1" w:styleId="HeaderChar">
    <w:name w:val="Header Char"/>
    <w:basedOn w:val="DefaultParagraphFont"/>
    <w:link w:val="Header"/>
    <w:uiPriority w:val="99"/>
    <w:rsid w:val="0021223C"/>
    <w:rPr>
      <w:rFonts w:ascii="Arial" w:eastAsia="新細明體" w:hAnsi="Arial" w:cs="Times New Roman"/>
      <w:kern w:val="0"/>
      <w:sz w:val="20"/>
      <w:szCs w:val="20"/>
      <w:lang w:val="en-GB"/>
    </w:rPr>
  </w:style>
  <w:style w:type="paragraph" w:styleId="Footer">
    <w:name w:val="footer"/>
    <w:basedOn w:val="Normal"/>
    <w:link w:val="FooterChar"/>
    <w:uiPriority w:val="99"/>
    <w:unhideWhenUsed/>
    <w:rsid w:val="0021223C"/>
    <w:pPr>
      <w:tabs>
        <w:tab w:val="clear" w:pos="1418"/>
        <w:tab w:val="center" w:pos="4153"/>
        <w:tab w:val="right" w:pos="8306"/>
      </w:tabs>
    </w:pPr>
    <w:rPr>
      <w:sz w:val="20"/>
      <w:szCs w:val="20"/>
    </w:rPr>
  </w:style>
  <w:style w:type="character" w:customStyle="1" w:styleId="FooterChar">
    <w:name w:val="Footer Char"/>
    <w:basedOn w:val="DefaultParagraphFont"/>
    <w:link w:val="Footer"/>
    <w:uiPriority w:val="99"/>
    <w:rsid w:val="0021223C"/>
    <w:rPr>
      <w:rFonts w:ascii="Arial" w:eastAsia="新細明體" w:hAnsi="Arial" w:cs="Times New Roman"/>
      <w:kern w:val="0"/>
      <w:sz w:val="20"/>
      <w:szCs w:val="20"/>
      <w:lang w:val="en-GB"/>
    </w:rPr>
  </w:style>
  <w:style w:type="paragraph" w:customStyle="1" w:styleId="a">
    <w:name w:val="目錄_章"/>
    <w:basedOn w:val="Normal"/>
    <w:rsid w:val="008211AE"/>
    <w:pPr>
      <w:widowControl/>
      <w:numPr>
        <w:numId w:val="4"/>
      </w:numPr>
      <w:tabs>
        <w:tab w:val="clear" w:pos="1418"/>
        <w:tab w:val="clear" w:pos="1644"/>
      </w:tabs>
      <w:spacing w:line="360" w:lineRule="atLeast"/>
      <w:ind w:left="0" w:firstLine="0"/>
      <w:textAlignment w:val="baseline"/>
    </w:pPr>
    <w:rPr>
      <w:rFonts w:ascii="Times New Roman" w:hAnsi="Times New Roman"/>
      <w:b/>
      <w:spacing w:val="30"/>
      <w:sz w:val="26"/>
      <w:szCs w:val="26"/>
      <w14:shadow w14:blurRad="50800" w14:dist="38100" w14:dir="2700000" w14:sx="100000" w14:sy="100000" w14:kx="0" w14:ky="0" w14:algn="tl">
        <w14:srgbClr w14:val="000000">
          <w14:alpha w14:val="60000"/>
        </w14:srgbClr>
      </w14:shadow>
    </w:rPr>
  </w:style>
  <w:style w:type="paragraph" w:styleId="ListParagraph">
    <w:name w:val="List Paragraph"/>
    <w:basedOn w:val="Normal"/>
    <w:uiPriority w:val="34"/>
    <w:qFormat/>
    <w:rsid w:val="000D4A16"/>
    <w:pPr>
      <w:ind w:left="480"/>
    </w:pPr>
  </w:style>
  <w:style w:type="character" w:customStyle="1" w:styleId="BlockTextChar1">
    <w:name w:val="Block Text Char1"/>
    <w:rsid w:val="00CD4936"/>
    <w:rPr>
      <w:rFonts w:ascii="Arial" w:eastAsia="華康細明體" w:hAnsi="Arial"/>
      <w:i/>
      <w:sz w:val="24"/>
      <w:lang w:val="en-US" w:eastAsia="zh-TW" w:bidi="ar-SA"/>
    </w:rPr>
  </w:style>
  <w:style w:type="paragraph" w:styleId="BalloonText">
    <w:name w:val="Balloon Text"/>
    <w:basedOn w:val="Normal"/>
    <w:link w:val="BalloonTextChar"/>
    <w:semiHidden/>
    <w:unhideWhenUsed/>
    <w:rsid w:val="007533F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533F2"/>
    <w:rPr>
      <w:rFonts w:asciiTheme="majorHAnsi" w:eastAsiaTheme="majorEastAsia" w:hAnsiTheme="majorHAnsi" w:cstheme="majorBidi"/>
      <w:kern w:val="0"/>
      <w:sz w:val="16"/>
      <w:szCs w:val="16"/>
      <w:lang w:val="en-GB"/>
    </w:rPr>
  </w:style>
  <w:style w:type="paragraph" w:customStyle="1" w:styleId="Default">
    <w:name w:val="Default"/>
    <w:rsid w:val="00971954"/>
    <w:pPr>
      <w:widowControl w:val="0"/>
      <w:autoSpaceDE w:val="0"/>
      <w:autoSpaceDN w:val="0"/>
      <w:adjustRightInd w:val="0"/>
    </w:pPr>
    <w:rPr>
      <w:rFonts w:ascii="Times New Roman" w:eastAsia="新細明體" w:hAnsi="Times New Roman" w:cs="Times New Roman"/>
      <w:color w:val="000000"/>
      <w:kern w:val="0"/>
      <w:szCs w:val="24"/>
    </w:rPr>
  </w:style>
  <w:style w:type="character" w:styleId="PageNumber">
    <w:name w:val="page number"/>
    <w:basedOn w:val="DefaultParagraphFont"/>
    <w:rsid w:val="006B7EBF"/>
  </w:style>
  <w:style w:type="paragraph" w:styleId="NormalWeb">
    <w:name w:val="Normal (Web)"/>
    <w:basedOn w:val="Normal"/>
    <w:rsid w:val="006B7EBF"/>
    <w:pPr>
      <w:widowControl/>
      <w:tabs>
        <w:tab w:val="clear" w:pos="1418"/>
      </w:tabs>
      <w:adjustRightInd/>
      <w:spacing w:before="100" w:beforeAutospacing="1" w:after="100" w:afterAutospacing="1"/>
    </w:pPr>
    <w:rPr>
      <w:rFonts w:ascii="新細明體" w:hAnsi="新細明體" w:cs="新細明體"/>
      <w:szCs w:val="20"/>
      <w:lang w:val="en-US"/>
    </w:rPr>
  </w:style>
  <w:style w:type="paragraph" w:styleId="Date">
    <w:name w:val="Date"/>
    <w:basedOn w:val="Normal"/>
    <w:next w:val="Normal"/>
    <w:link w:val="DateChar"/>
    <w:rsid w:val="006B7EBF"/>
    <w:pPr>
      <w:widowControl/>
      <w:tabs>
        <w:tab w:val="clear" w:pos="1418"/>
      </w:tabs>
      <w:adjustRightInd/>
      <w:jc w:val="right"/>
    </w:pPr>
    <w:rPr>
      <w:szCs w:val="20"/>
    </w:rPr>
  </w:style>
  <w:style w:type="character" w:customStyle="1" w:styleId="DateChar">
    <w:name w:val="Date Char"/>
    <w:basedOn w:val="DefaultParagraphFont"/>
    <w:link w:val="Date"/>
    <w:rsid w:val="006B7EBF"/>
    <w:rPr>
      <w:rFonts w:ascii="Arial" w:eastAsia="新細明體" w:hAnsi="Arial" w:cs="Times New Roman"/>
      <w:kern w:val="0"/>
      <w:szCs w:val="20"/>
      <w:lang w:val="en-GB"/>
    </w:rPr>
  </w:style>
  <w:style w:type="paragraph" w:customStyle="1" w:styleId="clausehead">
    <w:name w:val="clausehead"/>
    <w:basedOn w:val="Normal"/>
    <w:rsid w:val="006B7EBF"/>
    <w:pPr>
      <w:keepNext/>
      <w:widowControl/>
      <w:tabs>
        <w:tab w:val="clear" w:pos="1418"/>
      </w:tabs>
      <w:autoSpaceDE w:val="0"/>
      <w:autoSpaceDN w:val="0"/>
      <w:adjustRightInd/>
      <w:snapToGrid/>
      <w:spacing w:before="160"/>
      <w:ind w:left="567" w:hanging="567"/>
      <w:jc w:val="left"/>
    </w:pPr>
    <w:rPr>
      <w:rFonts w:ascii="Times New Roman" w:hAnsi="Times New Roman"/>
      <w:b/>
      <w:bCs/>
      <w:color w:val="000000"/>
      <w:sz w:val="26"/>
      <w:szCs w:val="26"/>
      <w:lang w:val="en-US"/>
    </w:rPr>
  </w:style>
  <w:style w:type="paragraph" w:customStyle="1" w:styleId="legclearfixlegp2container">
    <w:name w:val="legclearfix legp2container"/>
    <w:basedOn w:val="Normal"/>
    <w:rsid w:val="006B7EBF"/>
    <w:pPr>
      <w:widowControl/>
      <w:tabs>
        <w:tab w:val="clear" w:pos="1418"/>
      </w:tabs>
      <w:adjustRightInd/>
      <w:snapToGrid/>
      <w:spacing w:before="100" w:beforeAutospacing="1" w:after="100" w:afterAutospacing="1"/>
      <w:jc w:val="left"/>
    </w:pPr>
    <w:rPr>
      <w:rFonts w:ascii="Times New Roman" w:eastAsia="Times New Roman" w:hAnsi="Times New Roman"/>
      <w:lang w:eastAsia="en-GB"/>
    </w:rPr>
  </w:style>
  <w:style w:type="character" w:customStyle="1" w:styleId="legdsleglhslegp2no">
    <w:name w:val="legds leglhs legp2no"/>
    <w:basedOn w:val="DefaultParagraphFont"/>
    <w:rsid w:val="006B7EBF"/>
  </w:style>
  <w:style w:type="character" w:customStyle="1" w:styleId="legdslegrhslegp2text">
    <w:name w:val="legds legrhs legp2text"/>
    <w:basedOn w:val="DefaultParagraphFont"/>
    <w:rsid w:val="006B7EBF"/>
  </w:style>
  <w:style w:type="character" w:customStyle="1" w:styleId="legdsleglhslegp3no">
    <w:name w:val="legds leglhs legp3no"/>
    <w:basedOn w:val="DefaultParagraphFont"/>
    <w:rsid w:val="006B7EBF"/>
  </w:style>
  <w:style w:type="character" w:customStyle="1" w:styleId="legdslegrhslegp3text">
    <w:name w:val="legds legrhs legp3text"/>
    <w:basedOn w:val="DefaultParagraphFont"/>
    <w:rsid w:val="006B7EBF"/>
  </w:style>
  <w:style w:type="character" w:customStyle="1" w:styleId="legdsleglhslegp4no">
    <w:name w:val="legds leglhs legp4no"/>
    <w:basedOn w:val="DefaultParagraphFont"/>
    <w:rsid w:val="006B7EBF"/>
  </w:style>
  <w:style w:type="character" w:customStyle="1" w:styleId="legdslegrhslegp4text">
    <w:name w:val="legds legrhs legp4text"/>
    <w:basedOn w:val="DefaultParagraphFont"/>
    <w:rsid w:val="006B7EBF"/>
  </w:style>
  <w:style w:type="character" w:customStyle="1" w:styleId="EndnoteTextChar">
    <w:name w:val="Endnote Text Char"/>
    <w:basedOn w:val="DefaultParagraphFont"/>
    <w:link w:val="EndnoteText"/>
    <w:semiHidden/>
    <w:rsid w:val="006B7EBF"/>
    <w:rPr>
      <w:rFonts w:ascii="Times New Roman" w:eastAsia="新細明體" w:hAnsi="Times New Roman" w:cs="Times New Roman"/>
      <w:kern w:val="0"/>
      <w:szCs w:val="24"/>
      <w:lang w:val="en-GB"/>
    </w:rPr>
  </w:style>
  <w:style w:type="paragraph" w:styleId="EndnoteText">
    <w:name w:val="endnote text"/>
    <w:basedOn w:val="Normal"/>
    <w:link w:val="EndnoteTextChar"/>
    <w:semiHidden/>
    <w:rsid w:val="006B7EBF"/>
    <w:pPr>
      <w:widowControl/>
      <w:tabs>
        <w:tab w:val="clear" w:pos="1418"/>
      </w:tabs>
      <w:adjustRightInd/>
      <w:jc w:val="left"/>
    </w:pPr>
    <w:rPr>
      <w:rFonts w:ascii="Times New Roman" w:hAnsi="Times New Roman"/>
    </w:rPr>
  </w:style>
  <w:style w:type="character" w:customStyle="1" w:styleId="StyleEndnoteReferenceBlack">
    <w:name w:val="Style Endnote Reference + Black"/>
    <w:rsid w:val="006B7EBF"/>
    <w:rPr>
      <w:rFonts w:eastAsia="Arial"/>
      <w:color w:val="000000"/>
      <w:sz w:val="18"/>
      <w:vertAlign w:val="superscript"/>
    </w:rPr>
  </w:style>
  <w:style w:type="paragraph" w:styleId="BodyText2">
    <w:name w:val="Body Text 2"/>
    <w:basedOn w:val="Normal"/>
    <w:link w:val="BodyText2Char"/>
    <w:rsid w:val="006B7EBF"/>
    <w:pPr>
      <w:widowControl/>
      <w:tabs>
        <w:tab w:val="clear" w:pos="1418"/>
      </w:tabs>
      <w:adjustRightInd/>
      <w:snapToGrid/>
    </w:pPr>
    <w:rPr>
      <w:b/>
      <w:sz w:val="26"/>
      <w:szCs w:val="20"/>
      <w:lang w:eastAsia="en-GB"/>
    </w:rPr>
  </w:style>
  <w:style w:type="character" w:customStyle="1" w:styleId="BodyText2Char">
    <w:name w:val="Body Text 2 Char"/>
    <w:basedOn w:val="DefaultParagraphFont"/>
    <w:link w:val="BodyText2"/>
    <w:rsid w:val="006B7EBF"/>
    <w:rPr>
      <w:rFonts w:ascii="Arial" w:eastAsia="新細明體" w:hAnsi="Arial" w:cs="Times New Roman"/>
      <w:b/>
      <w:kern w:val="0"/>
      <w:sz w:val="26"/>
      <w:szCs w:val="20"/>
      <w:lang w:val="en-GB" w:eastAsia="en-GB"/>
    </w:rPr>
  </w:style>
  <w:style w:type="table" w:styleId="TableGrid">
    <w:name w:val="Table Grid"/>
    <w:basedOn w:val="TableNormal"/>
    <w:rsid w:val="003547A7"/>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semiHidden/>
    <w:rsid w:val="003547A7"/>
    <w:rPr>
      <w:vertAlign w:val="superscript"/>
    </w:rPr>
  </w:style>
  <w:style w:type="paragraph" w:styleId="Revision">
    <w:name w:val="Revision"/>
    <w:hidden/>
    <w:uiPriority w:val="99"/>
    <w:semiHidden/>
    <w:rsid w:val="003547A7"/>
    <w:rPr>
      <w:rFonts w:ascii="Arial" w:eastAsia="新細明體" w:hAnsi="Arial" w:cs="Times New Roman"/>
      <w:kern w:val="0"/>
      <w:szCs w:val="20"/>
      <w:lang w:val="en-GB"/>
    </w:rPr>
  </w:style>
  <w:style w:type="character" w:styleId="Emphasis">
    <w:name w:val="Emphasis"/>
    <w:uiPriority w:val="20"/>
    <w:qFormat/>
    <w:rsid w:val="00471556"/>
    <w:rPr>
      <w:i/>
      <w:iCs/>
    </w:rPr>
  </w:style>
  <w:style w:type="character" w:customStyle="1" w:styleId="citation">
    <w:name w:val="citation"/>
    <w:rsid w:val="00265658"/>
  </w:style>
  <w:style w:type="paragraph" w:styleId="ListBullet2">
    <w:name w:val="List Bullet 2"/>
    <w:basedOn w:val="Normal"/>
    <w:uiPriority w:val="99"/>
    <w:semiHidden/>
    <w:unhideWhenUsed/>
    <w:rsid w:val="009A12FC"/>
    <w:pPr>
      <w:numPr>
        <w:numId w:val="6"/>
      </w:numPr>
      <w:contextualSpacing/>
    </w:pPr>
  </w:style>
  <w:style w:type="character" w:styleId="CommentReference">
    <w:name w:val="annotation reference"/>
    <w:basedOn w:val="DefaultParagraphFont"/>
    <w:uiPriority w:val="99"/>
    <w:semiHidden/>
    <w:unhideWhenUsed/>
    <w:rsid w:val="00CF3AC2"/>
    <w:rPr>
      <w:sz w:val="18"/>
      <w:szCs w:val="18"/>
    </w:rPr>
  </w:style>
  <w:style w:type="paragraph" w:styleId="CommentText">
    <w:name w:val="annotation text"/>
    <w:basedOn w:val="Normal"/>
    <w:link w:val="CommentTextChar"/>
    <w:uiPriority w:val="99"/>
    <w:semiHidden/>
    <w:unhideWhenUsed/>
    <w:rsid w:val="00CF3AC2"/>
    <w:pPr>
      <w:jc w:val="left"/>
    </w:pPr>
  </w:style>
  <w:style w:type="character" w:customStyle="1" w:styleId="CommentTextChar">
    <w:name w:val="Comment Text Char"/>
    <w:basedOn w:val="DefaultParagraphFont"/>
    <w:link w:val="CommentText"/>
    <w:uiPriority w:val="99"/>
    <w:semiHidden/>
    <w:rsid w:val="00CF3AC2"/>
    <w:rPr>
      <w:rFonts w:ascii="Arial" w:eastAsia="新細明體" w:hAnsi="Arial" w:cs="Times New Roman"/>
      <w:kern w:val="0"/>
      <w:szCs w:val="24"/>
      <w:lang w:val="en-GB"/>
    </w:rPr>
  </w:style>
  <w:style w:type="paragraph" w:styleId="CommentSubject">
    <w:name w:val="annotation subject"/>
    <w:basedOn w:val="CommentText"/>
    <w:next w:val="CommentText"/>
    <w:link w:val="CommentSubjectChar"/>
    <w:uiPriority w:val="99"/>
    <w:semiHidden/>
    <w:unhideWhenUsed/>
    <w:rsid w:val="00CF3AC2"/>
    <w:rPr>
      <w:b/>
      <w:bCs/>
    </w:rPr>
  </w:style>
  <w:style w:type="character" w:customStyle="1" w:styleId="CommentSubjectChar">
    <w:name w:val="Comment Subject Char"/>
    <w:basedOn w:val="CommentTextChar"/>
    <w:link w:val="CommentSubject"/>
    <w:uiPriority w:val="99"/>
    <w:semiHidden/>
    <w:rsid w:val="00CF3AC2"/>
    <w:rPr>
      <w:rFonts w:ascii="Arial" w:eastAsia="新細明體" w:hAnsi="Arial" w:cs="Times New Roman"/>
      <w:b/>
      <w:bCs/>
      <w:kern w:val="0"/>
      <w:szCs w:val="24"/>
      <w:lang w:val="en-GB"/>
    </w:rPr>
  </w:style>
  <w:style w:type="paragraph" w:customStyle="1" w:styleId="Style2">
    <w:name w:val="Style 2"/>
    <w:basedOn w:val="Normal"/>
    <w:rsid w:val="000B2BFD"/>
    <w:pPr>
      <w:autoSpaceDE w:val="0"/>
      <w:autoSpaceDN w:val="0"/>
      <w:snapToGrid/>
      <w:ind w:right="72"/>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reform.gov.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YLEE\AppData\Roaming\Microsoft\Templates\LRC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E38C-D3DB-4397-BB61-974BFA5D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LRCstyle</Template>
  <TotalTime>2</TotalTime>
  <Pages>19</Pages>
  <Words>5412</Words>
  <Characters>30852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LEE , Fiann FY</dc:creator>
  <cp:lastModifiedBy>LEE , Fiann FY</cp:lastModifiedBy>
  <cp:revision>6</cp:revision>
  <cp:lastPrinted>2021-10-29T07:00:00Z</cp:lastPrinted>
  <dcterms:created xsi:type="dcterms:W3CDTF">2021-12-09T05:34:00Z</dcterms:created>
  <dcterms:modified xsi:type="dcterms:W3CDTF">2021-12-10T01:56:00Z</dcterms:modified>
</cp:coreProperties>
</file>