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1198F" w14:textId="53E4B156" w:rsidR="001238F2" w:rsidRDefault="001238F2" w:rsidP="001238F2">
      <w:pPr>
        <w:widowControl/>
        <w:tabs>
          <w:tab w:val="left" w:pos="720"/>
        </w:tabs>
        <w:rPr>
          <w:rFonts w:cs="Arial"/>
        </w:rPr>
      </w:pPr>
      <w:bookmarkStart w:id="0" w:name="_GoBack"/>
      <w:bookmarkEnd w:id="0"/>
    </w:p>
    <w:p w14:paraId="07741759" w14:textId="0BB0626A" w:rsidR="003A6D3A" w:rsidRDefault="003A6D3A" w:rsidP="001238F2">
      <w:pPr>
        <w:widowControl/>
        <w:tabs>
          <w:tab w:val="left" w:pos="720"/>
        </w:tabs>
        <w:rPr>
          <w:rFonts w:cs="Arial"/>
        </w:rPr>
      </w:pPr>
    </w:p>
    <w:p w14:paraId="08BC2F03" w14:textId="7A69AE77" w:rsidR="003A6D3A" w:rsidRDefault="003A6D3A" w:rsidP="001238F2">
      <w:pPr>
        <w:widowControl/>
        <w:tabs>
          <w:tab w:val="left" w:pos="720"/>
        </w:tabs>
        <w:rPr>
          <w:rFonts w:cs="Arial"/>
        </w:rPr>
      </w:pPr>
    </w:p>
    <w:p w14:paraId="43571660" w14:textId="77777777" w:rsidR="003A6D3A" w:rsidRPr="002919C3" w:rsidRDefault="003A6D3A" w:rsidP="001238F2">
      <w:pPr>
        <w:widowControl/>
        <w:tabs>
          <w:tab w:val="left" w:pos="720"/>
        </w:tabs>
        <w:rPr>
          <w:rFonts w:cs="Arial"/>
        </w:rPr>
      </w:pPr>
    </w:p>
    <w:p w14:paraId="52BE8699" w14:textId="77777777" w:rsidR="001238F2" w:rsidRPr="002919C3" w:rsidRDefault="001238F2" w:rsidP="001238F2">
      <w:pPr>
        <w:widowControl/>
        <w:tabs>
          <w:tab w:val="left" w:pos="720"/>
        </w:tabs>
        <w:rPr>
          <w:rFonts w:cs="Arial"/>
        </w:rPr>
      </w:pPr>
    </w:p>
    <w:p w14:paraId="723E7AF7" w14:textId="77777777" w:rsidR="001238F2" w:rsidRPr="002919C3" w:rsidRDefault="001238F2" w:rsidP="001238F2">
      <w:pPr>
        <w:widowControl/>
        <w:rPr>
          <w:rFonts w:cs="Arial"/>
          <w:b/>
          <w:smallCaps/>
        </w:rPr>
      </w:pPr>
    </w:p>
    <w:p w14:paraId="62003856" w14:textId="77777777" w:rsidR="001238F2" w:rsidRPr="002919C3" w:rsidRDefault="001238F2" w:rsidP="001238F2">
      <w:pPr>
        <w:widowControl/>
        <w:rPr>
          <w:rFonts w:cs="Arial"/>
          <w:b/>
          <w:smallCaps/>
        </w:rPr>
      </w:pPr>
    </w:p>
    <w:p w14:paraId="3D7E1695" w14:textId="22F24CF4" w:rsidR="001238F2" w:rsidRPr="00A241F5" w:rsidRDefault="001238F2" w:rsidP="001238F2">
      <w:pPr>
        <w:widowControl/>
        <w:jc w:val="center"/>
        <w:rPr>
          <w:rFonts w:cs="Arial"/>
          <w:b/>
          <w:smallCaps/>
          <w:sz w:val="32"/>
          <w:szCs w:val="32"/>
        </w:rPr>
      </w:pPr>
      <w:r w:rsidRPr="00A241F5">
        <w:rPr>
          <w:rFonts w:cs="Arial"/>
          <w:b/>
          <w:smallCaps/>
          <w:sz w:val="32"/>
          <w:szCs w:val="32"/>
        </w:rPr>
        <w:t>The Law Reform Commission of Hong Kong</w:t>
      </w:r>
    </w:p>
    <w:p w14:paraId="447F001D" w14:textId="5734305A" w:rsidR="00A16773" w:rsidRPr="00A241F5" w:rsidRDefault="00A16773" w:rsidP="001238F2">
      <w:pPr>
        <w:widowControl/>
        <w:jc w:val="center"/>
        <w:rPr>
          <w:rFonts w:cs="Arial"/>
          <w:b/>
          <w:smallCaps/>
          <w:sz w:val="32"/>
          <w:szCs w:val="32"/>
        </w:rPr>
      </w:pPr>
    </w:p>
    <w:p w14:paraId="293515B7" w14:textId="77777777" w:rsidR="001238F2" w:rsidRPr="00A241F5" w:rsidRDefault="001238F2" w:rsidP="001238F2">
      <w:pPr>
        <w:widowControl/>
        <w:tabs>
          <w:tab w:val="left" w:pos="720"/>
        </w:tabs>
        <w:jc w:val="center"/>
        <w:rPr>
          <w:rFonts w:cs="Arial"/>
          <w:b/>
        </w:rPr>
      </w:pPr>
    </w:p>
    <w:p w14:paraId="748EE12C" w14:textId="77777777" w:rsidR="001238F2" w:rsidRPr="00A241F5" w:rsidRDefault="001238F2" w:rsidP="001238F2">
      <w:pPr>
        <w:widowControl/>
        <w:tabs>
          <w:tab w:val="left" w:pos="720"/>
        </w:tabs>
        <w:jc w:val="center"/>
        <w:rPr>
          <w:rFonts w:cs="Arial"/>
          <w:b/>
          <w:sz w:val="22"/>
        </w:rPr>
      </w:pPr>
    </w:p>
    <w:p w14:paraId="28615111" w14:textId="77777777" w:rsidR="001238F2" w:rsidRPr="00A241F5" w:rsidRDefault="001238F2" w:rsidP="001238F2">
      <w:pPr>
        <w:widowControl/>
        <w:tabs>
          <w:tab w:val="left" w:pos="720"/>
        </w:tabs>
        <w:jc w:val="center"/>
        <w:rPr>
          <w:rFonts w:cs="Arial"/>
          <w:b/>
          <w:sz w:val="22"/>
        </w:rPr>
      </w:pPr>
      <w:r w:rsidRPr="00A241F5">
        <w:rPr>
          <w:rFonts w:cs="Arial"/>
          <w:b/>
          <w:sz w:val="22"/>
        </w:rPr>
        <w:t xml:space="preserve">  </w:t>
      </w:r>
    </w:p>
    <w:p w14:paraId="386FCB39" w14:textId="77777777" w:rsidR="001238F2" w:rsidRPr="00A241F5" w:rsidRDefault="001238F2" w:rsidP="001238F2">
      <w:pPr>
        <w:widowControl/>
        <w:tabs>
          <w:tab w:val="left" w:pos="720"/>
        </w:tabs>
        <w:jc w:val="center"/>
        <w:rPr>
          <w:rFonts w:cs="Arial"/>
          <w:b/>
          <w:sz w:val="22"/>
        </w:rPr>
      </w:pPr>
    </w:p>
    <w:p w14:paraId="33D41F93" w14:textId="77777777" w:rsidR="001238F2" w:rsidRPr="00A241F5" w:rsidRDefault="001238F2" w:rsidP="001238F2">
      <w:pPr>
        <w:widowControl/>
        <w:tabs>
          <w:tab w:val="left" w:pos="720"/>
        </w:tabs>
        <w:jc w:val="center"/>
        <w:rPr>
          <w:rFonts w:cs="Arial"/>
          <w:b/>
          <w:sz w:val="22"/>
        </w:rPr>
      </w:pPr>
    </w:p>
    <w:p w14:paraId="6BCC2A62" w14:textId="77777777" w:rsidR="001238F2" w:rsidRPr="00A241F5" w:rsidRDefault="001238F2" w:rsidP="001238F2">
      <w:pPr>
        <w:widowControl/>
        <w:tabs>
          <w:tab w:val="left" w:pos="720"/>
        </w:tabs>
        <w:jc w:val="center"/>
        <w:rPr>
          <w:rFonts w:cs="Arial"/>
          <w:b/>
          <w:sz w:val="22"/>
        </w:rPr>
      </w:pPr>
    </w:p>
    <w:p w14:paraId="1282E598" w14:textId="77777777" w:rsidR="001238F2" w:rsidRPr="00A241F5" w:rsidRDefault="001238F2" w:rsidP="001238F2">
      <w:pPr>
        <w:widowControl/>
        <w:tabs>
          <w:tab w:val="left" w:pos="720"/>
        </w:tabs>
        <w:jc w:val="center"/>
        <w:rPr>
          <w:rFonts w:cs="Arial"/>
          <w:b/>
          <w:sz w:val="22"/>
        </w:rPr>
      </w:pPr>
    </w:p>
    <w:p w14:paraId="42AEB297" w14:textId="4CD55FEC" w:rsidR="001238F2" w:rsidRPr="00A241F5" w:rsidRDefault="001238F2" w:rsidP="001238F2">
      <w:pPr>
        <w:pStyle w:val="Heading3"/>
        <w:keepNext w:val="0"/>
        <w:widowControl/>
        <w:tabs>
          <w:tab w:val="left" w:pos="720"/>
        </w:tabs>
        <w:jc w:val="center"/>
        <w:rPr>
          <w:rFonts w:cs="Arial"/>
          <w:i w:val="0"/>
          <w:smallCaps/>
          <w:sz w:val="36"/>
        </w:rPr>
      </w:pPr>
      <w:r w:rsidRPr="00A241F5">
        <w:rPr>
          <w:rFonts w:cs="Arial" w:hint="eastAsia"/>
          <w:i w:val="0"/>
          <w:smallCaps/>
          <w:sz w:val="36"/>
        </w:rPr>
        <w:t>Report</w:t>
      </w:r>
    </w:p>
    <w:p w14:paraId="43061170" w14:textId="77777777" w:rsidR="001238F2" w:rsidRPr="00A241F5" w:rsidRDefault="001238F2" w:rsidP="001238F2">
      <w:pPr>
        <w:pStyle w:val="Heading1"/>
        <w:keepNext w:val="0"/>
        <w:widowControl/>
        <w:tabs>
          <w:tab w:val="left" w:pos="720"/>
        </w:tabs>
        <w:jc w:val="center"/>
        <w:rPr>
          <w:rFonts w:cs="Arial"/>
          <w:sz w:val="32"/>
          <w:szCs w:val="32"/>
        </w:rPr>
      </w:pPr>
    </w:p>
    <w:p w14:paraId="24DC78BC" w14:textId="77777777" w:rsidR="001238F2" w:rsidRPr="00A241F5" w:rsidRDefault="001238F2" w:rsidP="001238F2">
      <w:pPr>
        <w:widowControl/>
        <w:tabs>
          <w:tab w:val="left" w:pos="720"/>
          <w:tab w:val="left" w:pos="1965"/>
        </w:tabs>
        <w:rPr>
          <w:rFonts w:cs="Arial"/>
        </w:rPr>
      </w:pPr>
      <w:r w:rsidRPr="00A241F5">
        <w:rPr>
          <w:rFonts w:cs="Arial"/>
        </w:rPr>
        <w:tab/>
      </w:r>
      <w:r w:rsidRPr="00A241F5">
        <w:rPr>
          <w:rFonts w:cs="Arial"/>
        </w:rPr>
        <w:tab/>
      </w:r>
    </w:p>
    <w:p w14:paraId="39107EF7" w14:textId="77777777" w:rsidR="001238F2" w:rsidRPr="00A241F5" w:rsidRDefault="001238F2" w:rsidP="001238F2">
      <w:pPr>
        <w:widowControl/>
        <w:tabs>
          <w:tab w:val="left" w:pos="720"/>
        </w:tabs>
        <w:jc w:val="center"/>
        <w:rPr>
          <w:rFonts w:cs="Arial"/>
        </w:rPr>
      </w:pPr>
    </w:p>
    <w:p w14:paraId="48E3AC30" w14:textId="77777777" w:rsidR="001238F2" w:rsidRPr="00A241F5" w:rsidRDefault="001238F2" w:rsidP="001238F2">
      <w:pPr>
        <w:widowControl/>
        <w:tabs>
          <w:tab w:val="left" w:pos="720"/>
        </w:tabs>
        <w:jc w:val="center"/>
        <w:rPr>
          <w:rFonts w:cs="Arial"/>
        </w:rPr>
      </w:pPr>
    </w:p>
    <w:p w14:paraId="61517AD6" w14:textId="77777777" w:rsidR="001238F2" w:rsidRPr="00A241F5" w:rsidRDefault="001238F2" w:rsidP="001238F2">
      <w:pPr>
        <w:widowControl/>
        <w:tabs>
          <w:tab w:val="left" w:pos="720"/>
        </w:tabs>
        <w:jc w:val="center"/>
        <w:rPr>
          <w:rFonts w:cs="Arial"/>
        </w:rPr>
      </w:pPr>
    </w:p>
    <w:p w14:paraId="0DE255F0" w14:textId="77777777" w:rsidR="001238F2" w:rsidRPr="00A241F5" w:rsidRDefault="001238F2" w:rsidP="001238F2">
      <w:pPr>
        <w:widowControl/>
        <w:tabs>
          <w:tab w:val="left" w:pos="720"/>
        </w:tabs>
        <w:jc w:val="center"/>
        <w:rPr>
          <w:rFonts w:cs="Arial"/>
        </w:rPr>
      </w:pPr>
    </w:p>
    <w:p w14:paraId="3F0784C5" w14:textId="77777777" w:rsidR="001238F2" w:rsidRPr="00A241F5" w:rsidRDefault="001238F2" w:rsidP="001238F2">
      <w:pPr>
        <w:widowControl/>
        <w:tabs>
          <w:tab w:val="left" w:pos="720"/>
        </w:tabs>
        <w:jc w:val="center"/>
        <w:rPr>
          <w:rFonts w:cs="Arial"/>
        </w:rPr>
      </w:pPr>
    </w:p>
    <w:p w14:paraId="1E7D5654" w14:textId="77777777" w:rsidR="001238F2" w:rsidRPr="00A241F5" w:rsidRDefault="001238F2" w:rsidP="001238F2">
      <w:pPr>
        <w:widowControl/>
        <w:tabs>
          <w:tab w:val="left" w:pos="720"/>
        </w:tabs>
        <w:jc w:val="center"/>
        <w:rPr>
          <w:rFonts w:cs="Arial"/>
        </w:rPr>
      </w:pPr>
    </w:p>
    <w:p w14:paraId="4965A969" w14:textId="77777777" w:rsidR="001238F2" w:rsidRPr="00A241F5" w:rsidRDefault="001238F2" w:rsidP="001238F2">
      <w:pPr>
        <w:widowControl/>
        <w:tabs>
          <w:tab w:val="left" w:pos="720"/>
        </w:tabs>
        <w:jc w:val="center"/>
        <w:rPr>
          <w:rFonts w:cs="Arial"/>
        </w:rPr>
      </w:pPr>
    </w:p>
    <w:p w14:paraId="5C20F344" w14:textId="77777777" w:rsidR="001238F2" w:rsidRPr="00A241F5" w:rsidRDefault="001238F2" w:rsidP="001238F2">
      <w:pPr>
        <w:widowControl/>
        <w:tabs>
          <w:tab w:val="left" w:pos="720"/>
        </w:tabs>
        <w:jc w:val="center"/>
        <w:rPr>
          <w:rFonts w:cs="Arial"/>
        </w:rPr>
      </w:pPr>
    </w:p>
    <w:p w14:paraId="77215489" w14:textId="77777777" w:rsidR="001238F2" w:rsidRPr="00A241F5" w:rsidRDefault="001238F2" w:rsidP="001238F2">
      <w:pPr>
        <w:pStyle w:val="Heading3"/>
        <w:keepNext w:val="0"/>
        <w:widowControl/>
        <w:tabs>
          <w:tab w:val="left" w:pos="720"/>
        </w:tabs>
        <w:jc w:val="center"/>
        <w:rPr>
          <w:rFonts w:cs="Arial"/>
          <w:i w:val="0"/>
          <w:smallCaps/>
          <w:sz w:val="36"/>
        </w:rPr>
      </w:pPr>
      <w:r w:rsidRPr="00A241F5">
        <w:rPr>
          <w:rFonts w:cs="Arial"/>
          <w:i w:val="0"/>
          <w:smallCaps/>
          <w:sz w:val="36"/>
        </w:rPr>
        <w:t>Outcome Related Fee Structures</w:t>
      </w:r>
      <w:r w:rsidRPr="00A241F5">
        <w:rPr>
          <w:rFonts w:cs="Arial" w:hint="eastAsia"/>
          <w:i w:val="0"/>
          <w:smallCaps/>
          <w:sz w:val="36"/>
        </w:rPr>
        <w:t xml:space="preserve"> </w:t>
      </w:r>
    </w:p>
    <w:p w14:paraId="54B50DFE" w14:textId="77777777" w:rsidR="001238F2" w:rsidRPr="00A241F5" w:rsidRDefault="001238F2" w:rsidP="001238F2">
      <w:pPr>
        <w:pStyle w:val="Heading3"/>
        <w:keepNext w:val="0"/>
        <w:widowControl/>
        <w:tabs>
          <w:tab w:val="left" w:pos="720"/>
        </w:tabs>
        <w:jc w:val="center"/>
        <w:rPr>
          <w:rFonts w:cs="Arial"/>
          <w:i w:val="0"/>
          <w:smallCaps/>
          <w:sz w:val="36"/>
        </w:rPr>
      </w:pPr>
      <w:r w:rsidRPr="00A241F5">
        <w:rPr>
          <w:rFonts w:cs="Arial" w:hint="eastAsia"/>
          <w:i w:val="0"/>
          <w:smallCaps/>
          <w:sz w:val="36"/>
        </w:rPr>
        <w:t>for Arbitration</w:t>
      </w:r>
    </w:p>
    <w:p w14:paraId="40E6BDCA" w14:textId="77777777" w:rsidR="001238F2" w:rsidRPr="00A241F5" w:rsidRDefault="001238F2" w:rsidP="001238F2">
      <w:pPr>
        <w:widowControl/>
        <w:jc w:val="center"/>
        <w:rPr>
          <w:sz w:val="28"/>
          <w:szCs w:val="28"/>
        </w:rPr>
      </w:pPr>
    </w:p>
    <w:p w14:paraId="6F0BB32A" w14:textId="77777777" w:rsidR="001238F2" w:rsidRPr="00A241F5" w:rsidRDefault="001238F2" w:rsidP="001238F2">
      <w:pPr>
        <w:widowControl/>
        <w:jc w:val="center"/>
        <w:rPr>
          <w:sz w:val="28"/>
          <w:szCs w:val="28"/>
        </w:rPr>
      </w:pPr>
    </w:p>
    <w:p w14:paraId="2EE548B9" w14:textId="05B99CDC" w:rsidR="001238F2" w:rsidRPr="00A241F5" w:rsidRDefault="001238F2" w:rsidP="001238F2">
      <w:pPr>
        <w:widowControl/>
        <w:tabs>
          <w:tab w:val="left" w:pos="720"/>
        </w:tabs>
        <w:jc w:val="center"/>
        <w:rPr>
          <w:rFonts w:cs="Arial"/>
          <w:b/>
          <w:smallCaps/>
          <w:sz w:val="28"/>
          <w:szCs w:val="28"/>
        </w:rPr>
      </w:pPr>
    </w:p>
    <w:p w14:paraId="4A0E839B" w14:textId="77777777" w:rsidR="001238F2" w:rsidRPr="00A241F5" w:rsidRDefault="001238F2" w:rsidP="001238F2">
      <w:pPr>
        <w:widowControl/>
        <w:tabs>
          <w:tab w:val="left" w:pos="720"/>
        </w:tabs>
        <w:jc w:val="center"/>
        <w:rPr>
          <w:rFonts w:cs="Arial"/>
          <w:sz w:val="28"/>
          <w:szCs w:val="28"/>
        </w:rPr>
      </w:pPr>
    </w:p>
    <w:p w14:paraId="29DBB770" w14:textId="77777777" w:rsidR="001238F2" w:rsidRPr="00A241F5" w:rsidRDefault="001238F2" w:rsidP="001238F2">
      <w:pPr>
        <w:widowControl/>
        <w:tabs>
          <w:tab w:val="left" w:pos="720"/>
        </w:tabs>
        <w:jc w:val="center"/>
        <w:rPr>
          <w:rFonts w:cs="Arial"/>
          <w:sz w:val="28"/>
          <w:szCs w:val="28"/>
        </w:rPr>
      </w:pPr>
    </w:p>
    <w:p w14:paraId="6D190D44" w14:textId="77777777" w:rsidR="001238F2" w:rsidRPr="00A241F5" w:rsidRDefault="001238F2" w:rsidP="001238F2">
      <w:pPr>
        <w:widowControl/>
        <w:tabs>
          <w:tab w:val="left" w:pos="720"/>
        </w:tabs>
        <w:jc w:val="center"/>
        <w:rPr>
          <w:rFonts w:cs="Arial"/>
          <w:sz w:val="28"/>
          <w:szCs w:val="28"/>
        </w:rPr>
      </w:pPr>
    </w:p>
    <w:p w14:paraId="2B5DE847" w14:textId="7930D912" w:rsidR="00B45C74" w:rsidRPr="00A241F5" w:rsidRDefault="00383421" w:rsidP="00B45C74">
      <w:pPr>
        <w:tabs>
          <w:tab w:val="left" w:pos="720"/>
        </w:tabs>
        <w:jc w:val="center"/>
        <w:rPr>
          <w:rFonts w:cs="Arial"/>
          <w:b/>
        </w:rPr>
      </w:pPr>
      <w:r>
        <w:rPr>
          <w:rFonts w:cs="Arial"/>
        </w:rPr>
        <w:t>This r</w:t>
      </w:r>
      <w:r w:rsidR="001238F2" w:rsidRPr="00A241F5">
        <w:rPr>
          <w:rFonts w:cs="Arial" w:hint="eastAsia"/>
        </w:rPr>
        <w:t>eport</w:t>
      </w:r>
      <w:r w:rsidR="001238F2" w:rsidRPr="00A241F5">
        <w:rPr>
          <w:rFonts w:cs="Arial"/>
        </w:rPr>
        <w:t xml:space="preserve"> can be found on the Internet at:</w:t>
      </w:r>
    </w:p>
    <w:p w14:paraId="751ED1C7" w14:textId="62CFE184" w:rsidR="001238F2" w:rsidRPr="00A241F5" w:rsidRDefault="001238F2" w:rsidP="00B45C74">
      <w:pPr>
        <w:tabs>
          <w:tab w:val="left" w:pos="720"/>
        </w:tabs>
        <w:jc w:val="center"/>
        <w:rPr>
          <w:rFonts w:cs="Arial"/>
          <w:b/>
        </w:rPr>
      </w:pPr>
      <w:r w:rsidRPr="00A241F5">
        <w:rPr>
          <w:rFonts w:cs="Arial"/>
          <w:b/>
          <w:i/>
        </w:rPr>
        <w:t>http://www.hkreform.gov.hk</w:t>
      </w:r>
    </w:p>
    <w:p w14:paraId="3A62A4AC" w14:textId="77777777" w:rsidR="001238F2" w:rsidRPr="00A241F5" w:rsidRDefault="001238F2" w:rsidP="001238F2">
      <w:pPr>
        <w:widowControl/>
        <w:tabs>
          <w:tab w:val="left" w:pos="720"/>
        </w:tabs>
        <w:jc w:val="center"/>
        <w:rPr>
          <w:rFonts w:cs="Arial"/>
          <w:sz w:val="28"/>
          <w:szCs w:val="28"/>
        </w:rPr>
      </w:pPr>
    </w:p>
    <w:p w14:paraId="75542B2E" w14:textId="77777777" w:rsidR="001238F2" w:rsidRPr="00A241F5" w:rsidRDefault="001238F2" w:rsidP="001238F2">
      <w:pPr>
        <w:widowControl/>
        <w:tabs>
          <w:tab w:val="left" w:pos="720"/>
        </w:tabs>
        <w:jc w:val="center"/>
        <w:rPr>
          <w:rFonts w:eastAsia="DengXian" w:cs="Arial"/>
          <w:sz w:val="28"/>
          <w:szCs w:val="28"/>
          <w:lang w:eastAsia="zh-CN"/>
        </w:rPr>
      </w:pPr>
    </w:p>
    <w:p w14:paraId="3909759A" w14:textId="77777777" w:rsidR="001238F2" w:rsidRPr="00A241F5" w:rsidRDefault="001238F2" w:rsidP="001238F2">
      <w:pPr>
        <w:widowControl/>
        <w:tabs>
          <w:tab w:val="left" w:pos="720"/>
        </w:tabs>
        <w:jc w:val="center"/>
        <w:rPr>
          <w:rFonts w:cs="Arial"/>
          <w:sz w:val="28"/>
          <w:szCs w:val="28"/>
        </w:rPr>
      </w:pPr>
    </w:p>
    <w:p w14:paraId="5BBDE07B" w14:textId="7DE25B95" w:rsidR="001238F2" w:rsidRPr="00A241F5" w:rsidRDefault="00080FA3" w:rsidP="001238F2">
      <w:pPr>
        <w:widowControl/>
        <w:tabs>
          <w:tab w:val="left" w:pos="720"/>
        </w:tabs>
        <w:jc w:val="center"/>
        <w:rPr>
          <w:rFonts w:cs="Arial"/>
          <w:b/>
          <w:sz w:val="28"/>
        </w:rPr>
      </w:pPr>
      <w:r w:rsidRPr="00A241F5">
        <w:rPr>
          <w:rFonts w:cs="Arial"/>
          <w:b/>
          <w:sz w:val="28"/>
        </w:rPr>
        <w:t>December</w:t>
      </w:r>
      <w:r w:rsidRPr="00A241F5">
        <w:rPr>
          <w:rFonts w:cs="Arial" w:hint="eastAsia"/>
          <w:b/>
          <w:sz w:val="28"/>
        </w:rPr>
        <w:t xml:space="preserve"> </w:t>
      </w:r>
      <w:r w:rsidR="001238F2" w:rsidRPr="00A241F5">
        <w:rPr>
          <w:rFonts w:cs="Arial"/>
          <w:b/>
          <w:sz w:val="28"/>
        </w:rPr>
        <w:t>2021</w:t>
      </w:r>
    </w:p>
    <w:p w14:paraId="1E59C872" w14:textId="77777777" w:rsidR="001238F2" w:rsidRPr="00A241F5" w:rsidRDefault="001238F2" w:rsidP="001238F2">
      <w:pPr>
        <w:rPr>
          <w:rFonts w:cs="Arial"/>
        </w:rPr>
        <w:sectPr w:rsidR="001238F2" w:rsidRPr="00A241F5" w:rsidSect="00AC7FE5">
          <w:headerReference w:type="default" r:id="rId8"/>
          <w:footerReference w:type="default" r:id="rId9"/>
          <w:footerReference w:type="first" r:id="rId10"/>
          <w:pgSz w:w="11909" w:h="16834" w:code="9"/>
          <w:pgMar w:top="1440" w:right="1800" w:bottom="1440" w:left="1800" w:header="720" w:footer="720" w:gutter="0"/>
          <w:cols w:space="425"/>
          <w:docGrid w:linePitch="360"/>
        </w:sectPr>
      </w:pPr>
    </w:p>
    <w:p w14:paraId="756B7741" w14:textId="77777777" w:rsidR="001238F2" w:rsidRPr="00A241F5" w:rsidRDefault="001238F2" w:rsidP="001238F2">
      <w:pPr>
        <w:tabs>
          <w:tab w:val="clear" w:pos="1418"/>
          <w:tab w:val="left" w:pos="1440"/>
        </w:tabs>
        <w:rPr>
          <w:rFonts w:cs="Arial"/>
          <w:color w:val="000000"/>
        </w:rPr>
      </w:pPr>
      <w:r w:rsidRPr="00A241F5">
        <w:rPr>
          <w:rFonts w:cs="Arial"/>
          <w:color w:val="000000"/>
        </w:rPr>
        <w:lastRenderedPageBreak/>
        <w:t>The Law Reform Commission of Hong Kong was established by the Executive Council in January 1980.  The Commission considers such reforms of the laws of Hong Kong as may be referred to it by the Secretary for Justice or the Chief Justice.</w:t>
      </w:r>
    </w:p>
    <w:p w14:paraId="36CB0182" w14:textId="77777777" w:rsidR="001238F2" w:rsidRPr="00A241F5" w:rsidRDefault="001238F2" w:rsidP="001238F2">
      <w:pPr>
        <w:tabs>
          <w:tab w:val="clear" w:pos="1418"/>
          <w:tab w:val="left" w:pos="1440"/>
        </w:tabs>
      </w:pPr>
    </w:p>
    <w:p w14:paraId="2505ACAC" w14:textId="77777777" w:rsidR="001238F2" w:rsidRPr="00A241F5" w:rsidRDefault="001238F2" w:rsidP="001238F2">
      <w:pPr>
        <w:tabs>
          <w:tab w:val="clear" w:pos="1418"/>
          <w:tab w:val="left" w:pos="1440"/>
        </w:tabs>
      </w:pPr>
    </w:p>
    <w:p w14:paraId="65BE1128" w14:textId="5432F0C5" w:rsidR="001238F2" w:rsidRPr="00A241F5" w:rsidRDefault="001238F2" w:rsidP="001238F2">
      <w:pPr>
        <w:tabs>
          <w:tab w:val="clear" w:pos="1418"/>
          <w:tab w:val="left" w:pos="1440"/>
        </w:tabs>
        <w:rPr>
          <w:rFonts w:cs="Arial"/>
          <w:color w:val="000000"/>
        </w:rPr>
      </w:pPr>
      <w:r w:rsidRPr="00A241F5">
        <w:rPr>
          <w:rFonts w:cs="Arial"/>
          <w:color w:val="000000"/>
        </w:rPr>
        <w:t xml:space="preserve">The members of the Commission at present are: </w:t>
      </w:r>
    </w:p>
    <w:p w14:paraId="47A52118" w14:textId="77777777" w:rsidR="001238F2" w:rsidRPr="00A241F5" w:rsidRDefault="001238F2" w:rsidP="001238F2">
      <w:pPr>
        <w:tabs>
          <w:tab w:val="clear" w:pos="1418"/>
          <w:tab w:val="left" w:pos="1440"/>
        </w:tabs>
      </w:pPr>
    </w:p>
    <w:p w14:paraId="24F36F56" w14:textId="77777777" w:rsidR="001238F2" w:rsidRPr="00A241F5" w:rsidRDefault="001238F2" w:rsidP="001238F2">
      <w:pPr>
        <w:tabs>
          <w:tab w:val="clear" w:pos="1418"/>
          <w:tab w:val="left" w:pos="1440"/>
        </w:tabs>
      </w:pPr>
    </w:p>
    <w:p w14:paraId="2A02F303" w14:textId="77777777" w:rsidR="001238F2" w:rsidRPr="00A241F5" w:rsidRDefault="001238F2" w:rsidP="001238F2">
      <w:pPr>
        <w:tabs>
          <w:tab w:val="clear" w:pos="1418"/>
          <w:tab w:val="left" w:pos="1440"/>
        </w:tabs>
        <w:ind w:left="1440" w:right="206" w:hanging="1440"/>
        <w:jc w:val="left"/>
        <w:rPr>
          <w:rFonts w:cs="Arial"/>
          <w:b/>
          <w:i/>
          <w:color w:val="000000"/>
        </w:rPr>
      </w:pPr>
      <w:r w:rsidRPr="00A241F5">
        <w:rPr>
          <w:rFonts w:cs="Arial"/>
          <w:b/>
          <w:i/>
          <w:color w:val="000000"/>
        </w:rPr>
        <w:t>Chairman:</w:t>
      </w:r>
      <w:r w:rsidRPr="00A241F5">
        <w:rPr>
          <w:rFonts w:cs="Arial"/>
          <w:b/>
          <w:i/>
          <w:color w:val="000000"/>
        </w:rPr>
        <w:tab/>
        <w:t xml:space="preserve">The Hon Teresa Cheng, GBM, GBS, SC, JP, </w:t>
      </w:r>
    </w:p>
    <w:p w14:paraId="4E31797B" w14:textId="77777777" w:rsidR="001238F2" w:rsidRPr="00A241F5" w:rsidRDefault="001238F2" w:rsidP="001238F2">
      <w:pPr>
        <w:tabs>
          <w:tab w:val="clear" w:pos="1418"/>
          <w:tab w:val="left" w:pos="1440"/>
        </w:tabs>
        <w:ind w:left="1440" w:right="206" w:hanging="1440"/>
        <w:jc w:val="left"/>
        <w:rPr>
          <w:rFonts w:cs="Arial"/>
          <w:b/>
          <w:i/>
          <w:color w:val="000000"/>
        </w:rPr>
      </w:pPr>
      <w:r w:rsidRPr="00A241F5">
        <w:rPr>
          <w:rFonts w:cs="Arial"/>
          <w:b/>
          <w:i/>
          <w:color w:val="000000"/>
        </w:rPr>
        <w:tab/>
        <w:t>Secretary for Justice</w:t>
      </w:r>
    </w:p>
    <w:p w14:paraId="5B0E30C9" w14:textId="77777777" w:rsidR="001238F2" w:rsidRPr="00A241F5" w:rsidRDefault="001238F2" w:rsidP="001238F2">
      <w:pPr>
        <w:tabs>
          <w:tab w:val="clear" w:pos="1418"/>
          <w:tab w:val="left" w:pos="1440"/>
        </w:tabs>
        <w:ind w:right="720"/>
        <w:rPr>
          <w:rFonts w:cs="Arial"/>
          <w:b/>
          <w:i/>
          <w:color w:val="000000"/>
        </w:rPr>
      </w:pPr>
    </w:p>
    <w:p w14:paraId="4A726556" w14:textId="77777777" w:rsidR="001238F2" w:rsidRPr="00A241F5" w:rsidRDefault="001238F2" w:rsidP="001238F2">
      <w:pPr>
        <w:tabs>
          <w:tab w:val="clear" w:pos="1418"/>
          <w:tab w:val="left" w:pos="1440"/>
        </w:tabs>
        <w:ind w:right="720"/>
        <w:rPr>
          <w:rFonts w:cs="Arial"/>
          <w:b/>
          <w:i/>
          <w:color w:val="000000"/>
        </w:rPr>
      </w:pPr>
      <w:r w:rsidRPr="00A241F5">
        <w:rPr>
          <w:rFonts w:cs="Arial"/>
          <w:b/>
          <w:i/>
          <w:color w:val="000000"/>
        </w:rPr>
        <w:t>Members:</w:t>
      </w:r>
      <w:r w:rsidRPr="00A241F5">
        <w:rPr>
          <w:rFonts w:cs="Arial"/>
          <w:b/>
          <w:i/>
          <w:color w:val="000000"/>
        </w:rPr>
        <w:tab/>
        <w:t>The Hon Chief Justice Andrew Cheung, GBM</w:t>
      </w:r>
    </w:p>
    <w:p w14:paraId="21A677AD" w14:textId="77777777" w:rsidR="001238F2" w:rsidRPr="00A241F5" w:rsidRDefault="001238F2" w:rsidP="001238F2">
      <w:pPr>
        <w:tabs>
          <w:tab w:val="clear" w:pos="1418"/>
          <w:tab w:val="left" w:pos="1440"/>
        </w:tabs>
        <w:ind w:left="1418" w:right="720" w:hanging="1418"/>
        <w:rPr>
          <w:rFonts w:cs="Arial"/>
          <w:b/>
          <w:i/>
          <w:color w:val="000000"/>
        </w:rPr>
      </w:pPr>
      <w:r w:rsidRPr="00A241F5">
        <w:rPr>
          <w:rFonts w:cs="Arial"/>
          <w:b/>
          <w:i/>
          <w:color w:val="000000"/>
        </w:rPr>
        <w:tab/>
        <w:t xml:space="preserve">The Hon Mr Justice Johnson Lam, </w:t>
      </w:r>
    </w:p>
    <w:p w14:paraId="0A49DCC0" w14:textId="77777777" w:rsidR="001238F2" w:rsidRPr="00A241F5" w:rsidRDefault="001238F2" w:rsidP="001238F2">
      <w:pPr>
        <w:tabs>
          <w:tab w:val="clear" w:pos="1418"/>
          <w:tab w:val="left" w:pos="1440"/>
        </w:tabs>
        <w:ind w:left="1418" w:right="720" w:hanging="1418"/>
        <w:rPr>
          <w:rFonts w:cs="Arial"/>
          <w:b/>
          <w:i/>
          <w:color w:val="000000"/>
        </w:rPr>
      </w:pPr>
      <w:r w:rsidRPr="00A241F5">
        <w:rPr>
          <w:rFonts w:cs="Arial"/>
          <w:b/>
          <w:i/>
          <w:color w:val="000000"/>
        </w:rPr>
        <w:tab/>
      </w:r>
      <w:r w:rsidRPr="00A241F5">
        <w:rPr>
          <w:rFonts w:cs="Arial"/>
          <w:b/>
          <w:i/>
          <w:color w:val="000000"/>
        </w:rPr>
        <w:tab/>
        <w:t xml:space="preserve">  Permanent Judge of the Court of Final Appeal</w:t>
      </w:r>
    </w:p>
    <w:p w14:paraId="4EA66E5E" w14:textId="77777777" w:rsidR="001238F2" w:rsidRPr="00A241F5" w:rsidRDefault="001238F2" w:rsidP="001238F2">
      <w:pPr>
        <w:tabs>
          <w:tab w:val="clear" w:pos="1418"/>
          <w:tab w:val="left" w:pos="1440"/>
        </w:tabs>
        <w:ind w:left="1440" w:right="720"/>
        <w:rPr>
          <w:rFonts w:cs="Arial"/>
          <w:b/>
          <w:i/>
          <w:color w:val="000000"/>
        </w:rPr>
      </w:pPr>
      <w:r w:rsidRPr="00A241F5">
        <w:rPr>
          <w:rFonts w:cs="Arial"/>
          <w:b/>
          <w:i/>
          <w:color w:val="000000"/>
        </w:rPr>
        <w:t>Mr Michael Lam, Law Draftsman</w:t>
      </w:r>
    </w:p>
    <w:p w14:paraId="61E4E3F6" w14:textId="77777777" w:rsidR="001238F2" w:rsidRPr="00A241F5" w:rsidRDefault="001238F2" w:rsidP="001238F2">
      <w:pPr>
        <w:tabs>
          <w:tab w:val="clear" w:pos="1418"/>
          <w:tab w:val="left" w:pos="1440"/>
        </w:tabs>
        <w:ind w:left="1440" w:right="720"/>
        <w:rPr>
          <w:rFonts w:cs="Arial"/>
          <w:b/>
          <w:i/>
          <w:color w:val="000000"/>
        </w:rPr>
      </w:pPr>
      <w:r w:rsidRPr="00A241F5">
        <w:rPr>
          <w:rFonts w:cs="Arial"/>
          <w:b/>
          <w:i/>
          <w:color w:val="000000"/>
        </w:rPr>
        <w:t>Ms Winnie Tam, SBS, SC, JP</w:t>
      </w:r>
    </w:p>
    <w:p w14:paraId="250A5013" w14:textId="77777777" w:rsidR="001238F2" w:rsidRPr="00A241F5" w:rsidRDefault="001238F2" w:rsidP="001238F2">
      <w:pPr>
        <w:tabs>
          <w:tab w:val="clear" w:pos="1418"/>
          <w:tab w:val="left" w:pos="1440"/>
        </w:tabs>
        <w:ind w:left="1440" w:right="720"/>
        <w:rPr>
          <w:rFonts w:cs="Arial"/>
          <w:b/>
          <w:i/>
          <w:color w:val="000000"/>
        </w:rPr>
      </w:pPr>
      <w:r w:rsidRPr="00A241F5">
        <w:rPr>
          <w:rFonts w:cs="Arial"/>
          <w:b/>
          <w:i/>
          <w:color w:val="000000"/>
        </w:rPr>
        <w:t>Ms May Chan, SBS, JP</w:t>
      </w:r>
    </w:p>
    <w:p w14:paraId="17AEBE79" w14:textId="77777777" w:rsidR="001238F2" w:rsidRPr="00A241F5" w:rsidRDefault="001238F2" w:rsidP="001238F2">
      <w:pPr>
        <w:tabs>
          <w:tab w:val="clear" w:pos="1418"/>
          <w:tab w:val="left" w:pos="1440"/>
        </w:tabs>
        <w:ind w:left="1440" w:right="720"/>
        <w:rPr>
          <w:rFonts w:cs="Arial"/>
          <w:b/>
          <w:i/>
          <w:color w:val="000000"/>
        </w:rPr>
      </w:pPr>
      <w:r w:rsidRPr="00A241F5">
        <w:rPr>
          <w:rFonts w:cs="Arial"/>
          <w:b/>
          <w:i/>
          <w:color w:val="000000"/>
        </w:rPr>
        <w:t>Professor Cheng Han Tan</w:t>
      </w:r>
    </w:p>
    <w:p w14:paraId="25CDEC12" w14:textId="77777777" w:rsidR="001238F2" w:rsidRPr="00A241F5" w:rsidRDefault="001238F2" w:rsidP="001238F2">
      <w:pPr>
        <w:tabs>
          <w:tab w:val="clear" w:pos="1418"/>
          <w:tab w:val="left" w:pos="1440"/>
        </w:tabs>
        <w:ind w:left="1440" w:right="720"/>
        <w:rPr>
          <w:rFonts w:cs="Arial"/>
          <w:b/>
          <w:i/>
          <w:color w:val="000000"/>
        </w:rPr>
      </w:pPr>
      <w:r w:rsidRPr="00A241F5">
        <w:rPr>
          <w:rFonts w:cs="Arial"/>
          <w:b/>
          <w:i/>
          <w:color w:val="000000"/>
        </w:rPr>
        <w:t>Professor Lutz-Christian Wolff</w:t>
      </w:r>
    </w:p>
    <w:p w14:paraId="67E62649" w14:textId="77777777" w:rsidR="001238F2" w:rsidRPr="00A241F5" w:rsidRDefault="001238F2" w:rsidP="001238F2">
      <w:pPr>
        <w:tabs>
          <w:tab w:val="clear" w:pos="1418"/>
          <w:tab w:val="left" w:pos="1440"/>
        </w:tabs>
        <w:ind w:left="1440" w:right="720"/>
        <w:rPr>
          <w:rFonts w:cs="Arial"/>
          <w:b/>
          <w:i/>
          <w:color w:val="000000"/>
        </w:rPr>
      </w:pPr>
      <w:r w:rsidRPr="00A241F5">
        <w:rPr>
          <w:rFonts w:cs="Arial"/>
          <w:b/>
          <w:i/>
          <w:color w:val="000000"/>
        </w:rPr>
        <w:t>Professor Hualing Fu</w:t>
      </w:r>
    </w:p>
    <w:p w14:paraId="03579DC2" w14:textId="77777777" w:rsidR="001238F2" w:rsidRPr="00A241F5" w:rsidRDefault="001238F2" w:rsidP="001238F2">
      <w:pPr>
        <w:tabs>
          <w:tab w:val="clear" w:pos="1418"/>
          <w:tab w:val="left" w:pos="1440"/>
        </w:tabs>
        <w:ind w:left="1440" w:right="720"/>
        <w:rPr>
          <w:rFonts w:cs="Arial"/>
          <w:b/>
          <w:i/>
          <w:color w:val="000000"/>
        </w:rPr>
      </w:pPr>
      <w:r w:rsidRPr="00A241F5">
        <w:rPr>
          <w:rFonts w:cs="Arial"/>
          <w:b/>
          <w:i/>
          <w:color w:val="000000"/>
        </w:rPr>
        <w:t>Mr Stephen Hung</w:t>
      </w:r>
    </w:p>
    <w:p w14:paraId="534BC9C8" w14:textId="77777777" w:rsidR="001238F2" w:rsidRPr="00A241F5" w:rsidRDefault="001238F2" w:rsidP="001238F2">
      <w:pPr>
        <w:tabs>
          <w:tab w:val="clear" w:pos="1418"/>
          <w:tab w:val="left" w:pos="1440"/>
        </w:tabs>
        <w:ind w:left="1440" w:right="720"/>
        <w:rPr>
          <w:rFonts w:cs="Arial"/>
          <w:b/>
          <w:i/>
          <w:color w:val="000000"/>
        </w:rPr>
      </w:pPr>
      <w:r w:rsidRPr="00A241F5">
        <w:rPr>
          <w:rFonts w:cs="Arial"/>
          <w:b/>
          <w:i/>
          <w:color w:val="000000"/>
        </w:rPr>
        <w:t>Mrs Janice Choi, BBS, MH, JP</w:t>
      </w:r>
    </w:p>
    <w:p w14:paraId="1D88E13D" w14:textId="77777777" w:rsidR="001238F2" w:rsidRPr="00A241F5" w:rsidRDefault="001238F2" w:rsidP="001238F2">
      <w:pPr>
        <w:tabs>
          <w:tab w:val="clear" w:pos="1418"/>
          <w:tab w:val="left" w:pos="1440"/>
        </w:tabs>
        <w:ind w:left="1440" w:right="720"/>
        <w:rPr>
          <w:rFonts w:cs="Arial"/>
          <w:b/>
          <w:i/>
          <w:color w:val="000000"/>
        </w:rPr>
      </w:pPr>
      <w:r w:rsidRPr="00A241F5">
        <w:rPr>
          <w:rFonts w:cs="Arial"/>
          <w:b/>
          <w:i/>
          <w:color w:val="000000"/>
        </w:rPr>
        <w:t>Mr Chak Ming Chan</w:t>
      </w:r>
    </w:p>
    <w:p w14:paraId="2735A3FF" w14:textId="77777777" w:rsidR="001238F2" w:rsidRPr="00A241F5" w:rsidRDefault="001238F2" w:rsidP="001238F2">
      <w:pPr>
        <w:tabs>
          <w:tab w:val="clear" w:pos="1418"/>
          <w:tab w:val="left" w:pos="1440"/>
        </w:tabs>
        <w:ind w:left="1440" w:right="720"/>
        <w:rPr>
          <w:rFonts w:cs="Arial"/>
          <w:b/>
          <w:i/>
          <w:color w:val="000000"/>
        </w:rPr>
      </w:pPr>
      <w:r w:rsidRPr="00A241F5">
        <w:rPr>
          <w:rFonts w:cs="Arial"/>
          <w:b/>
          <w:i/>
          <w:color w:val="000000"/>
        </w:rPr>
        <w:t>Mrs Margaret Leung, SBS, JP</w:t>
      </w:r>
    </w:p>
    <w:p w14:paraId="4FE14860" w14:textId="77777777" w:rsidR="001238F2" w:rsidRPr="00A241F5" w:rsidRDefault="001238F2" w:rsidP="001238F2">
      <w:pPr>
        <w:tabs>
          <w:tab w:val="clear" w:pos="1418"/>
          <w:tab w:val="left" w:pos="1440"/>
        </w:tabs>
        <w:rPr>
          <w:rFonts w:cs="Arial"/>
          <w:color w:val="000000"/>
        </w:rPr>
      </w:pPr>
    </w:p>
    <w:p w14:paraId="10A26372" w14:textId="77777777" w:rsidR="001238F2" w:rsidRPr="00A241F5" w:rsidRDefault="001238F2" w:rsidP="001238F2">
      <w:pPr>
        <w:tabs>
          <w:tab w:val="clear" w:pos="1418"/>
          <w:tab w:val="left" w:pos="1440"/>
        </w:tabs>
        <w:rPr>
          <w:rFonts w:cs="Arial"/>
          <w:color w:val="000000"/>
        </w:rPr>
      </w:pPr>
    </w:p>
    <w:p w14:paraId="40CDB45A" w14:textId="26F7E736" w:rsidR="001238F2" w:rsidRPr="00A241F5" w:rsidRDefault="001238F2" w:rsidP="001238F2">
      <w:pPr>
        <w:tabs>
          <w:tab w:val="clear" w:pos="1418"/>
          <w:tab w:val="left" w:pos="1440"/>
        </w:tabs>
        <w:autoSpaceDE w:val="0"/>
        <w:autoSpaceDN w:val="0"/>
        <w:rPr>
          <w:rFonts w:cs="Arial"/>
          <w:color w:val="000000"/>
        </w:rPr>
      </w:pPr>
      <w:r w:rsidRPr="00A241F5">
        <w:rPr>
          <w:rFonts w:cs="Arial"/>
          <w:color w:val="000000"/>
        </w:rPr>
        <w:t>The</w:t>
      </w:r>
      <w:r w:rsidRPr="00A241F5">
        <w:rPr>
          <w:rFonts w:cs="Arial"/>
        </w:rPr>
        <w:t xml:space="preserve"> </w:t>
      </w:r>
      <w:r w:rsidRPr="00A241F5">
        <w:rPr>
          <w:rFonts w:cs="Arial"/>
          <w:color w:val="000000"/>
        </w:rPr>
        <w:t xml:space="preserve">Secretary of the Commission is </w:t>
      </w:r>
      <w:r w:rsidR="009B0610" w:rsidRPr="00A241F5">
        <w:rPr>
          <w:rFonts w:cs="Arial"/>
          <w:b/>
          <w:color w:val="000000"/>
        </w:rPr>
        <w:t>Mr Wesley Wong, SC, JP</w:t>
      </w:r>
      <w:r w:rsidRPr="00A241F5">
        <w:rPr>
          <w:rFonts w:eastAsia="細明體" w:cs="Arial" w:hint="eastAsia"/>
          <w:b/>
          <w:color w:val="000000"/>
        </w:rPr>
        <w:t>,</w:t>
      </w:r>
      <w:r w:rsidR="009B0610" w:rsidRPr="00A241F5">
        <w:rPr>
          <w:rFonts w:cs="Arial"/>
          <w:color w:val="000000"/>
        </w:rPr>
        <w:t xml:space="preserve"> </w:t>
      </w:r>
      <w:r w:rsidR="009B0610" w:rsidRPr="00A241F5">
        <w:rPr>
          <w:rFonts w:cs="Arial"/>
          <w:b/>
          <w:color w:val="000000"/>
        </w:rPr>
        <w:t>Law Officer</w:t>
      </w:r>
      <w:r w:rsidR="009B0610" w:rsidRPr="00A241F5">
        <w:rPr>
          <w:rFonts w:cs="Arial"/>
          <w:color w:val="000000"/>
        </w:rPr>
        <w:t xml:space="preserve"> </w:t>
      </w:r>
      <w:r w:rsidRPr="00A241F5">
        <w:rPr>
          <w:rFonts w:cs="Arial"/>
          <w:color w:val="000000"/>
        </w:rPr>
        <w:t xml:space="preserve">and </w:t>
      </w:r>
      <w:r w:rsidRPr="00A241F5">
        <w:rPr>
          <w:rFonts w:cs="Arial" w:hint="eastAsia"/>
          <w:color w:val="000000"/>
        </w:rPr>
        <w:t>the Commission</w:t>
      </w:r>
      <w:r w:rsidR="00C61F4B" w:rsidRPr="00A241F5">
        <w:rPr>
          <w:rFonts w:cs="Arial"/>
          <w:color w:val="000000"/>
        </w:rPr>
        <w:t>'</w:t>
      </w:r>
      <w:r w:rsidRPr="00A241F5">
        <w:rPr>
          <w:rFonts w:cs="Arial" w:hint="eastAsia"/>
          <w:color w:val="000000"/>
        </w:rPr>
        <w:t>s</w:t>
      </w:r>
      <w:r w:rsidRPr="00A241F5">
        <w:rPr>
          <w:rFonts w:cs="Arial"/>
          <w:color w:val="000000"/>
        </w:rPr>
        <w:t xml:space="preserve"> offices are at:</w:t>
      </w:r>
    </w:p>
    <w:p w14:paraId="2E8CB36B" w14:textId="77777777" w:rsidR="001238F2" w:rsidRPr="00A241F5" w:rsidRDefault="001238F2" w:rsidP="001238F2">
      <w:pPr>
        <w:tabs>
          <w:tab w:val="clear" w:pos="1418"/>
          <w:tab w:val="left" w:pos="1440"/>
        </w:tabs>
        <w:rPr>
          <w:rFonts w:cs="Arial"/>
          <w:color w:val="000000"/>
        </w:rPr>
      </w:pPr>
    </w:p>
    <w:p w14:paraId="66CBD7BA" w14:textId="77777777" w:rsidR="001238F2" w:rsidRPr="00A241F5" w:rsidRDefault="001238F2" w:rsidP="001238F2">
      <w:pPr>
        <w:tabs>
          <w:tab w:val="clear" w:pos="1418"/>
          <w:tab w:val="left" w:pos="1440"/>
        </w:tabs>
        <w:rPr>
          <w:rFonts w:cs="Arial"/>
          <w:color w:val="000000"/>
        </w:rPr>
      </w:pPr>
    </w:p>
    <w:p w14:paraId="351FDBD4" w14:textId="77777777" w:rsidR="001238F2" w:rsidRPr="00A241F5" w:rsidRDefault="001238F2" w:rsidP="001238F2">
      <w:pPr>
        <w:tabs>
          <w:tab w:val="clear" w:pos="1418"/>
          <w:tab w:val="left" w:pos="1440"/>
        </w:tabs>
        <w:ind w:left="1620" w:right="720" w:hanging="180"/>
        <w:rPr>
          <w:rFonts w:cs="Arial"/>
          <w:b/>
          <w:i/>
          <w:color w:val="000000"/>
        </w:rPr>
      </w:pPr>
      <w:r w:rsidRPr="00A241F5">
        <w:rPr>
          <w:rFonts w:cs="Arial" w:hint="eastAsia"/>
          <w:b/>
          <w:i/>
          <w:color w:val="000000"/>
        </w:rPr>
        <w:t>4</w:t>
      </w:r>
      <w:r w:rsidRPr="00A241F5">
        <w:rPr>
          <w:rFonts w:cs="Arial"/>
          <w:b/>
          <w:i/>
          <w:color w:val="000000"/>
        </w:rPr>
        <w:t xml:space="preserve">/F </w:t>
      </w:r>
      <w:r w:rsidRPr="00A241F5">
        <w:rPr>
          <w:rFonts w:cs="Arial" w:hint="eastAsia"/>
          <w:b/>
          <w:i/>
          <w:color w:val="000000"/>
        </w:rPr>
        <w:t>East Wing, Justice Place</w:t>
      </w:r>
    </w:p>
    <w:p w14:paraId="22412504" w14:textId="77777777" w:rsidR="001238F2" w:rsidRPr="00A241F5" w:rsidRDefault="001238F2" w:rsidP="001238F2">
      <w:pPr>
        <w:tabs>
          <w:tab w:val="clear" w:pos="1418"/>
          <w:tab w:val="left" w:pos="1440"/>
        </w:tabs>
        <w:ind w:left="1620" w:right="720" w:hanging="180"/>
        <w:rPr>
          <w:rFonts w:cs="Arial"/>
          <w:b/>
          <w:i/>
        </w:rPr>
      </w:pPr>
      <w:r w:rsidRPr="00A241F5">
        <w:rPr>
          <w:rFonts w:cs="Arial" w:hint="eastAsia"/>
          <w:b/>
          <w:i/>
        </w:rPr>
        <w:t>18 Lower Albert Road</w:t>
      </w:r>
    </w:p>
    <w:p w14:paraId="3835CB7E" w14:textId="77777777" w:rsidR="001238F2" w:rsidRPr="00A241F5" w:rsidRDefault="001238F2" w:rsidP="001238F2">
      <w:pPr>
        <w:tabs>
          <w:tab w:val="clear" w:pos="1418"/>
          <w:tab w:val="left" w:pos="1440"/>
        </w:tabs>
        <w:ind w:left="1620" w:right="720" w:hanging="180"/>
        <w:rPr>
          <w:rFonts w:cs="Arial"/>
          <w:b/>
          <w:i/>
          <w:color w:val="000000"/>
        </w:rPr>
      </w:pPr>
      <w:r w:rsidRPr="00A241F5">
        <w:rPr>
          <w:rFonts w:cs="Arial" w:hint="eastAsia"/>
          <w:b/>
          <w:i/>
          <w:color w:val="000000"/>
        </w:rPr>
        <w:t>Central</w:t>
      </w:r>
    </w:p>
    <w:p w14:paraId="02CC6DBB" w14:textId="77777777" w:rsidR="001238F2" w:rsidRPr="00A241F5" w:rsidRDefault="001238F2" w:rsidP="001238F2">
      <w:pPr>
        <w:tabs>
          <w:tab w:val="clear" w:pos="1418"/>
          <w:tab w:val="left" w:pos="1440"/>
        </w:tabs>
        <w:ind w:left="1620" w:right="720" w:hanging="180"/>
        <w:rPr>
          <w:rFonts w:cs="Arial"/>
          <w:b/>
          <w:i/>
          <w:color w:val="000000"/>
        </w:rPr>
      </w:pPr>
      <w:r w:rsidRPr="00A241F5">
        <w:rPr>
          <w:rFonts w:cs="Arial"/>
          <w:b/>
          <w:i/>
          <w:color w:val="000000"/>
        </w:rPr>
        <w:t>Hong Kong</w:t>
      </w:r>
    </w:p>
    <w:p w14:paraId="779A40F3" w14:textId="77777777" w:rsidR="001238F2" w:rsidRPr="00A241F5" w:rsidRDefault="001238F2" w:rsidP="001238F2">
      <w:pPr>
        <w:tabs>
          <w:tab w:val="clear" w:pos="1418"/>
          <w:tab w:val="left" w:pos="1440"/>
        </w:tabs>
        <w:ind w:left="1440" w:right="720"/>
        <w:rPr>
          <w:rFonts w:cs="Arial"/>
          <w:b/>
          <w:i/>
          <w:color w:val="000000"/>
        </w:rPr>
      </w:pPr>
    </w:p>
    <w:p w14:paraId="73BA95F3" w14:textId="77777777" w:rsidR="001238F2" w:rsidRPr="00A241F5" w:rsidRDefault="001238F2" w:rsidP="001238F2">
      <w:pPr>
        <w:tabs>
          <w:tab w:val="clear" w:pos="1418"/>
          <w:tab w:val="left" w:pos="1440"/>
        </w:tabs>
        <w:ind w:left="1620" w:right="720" w:hanging="180"/>
        <w:rPr>
          <w:rFonts w:cs="Arial"/>
          <w:b/>
          <w:i/>
          <w:color w:val="000000"/>
        </w:rPr>
      </w:pPr>
      <w:r w:rsidRPr="00A241F5">
        <w:rPr>
          <w:rFonts w:cs="Arial"/>
          <w:b/>
          <w:i/>
          <w:color w:val="000000"/>
        </w:rPr>
        <w:t>Telephone:</w:t>
      </w:r>
      <w:r w:rsidRPr="00A241F5">
        <w:rPr>
          <w:rFonts w:cs="Arial"/>
          <w:b/>
          <w:i/>
          <w:color w:val="000000"/>
        </w:rPr>
        <w:tab/>
      </w:r>
      <w:r w:rsidRPr="00A241F5">
        <w:rPr>
          <w:rFonts w:cs="Arial" w:hint="eastAsia"/>
          <w:b/>
          <w:i/>
          <w:color w:val="000000"/>
        </w:rPr>
        <w:t>3918 40</w:t>
      </w:r>
      <w:r w:rsidRPr="00A241F5">
        <w:rPr>
          <w:rFonts w:cs="Arial"/>
          <w:b/>
          <w:i/>
          <w:color w:val="000000"/>
        </w:rPr>
        <w:t>97</w:t>
      </w:r>
    </w:p>
    <w:p w14:paraId="58177CCB" w14:textId="77777777" w:rsidR="001238F2" w:rsidRPr="00A241F5" w:rsidRDefault="001238F2" w:rsidP="001238F2">
      <w:pPr>
        <w:tabs>
          <w:tab w:val="clear" w:pos="1418"/>
          <w:tab w:val="left" w:pos="1440"/>
        </w:tabs>
        <w:ind w:left="1620" w:right="720" w:hanging="180"/>
        <w:rPr>
          <w:rFonts w:cs="Arial"/>
          <w:b/>
          <w:i/>
          <w:color w:val="000000"/>
        </w:rPr>
      </w:pPr>
      <w:r w:rsidRPr="00A241F5">
        <w:rPr>
          <w:rFonts w:cs="Arial"/>
          <w:b/>
          <w:i/>
          <w:color w:val="000000"/>
        </w:rPr>
        <w:t>Fax:</w:t>
      </w:r>
      <w:r w:rsidRPr="00A241F5">
        <w:rPr>
          <w:rFonts w:cs="Arial"/>
          <w:b/>
          <w:i/>
          <w:color w:val="000000"/>
        </w:rPr>
        <w:tab/>
      </w:r>
      <w:r w:rsidRPr="00A241F5">
        <w:rPr>
          <w:rFonts w:cs="Arial"/>
          <w:b/>
          <w:i/>
          <w:color w:val="000000"/>
        </w:rPr>
        <w:tab/>
      </w:r>
      <w:r w:rsidRPr="00A241F5">
        <w:rPr>
          <w:rFonts w:cs="Arial" w:hint="eastAsia"/>
          <w:b/>
          <w:i/>
          <w:color w:val="000000"/>
        </w:rPr>
        <w:t>3918 4096</w:t>
      </w:r>
    </w:p>
    <w:p w14:paraId="181B58C8" w14:textId="77777777" w:rsidR="001238F2" w:rsidRPr="00A241F5" w:rsidRDefault="001238F2" w:rsidP="001238F2">
      <w:pPr>
        <w:tabs>
          <w:tab w:val="clear" w:pos="1418"/>
          <w:tab w:val="left" w:pos="1440"/>
        </w:tabs>
        <w:ind w:left="1620" w:right="720" w:hanging="180"/>
        <w:rPr>
          <w:rFonts w:cs="Arial"/>
          <w:b/>
          <w:i/>
          <w:color w:val="000000"/>
        </w:rPr>
      </w:pPr>
      <w:r w:rsidRPr="00A241F5">
        <w:rPr>
          <w:rFonts w:cs="Arial"/>
          <w:b/>
          <w:i/>
          <w:color w:val="000000"/>
        </w:rPr>
        <w:t>E-mail:</w:t>
      </w:r>
      <w:r w:rsidRPr="00A241F5">
        <w:rPr>
          <w:rFonts w:cs="Arial"/>
          <w:b/>
          <w:i/>
          <w:color w:val="000000"/>
        </w:rPr>
        <w:tab/>
        <w:t>hklrc@hkreform.gov.hk</w:t>
      </w:r>
    </w:p>
    <w:p w14:paraId="6C29ACBF" w14:textId="77777777" w:rsidR="001238F2" w:rsidRPr="00A241F5" w:rsidRDefault="001238F2" w:rsidP="001238F2">
      <w:pPr>
        <w:tabs>
          <w:tab w:val="clear" w:pos="1418"/>
          <w:tab w:val="left" w:pos="1440"/>
        </w:tabs>
        <w:ind w:left="1620" w:right="720" w:hanging="180"/>
      </w:pPr>
      <w:r w:rsidRPr="00A241F5">
        <w:rPr>
          <w:rFonts w:cs="Arial"/>
          <w:b/>
          <w:i/>
          <w:color w:val="000000"/>
        </w:rPr>
        <w:t>Website:</w:t>
      </w:r>
      <w:r w:rsidRPr="00A241F5">
        <w:rPr>
          <w:rFonts w:cs="Arial"/>
          <w:b/>
          <w:i/>
          <w:color w:val="000000"/>
        </w:rPr>
        <w:tab/>
        <w:t>http://www.hkreform.gov.hk</w:t>
      </w:r>
    </w:p>
    <w:p w14:paraId="15D50F27" w14:textId="77777777" w:rsidR="001238F2" w:rsidRPr="00A241F5" w:rsidRDefault="001238F2" w:rsidP="001238F2">
      <w:pPr>
        <w:pStyle w:val="Heading1"/>
        <w:keepNext w:val="0"/>
      </w:pPr>
    </w:p>
    <w:p w14:paraId="29B31712" w14:textId="77777777" w:rsidR="001238F2" w:rsidRPr="00A241F5" w:rsidRDefault="001238F2" w:rsidP="001238F2">
      <w:pPr>
        <w:rPr>
          <w:rFonts w:cs="Arial"/>
        </w:rPr>
      </w:pPr>
    </w:p>
    <w:p w14:paraId="5688E774" w14:textId="77777777" w:rsidR="001238F2" w:rsidRPr="00A241F5" w:rsidRDefault="001238F2" w:rsidP="001238F2">
      <w:pPr>
        <w:pStyle w:val="Heading1"/>
        <w:keepNext w:val="0"/>
        <w:widowControl/>
        <w:rPr>
          <w:rFonts w:cs="Arial"/>
          <w:sz w:val="32"/>
          <w:szCs w:val="32"/>
        </w:rPr>
      </w:pPr>
    </w:p>
    <w:p w14:paraId="5D2425C8" w14:textId="77777777" w:rsidR="001238F2" w:rsidRPr="00A241F5" w:rsidRDefault="001238F2" w:rsidP="001238F2">
      <w:pPr>
        <w:sectPr w:rsidR="001238F2" w:rsidRPr="00A241F5" w:rsidSect="00AC7FE5">
          <w:footerReference w:type="first" r:id="rId11"/>
          <w:footnotePr>
            <w:numRestart w:val="eachSect"/>
          </w:footnotePr>
          <w:pgSz w:w="11909" w:h="16834" w:code="9"/>
          <w:pgMar w:top="1440" w:right="1800" w:bottom="1440" w:left="1800" w:header="720" w:footer="720" w:gutter="0"/>
          <w:pgNumType w:fmt="lowerRoman" w:start="1"/>
          <w:cols w:space="425"/>
          <w:titlePg/>
          <w:docGrid w:linePitch="360"/>
        </w:sectPr>
      </w:pPr>
    </w:p>
    <w:p w14:paraId="4ECA3EED" w14:textId="77777777" w:rsidR="001238F2" w:rsidRPr="00A241F5" w:rsidRDefault="001238F2" w:rsidP="001238F2">
      <w:pPr>
        <w:pStyle w:val="Heading1"/>
        <w:keepNext w:val="0"/>
        <w:widowControl/>
        <w:rPr>
          <w:rFonts w:cs="Arial"/>
          <w:smallCaps/>
          <w:sz w:val="32"/>
          <w:szCs w:val="32"/>
        </w:rPr>
      </w:pPr>
      <w:r w:rsidRPr="00A241F5">
        <w:rPr>
          <w:rFonts w:cs="Arial"/>
          <w:sz w:val="32"/>
          <w:szCs w:val="32"/>
        </w:rPr>
        <w:lastRenderedPageBreak/>
        <w:t>T</w:t>
      </w:r>
      <w:r w:rsidRPr="00A241F5">
        <w:rPr>
          <w:rFonts w:cs="Arial"/>
          <w:smallCaps/>
          <w:sz w:val="32"/>
          <w:szCs w:val="32"/>
        </w:rPr>
        <w:t>he Law Reform Commission</w:t>
      </w:r>
    </w:p>
    <w:p w14:paraId="3FDCD8B3" w14:textId="77777777" w:rsidR="001238F2" w:rsidRPr="00A241F5" w:rsidRDefault="001238F2" w:rsidP="001238F2">
      <w:pPr>
        <w:widowControl/>
        <w:rPr>
          <w:rFonts w:cs="Arial"/>
          <w:b/>
          <w:smallCaps/>
          <w:sz w:val="32"/>
          <w:szCs w:val="32"/>
        </w:rPr>
      </w:pPr>
      <w:r w:rsidRPr="00A241F5">
        <w:rPr>
          <w:rFonts w:cs="Arial"/>
          <w:b/>
          <w:smallCaps/>
          <w:sz w:val="32"/>
          <w:szCs w:val="32"/>
        </w:rPr>
        <w:t>of Hong Kong</w:t>
      </w:r>
    </w:p>
    <w:p w14:paraId="16721343" w14:textId="77777777" w:rsidR="001238F2" w:rsidRPr="00A241F5" w:rsidRDefault="001238F2" w:rsidP="001238F2">
      <w:pPr>
        <w:widowControl/>
        <w:rPr>
          <w:b/>
        </w:rPr>
      </w:pPr>
    </w:p>
    <w:p w14:paraId="3159A8B7" w14:textId="77777777" w:rsidR="001238F2" w:rsidRPr="00A241F5" w:rsidRDefault="001238F2" w:rsidP="001238F2">
      <w:pPr>
        <w:widowControl/>
        <w:rPr>
          <w:b/>
        </w:rPr>
      </w:pPr>
    </w:p>
    <w:p w14:paraId="57AA30DF" w14:textId="77777777" w:rsidR="001238F2" w:rsidRPr="00A241F5" w:rsidRDefault="001238F2" w:rsidP="001238F2">
      <w:pPr>
        <w:widowControl/>
        <w:rPr>
          <w:b/>
          <w:smallCaps/>
          <w:sz w:val="28"/>
          <w:szCs w:val="28"/>
        </w:rPr>
      </w:pPr>
      <w:r w:rsidRPr="00A241F5">
        <w:rPr>
          <w:rFonts w:hint="eastAsia"/>
          <w:b/>
          <w:smallCaps/>
          <w:sz w:val="28"/>
          <w:szCs w:val="28"/>
        </w:rPr>
        <w:t>Report</w:t>
      </w:r>
    </w:p>
    <w:p w14:paraId="3721C449" w14:textId="77777777" w:rsidR="001238F2" w:rsidRPr="00A241F5" w:rsidRDefault="001238F2" w:rsidP="001238F2">
      <w:pPr>
        <w:pStyle w:val="Heading1"/>
        <w:keepNext w:val="0"/>
        <w:widowControl/>
        <w:rPr>
          <w:smallCaps/>
          <w:sz w:val="24"/>
        </w:rPr>
      </w:pPr>
    </w:p>
    <w:p w14:paraId="2574063A" w14:textId="77777777" w:rsidR="001238F2" w:rsidRPr="00A241F5" w:rsidRDefault="001238F2" w:rsidP="001238F2">
      <w:pPr>
        <w:widowControl/>
      </w:pPr>
    </w:p>
    <w:p w14:paraId="6F1FB383" w14:textId="77777777" w:rsidR="001238F2" w:rsidRPr="00A241F5" w:rsidRDefault="001238F2" w:rsidP="001238F2">
      <w:pPr>
        <w:widowControl/>
        <w:rPr>
          <w:b/>
          <w:smallCaps/>
          <w:sz w:val="28"/>
          <w:szCs w:val="28"/>
        </w:rPr>
      </w:pPr>
      <w:r w:rsidRPr="00A241F5">
        <w:rPr>
          <w:b/>
          <w:smallCaps/>
          <w:sz w:val="28"/>
          <w:szCs w:val="28"/>
        </w:rPr>
        <w:t>Outcome Related Fee Structures</w:t>
      </w:r>
      <w:r w:rsidRPr="00A241F5">
        <w:rPr>
          <w:rFonts w:hint="eastAsia"/>
          <w:b/>
          <w:smallCaps/>
          <w:sz w:val="28"/>
          <w:szCs w:val="28"/>
        </w:rPr>
        <w:t xml:space="preserve"> </w:t>
      </w:r>
    </w:p>
    <w:p w14:paraId="2E369DA1" w14:textId="77777777" w:rsidR="001238F2" w:rsidRPr="00A241F5" w:rsidRDefault="001238F2" w:rsidP="001238F2">
      <w:pPr>
        <w:widowControl/>
        <w:rPr>
          <w:b/>
          <w:smallCaps/>
          <w:sz w:val="28"/>
          <w:szCs w:val="28"/>
        </w:rPr>
      </w:pPr>
      <w:r w:rsidRPr="00A241F5">
        <w:rPr>
          <w:rFonts w:hint="eastAsia"/>
          <w:b/>
          <w:smallCaps/>
          <w:sz w:val="28"/>
          <w:szCs w:val="28"/>
        </w:rPr>
        <w:t>for Arbitration</w:t>
      </w:r>
    </w:p>
    <w:p w14:paraId="0049F8D7" w14:textId="77777777" w:rsidR="001238F2" w:rsidRPr="00A241F5" w:rsidRDefault="001238F2" w:rsidP="001238F2">
      <w:pPr>
        <w:widowControl/>
      </w:pPr>
      <w:r w:rsidRPr="00A241F5">
        <w:t>_________________________________</w:t>
      </w:r>
    </w:p>
    <w:p w14:paraId="30DC114B" w14:textId="77777777" w:rsidR="001238F2" w:rsidRPr="00A241F5" w:rsidRDefault="001238F2" w:rsidP="001238F2">
      <w:pPr>
        <w:widowControl/>
      </w:pPr>
    </w:p>
    <w:p w14:paraId="05904524" w14:textId="77777777" w:rsidR="001238F2" w:rsidRPr="00A241F5" w:rsidRDefault="001238F2" w:rsidP="001238F2">
      <w:pPr>
        <w:widowControl/>
      </w:pPr>
    </w:p>
    <w:p w14:paraId="0AB91E3E" w14:textId="1CE0130C" w:rsidR="001238F2" w:rsidRPr="00A241F5" w:rsidRDefault="001238F2" w:rsidP="001238F2">
      <w:pPr>
        <w:widowControl/>
        <w:rPr>
          <w:b/>
          <w:i/>
        </w:rPr>
      </w:pPr>
      <w:r w:rsidRPr="00A241F5">
        <w:rPr>
          <w:b/>
          <w:i/>
        </w:rPr>
        <w:t>CONTENTS</w:t>
      </w:r>
      <w:bookmarkStart w:id="1" w:name="Contents"/>
      <w:bookmarkEnd w:id="1"/>
    </w:p>
    <w:p w14:paraId="7AC9F1C8" w14:textId="77777777" w:rsidR="001238F2" w:rsidRPr="00A241F5" w:rsidRDefault="001238F2" w:rsidP="001238F2">
      <w:pPr>
        <w:widowControl/>
      </w:pPr>
    </w:p>
    <w:p w14:paraId="304D8DE1" w14:textId="77777777" w:rsidR="001238F2" w:rsidRPr="00A241F5" w:rsidRDefault="001238F2" w:rsidP="001238F2">
      <w:pPr>
        <w:widowControl/>
      </w:pPr>
    </w:p>
    <w:p w14:paraId="2A48ACE8" w14:textId="77777777" w:rsidR="001238F2" w:rsidRPr="00A241F5" w:rsidRDefault="001238F2" w:rsidP="001238F2">
      <w:pPr>
        <w:widowControl/>
      </w:pPr>
    </w:p>
    <w:tbl>
      <w:tblPr>
        <w:tblW w:w="8380" w:type="dxa"/>
        <w:tblLayout w:type="fixed"/>
        <w:tblCellMar>
          <w:left w:w="28" w:type="dxa"/>
          <w:right w:w="28" w:type="dxa"/>
        </w:tblCellMar>
        <w:tblLook w:val="0000" w:firstRow="0" w:lastRow="0" w:firstColumn="0" w:lastColumn="0" w:noHBand="0" w:noVBand="0"/>
      </w:tblPr>
      <w:tblGrid>
        <w:gridCol w:w="7228"/>
        <w:gridCol w:w="1152"/>
      </w:tblGrid>
      <w:tr w:rsidR="001238F2" w:rsidRPr="00A241F5" w14:paraId="55CCC032" w14:textId="77777777" w:rsidTr="00343D09">
        <w:trPr>
          <w:tblHeader/>
        </w:trPr>
        <w:tc>
          <w:tcPr>
            <w:tcW w:w="7228" w:type="dxa"/>
          </w:tcPr>
          <w:p w14:paraId="411E14A7" w14:textId="77777777" w:rsidR="001238F2" w:rsidRPr="00A241F5" w:rsidRDefault="001238F2" w:rsidP="00AC7FE5">
            <w:pPr>
              <w:widowControl/>
              <w:spacing w:before="120" w:after="120"/>
              <w:ind w:right="332"/>
              <w:rPr>
                <w:b/>
                <w:i/>
              </w:rPr>
            </w:pPr>
            <w:r w:rsidRPr="00A241F5">
              <w:rPr>
                <w:b/>
                <w:i/>
              </w:rPr>
              <w:t>Chapter</w:t>
            </w:r>
          </w:p>
        </w:tc>
        <w:tc>
          <w:tcPr>
            <w:tcW w:w="1152" w:type="dxa"/>
          </w:tcPr>
          <w:p w14:paraId="3A0B1260" w14:textId="77777777" w:rsidR="001238F2" w:rsidRPr="00A241F5" w:rsidRDefault="001238F2" w:rsidP="00AC7FE5">
            <w:pPr>
              <w:widowControl/>
              <w:spacing w:before="120" w:after="120"/>
              <w:jc w:val="center"/>
              <w:rPr>
                <w:b/>
                <w:i/>
              </w:rPr>
            </w:pPr>
            <w:r w:rsidRPr="00A241F5">
              <w:rPr>
                <w:rFonts w:hint="eastAsia"/>
                <w:b/>
                <w:i/>
              </w:rPr>
              <w:t>Page</w:t>
            </w:r>
          </w:p>
        </w:tc>
      </w:tr>
      <w:tr w:rsidR="001238F2" w:rsidRPr="00A241F5" w14:paraId="3C51D389" w14:textId="77777777" w:rsidTr="00343D09">
        <w:trPr>
          <w:tblHeader/>
        </w:trPr>
        <w:tc>
          <w:tcPr>
            <w:tcW w:w="7228" w:type="dxa"/>
          </w:tcPr>
          <w:p w14:paraId="2AF61768" w14:textId="77777777" w:rsidR="001238F2" w:rsidRPr="00A241F5" w:rsidRDefault="001238F2" w:rsidP="00C06BB5">
            <w:pPr>
              <w:widowControl/>
              <w:tabs>
                <w:tab w:val="clear" w:pos="1418"/>
              </w:tabs>
              <w:spacing w:before="120" w:after="120"/>
              <w:ind w:right="332"/>
              <w:rPr>
                <w:b/>
              </w:rPr>
            </w:pPr>
          </w:p>
        </w:tc>
        <w:tc>
          <w:tcPr>
            <w:tcW w:w="1152" w:type="dxa"/>
          </w:tcPr>
          <w:p w14:paraId="3DECB112" w14:textId="77777777" w:rsidR="001238F2" w:rsidRPr="00A241F5" w:rsidRDefault="001238F2" w:rsidP="00AC7FE5">
            <w:pPr>
              <w:widowControl/>
              <w:spacing w:before="120" w:after="120"/>
              <w:jc w:val="center"/>
            </w:pPr>
          </w:p>
        </w:tc>
      </w:tr>
      <w:tr w:rsidR="001238F2" w:rsidRPr="00A241F5" w14:paraId="2B4CD2AE" w14:textId="77777777" w:rsidTr="00343D09">
        <w:tc>
          <w:tcPr>
            <w:tcW w:w="7228" w:type="dxa"/>
          </w:tcPr>
          <w:p w14:paraId="2A2CFA00" w14:textId="77777777" w:rsidR="001238F2" w:rsidRPr="00A241F5" w:rsidRDefault="001238F2" w:rsidP="00AC7FE5">
            <w:pPr>
              <w:widowControl/>
              <w:tabs>
                <w:tab w:val="left" w:pos="720"/>
              </w:tabs>
              <w:spacing w:before="120" w:after="120"/>
              <w:ind w:right="332"/>
              <w:rPr>
                <w:b/>
              </w:rPr>
            </w:pPr>
            <w:r w:rsidRPr="00A241F5">
              <w:rPr>
                <w:rFonts w:hint="eastAsia"/>
                <w:b/>
              </w:rPr>
              <w:t>Defined Terms</w:t>
            </w:r>
          </w:p>
        </w:tc>
        <w:tc>
          <w:tcPr>
            <w:tcW w:w="1152" w:type="dxa"/>
          </w:tcPr>
          <w:p w14:paraId="1A7F9391" w14:textId="2E6C817F" w:rsidR="001238F2" w:rsidRPr="00A241F5" w:rsidRDefault="00043930" w:rsidP="00AC7FE5">
            <w:pPr>
              <w:widowControl/>
              <w:spacing w:before="120" w:after="120"/>
              <w:jc w:val="center"/>
            </w:pPr>
            <w:r w:rsidRPr="00A241F5">
              <w:t>1</w:t>
            </w:r>
          </w:p>
        </w:tc>
      </w:tr>
      <w:tr w:rsidR="001238F2" w:rsidRPr="00A241F5" w14:paraId="4B8286AC" w14:textId="77777777" w:rsidTr="00343D09">
        <w:trPr>
          <w:trHeight w:val="269"/>
        </w:trPr>
        <w:tc>
          <w:tcPr>
            <w:tcW w:w="7228" w:type="dxa"/>
          </w:tcPr>
          <w:p w14:paraId="3D3B2F1C" w14:textId="77777777" w:rsidR="001238F2" w:rsidRPr="00A241F5" w:rsidRDefault="001238F2" w:rsidP="00AC7FE5">
            <w:pPr>
              <w:widowControl/>
              <w:tabs>
                <w:tab w:val="left" w:pos="720"/>
              </w:tabs>
              <w:spacing w:before="120" w:after="120"/>
              <w:ind w:right="332"/>
              <w:rPr>
                <w:b/>
              </w:rPr>
            </w:pPr>
          </w:p>
        </w:tc>
        <w:tc>
          <w:tcPr>
            <w:tcW w:w="1152" w:type="dxa"/>
          </w:tcPr>
          <w:p w14:paraId="228B0D1B" w14:textId="77777777" w:rsidR="001238F2" w:rsidRPr="00A241F5" w:rsidRDefault="001238F2" w:rsidP="00AC7FE5">
            <w:pPr>
              <w:widowControl/>
              <w:spacing w:before="120" w:after="120"/>
              <w:jc w:val="center"/>
            </w:pPr>
          </w:p>
        </w:tc>
      </w:tr>
      <w:tr w:rsidR="001238F2" w:rsidRPr="00A241F5" w14:paraId="4719C3F5" w14:textId="77777777" w:rsidTr="00343D09">
        <w:tc>
          <w:tcPr>
            <w:tcW w:w="7228" w:type="dxa"/>
          </w:tcPr>
          <w:p w14:paraId="6975415C" w14:textId="77777777" w:rsidR="001238F2" w:rsidRPr="00A241F5" w:rsidRDefault="001238F2" w:rsidP="00AC7FE5">
            <w:pPr>
              <w:widowControl/>
              <w:tabs>
                <w:tab w:val="left" w:pos="720"/>
              </w:tabs>
              <w:spacing w:before="120" w:after="120"/>
              <w:ind w:right="332"/>
              <w:rPr>
                <w:b/>
              </w:rPr>
            </w:pPr>
            <w:r w:rsidRPr="00A241F5">
              <w:rPr>
                <w:rFonts w:hint="eastAsia"/>
                <w:b/>
              </w:rPr>
              <w:t>1.</w:t>
            </w:r>
            <w:r w:rsidRPr="00A241F5">
              <w:rPr>
                <w:b/>
              </w:rPr>
              <w:tab/>
            </w:r>
            <w:r w:rsidRPr="00A241F5">
              <w:rPr>
                <w:rFonts w:hint="eastAsia"/>
                <w:b/>
              </w:rPr>
              <w:t>Introduction</w:t>
            </w:r>
          </w:p>
        </w:tc>
        <w:tc>
          <w:tcPr>
            <w:tcW w:w="1152" w:type="dxa"/>
          </w:tcPr>
          <w:p w14:paraId="52594E32" w14:textId="3E409AAD" w:rsidR="001238F2" w:rsidRPr="00A241F5" w:rsidRDefault="00043930" w:rsidP="00AC7FE5">
            <w:pPr>
              <w:widowControl/>
              <w:spacing w:before="120" w:after="120"/>
              <w:jc w:val="center"/>
            </w:pPr>
            <w:r w:rsidRPr="00A241F5">
              <w:t>6</w:t>
            </w:r>
          </w:p>
        </w:tc>
      </w:tr>
      <w:tr w:rsidR="0047011D" w:rsidRPr="00A241F5" w14:paraId="2E5FEEF4" w14:textId="77777777" w:rsidTr="00343D09">
        <w:tc>
          <w:tcPr>
            <w:tcW w:w="7228" w:type="dxa"/>
          </w:tcPr>
          <w:p w14:paraId="6844EA85" w14:textId="27D2D988" w:rsidR="0047011D" w:rsidRPr="00A241F5" w:rsidRDefault="0047011D" w:rsidP="0047011D">
            <w:pPr>
              <w:widowControl/>
              <w:tabs>
                <w:tab w:val="left" w:pos="720"/>
              </w:tabs>
              <w:spacing w:before="120" w:after="120"/>
              <w:ind w:right="332"/>
            </w:pPr>
            <w:r w:rsidRPr="00A241F5">
              <w:t>Background</w:t>
            </w:r>
          </w:p>
        </w:tc>
        <w:tc>
          <w:tcPr>
            <w:tcW w:w="1152" w:type="dxa"/>
          </w:tcPr>
          <w:p w14:paraId="36E5F11E" w14:textId="4B9B861A" w:rsidR="0047011D" w:rsidRPr="00A241F5" w:rsidRDefault="00043930" w:rsidP="00395209">
            <w:pPr>
              <w:widowControl/>
              <w:spacing w:before="120" w:after="120"/>
              <w:jc w:val="center"/>
            </w:pPr>
            <w:r w:rsidRPr="00A241F5">
              <w:t>6</w:t>
            </w:r>
          </w:p>
        </w:tc>
      </w:tr>
      <w:tr w:rsidR="001238F2" w:rsidRPr="00A241F5" w14:paraId="700443A1" w14:textId="77777777" w:rsidTr="00343D09">
        <w:tc>
          <w:tcPr>
            <w:tcW w:w="7228" w:type="dxa"/>
          </w:tcPr>
          <w:p w14:paraId="2CCB1AA0" w14:textId="77777777" w:rsidR="001238F2" w:rsidRPr="00A241F5" w:rsidRDefault="001238F2" w:rsidP="00C06BB5">
            <w:pPr>
              <w:widowControl/>
              <w:tabs>
                <w:tab w:val="left" w:pos="720"/>
              </w:tabs>
              <w:spacing w:before="120" w:after="120"/>
              <w:ind w:left="720" w:right="331"/>
            </w:pPr>
            <w:r w:rsidRPr="00A241F5">
              <w:t>What are Outcome Related Fee Structures?</w:t>
            </w:r>
          </w:p>
        </w:tc>
        <w:tc>
          <w:tcPr>
            <w:tcW w:w="1152" w:type="dxa"/>
          </w:tcPr>
          <w:p w14:paraId="06C93509" w14:textId="4B727D6E" w:rsidR="001238F2" w:rsidRPr="00A241F5" w:rsidRDefault="00043930" w:rsidP="00AC7FE5">
            <w:pPr>
              <w:widowControl/>
              <w:spacing w:before="120" w:after="120"/>
              <w:jc w:val="center"/>
            </w:pPr>
            <w:r w:rsidRPr="00A241F5">
              <w:t>6</w:t>
            </w:r>
          </w:p>
        </w:tc>
      </w:tr>
      <w:tr w:rsidR="001238F2" w:rsidRPr="00A241F5" w14:paraId="2E318CE7" w14:textId="77777777" w:rsidTr="00343D09">
        <w:tc>
          <w:tcPr>
            <w:tcW w:w="7228" w:type="dxa"/>
          </w:tcPr>
          <w:p w14:paraId="6EA35B84" w14:textId="77777777" w:rsidR="001238F2" w:rsidRPr="00A241F5" w:rsidRDefault="001238F2" w:rsidP="0047011D">
            <w:pPr>
              <w:widowControl/>
              <w:tabs>
                <w:tab w:val="left" w:pos="720"/>
              </w:tabs>
              <w:spacing w:before="120" w:after="120"/>
              <w:ind w:left="1080" w:right="331" w:hanging="360"/>
            </w:pPr>
            <w:r w:rsidRPr="00A241F5">
              <w:rPr>
                <w:rFonts w:cs="Arial"/>
                <w:iCs/>
              </w:rPr>
              <w:t>The need to change the law in Hong Kong relating to ORFSs for Arbitration</w:t>
            </w:r>
          </w:p>
        </w:tc>
        <w:tc>
          <w:tcPr>
            <w:tcW w:w="1152" w:type="dxa"/>
          </w:tcPr>
          <w:p w14:paraId="0BFAC3AD" w14:textId="5D29A0C3" w:rsidR="001238F2" w:rsidRPr="00A241F5" w:rsidRDefault="00043930" w:rsidP="00AC7FE5">
            <w:pPr>
              <w:widowControl/>
              <w:spacing w:before="120" w:after="120"/>
              <w:jc w:val="center"/>
            </w:pPr>
            <w:r w:rsidRPr="00A241F5">
              <w:t>8</w:t>
            </w:r>
          </w:p>
        </w:tc>
      </w:tr>
      <w:tr w:rsidR="001238F2" w:rsidRPr="00A241F5" w14:paraId="55A0A29E" w14:textId="77777777" w:rsidTr="00343D09">
        <w:tc>
          <w:tcPr>
            <w:tcW w:w="7228" w:type="dxa"/>
          </w:tcPr>
          <w:p w14:paraId="3DF75794" w14:textId="77777777" w:rsidR="001238F2" w:rsidRPr="00A241F5" w:rsidRDefault="001238F2" w:rsidP="00C06BB5">
            <w:pPr>
              <w:widowControl/>
              <w:tabs>
                <w:tab w:val="left" w:pos="720"/>
              </w:tabs>
              <w:spacing w:before="120" w:after="120"/>
              <w:ind w:right="332"/>
            </w:pPr>
            <w:r w:rsidRPr="00A241F5">
              <w:rPr>
                <w:rFonts w:hint="eastAsia"/>
              </w:rPr>
              <w:t>The LRC Sub-committee</w:t>
            </w:r>
          </w:p>
        </w:tc>
        <w:tc>
          <w:tcPr>
            <w:tcW w:w="1152" w:type="dxa"/>
          </w:tcPr>
          <w:p w14:paraId="54E7A48D" w14:textId="1F27D121" w:rsidR="001238F2" w:rsidRPr="00A241F5" w:rsidRDefault="00043930" w:rsidP="00AC7FE5">
            <w:pPr>
              <w:widowControl/>
              <w:spacing w:before="120" w:after="120"/>
              <w:jc w:val="center"/>
            </w:pPr>
            <w:r w:rsidRPr="00A241F5">
              <w:t>9</w:t>
            </w:r>
          </w:p>
        </w:tc>
      </w:tr>
      <w:tr w:rsidR="00C06BB5" w:rsidRPr="00A241F5" w14:paraId="2320E352" w14:textId="77777777" w:rsidTr="00343D09">
        <w:tc>
          <w:tcPr>
            <w:tcW w:w="7228" w:type="dxa"/>
          </w:tcPr>
          <w:p w14:paraId="172F66DF" w14:textId="21C88EA2" w:rsidR="00C06BB5" w:rsidRPr="00A241F5" w:rsidRDefault="00C06BB5" w:rsidP="00C06BB5">
            <w:pPr>
              <w:widowControl/>
              <w:tabs>
                <w:tab w:val="left" w:pos="720"/>
              </w:tabs>
              <w:spacing w:before="120" w:after="120"/>
              <w:ind w:left="720" w:right="332"/>
            </w:pPr>
            <w:r w:rsidRPr="00A241F5">
              <w:rPr>
                <w:rFonts w:hint="eastAsia"/>
              </w:rPr>
              <w:t>Terms of reference</w:t>
            </w:r>
          </w:p>
        </w:tc>
        <w:tc>
          <w:tcPr>
            <w:tcW w:w="1152" w:type="dxa"/>
          </w:tcPr>
          <w:p w14:paraId="108A425F" w14:textId="737C5F48" w:rsidR="00C06BB5" w:rsidRPr="00A241F5" w:rsidRDefault="00043930" w:rsidP="00AC7FE5">
            <w:pPr>
              <w:widowControl/>
              <w:spacing w:before="120" w:after="120"/>
              <w:jc w:val="center"/>
            </w:pPr>
            <w:r w:rsidRPr="00A241F5">
              <w:t>9</w:t>
            </w:r>
          </w:p>
        </w:tc>
      </w:tr>
      <w:tr w:rsidR="00C06BB5" w:rsidRPr="00A241F5" w14:paraId="45C534B0" w14:textId="77777777" w:rsidTr="00343D09">
        <w:tc>
          <w:tcPr>
            <w:tcW w:w="7228" w:type="dxa"/>
          </w:tcPr>
          <w:p w14:paraId="41DA17B5" w14:textId="6DDA2BBD" w:rsidR="00C06BB5" w:rsidRPr="00A241F5" w:rsidRDefault="00C06BB5" w:rsidP="00C06BB5">
            <w:pPr>
              <w:widowControl/>
              <w:tabs>
                <w:tab w:val="left" w:pos="720"/>
              </w:tabs>
              <w:spacing w:before="120" w:after="120"/>
              <w:ind w:left="720" w:right="332"/>
            </w:pPr>
            <w:r w:rsidRPr="00A241F5">
              <w:rPr>
                <w:rFonts w:hint="eastAsia"/>
              </w:rPr>
              <w:t>Membership of the Sub-committee</w:t>
            </w:r>
          </w:p>
        </w:tc>
        <w:tc>
          <w:tcPr>
            <w:tcW w:w="1152" w:type="dxa"/>
          </w:tcPr>
          <w:p w14:paraId="66CC46CE" w14:textId="6E34DB58" w:rsidR="00C06BB5" w:rsidRPr="00A241F5" w:rsidRDefault="00043930" w:rsidP="00AC7FE5">
            <w:pPr>
              <w:widowControl/>
              <w:spacing w:before="120" w:after="120"/>
              <w:jc w:val="center"/>
            </w:pPr>
            <w:r w:rsidRPr="00A241F5">
              <w:t>9</w:t>
            </w:r>
          </w:p>
        </w:tc>
      </w:tr>
      <w:tr w:rsidR="001238F2" w:rsidRPr="00A241F5" w14:paraId="2DAFCC66" w14:textId="77777777" w:rsidTr="00343D09">
        <w:tc>
          <w:tcPr>
            <w:tcW w:w="7228" w:type="dxa"/>
          </w:tcPr>
          <w:p w14:paraId="5C1C7BBC" w14:textId="3D2F623B" w:rsidR="001238F2" w:rsidRPr="00A241F5" w:rsidRDefault="001238F2" w:rsidP="00A10EC2">
            <w:pPr>
              <w:widowControl/>
              <w:tabs>
                <w:tab w:val="left" w:pos="720"/>
              </w:tabs>
              <w:spacing w:before="120" w:after="120"/>
              <w:ind w:right="331"/>
            </w:pPr>
            <w:r w:rsidRPr="00A241F5">
              <w:rPr>
                <w:rFonts w:hint="eastAsia"/>
              </w:rPr>
              <w:t xml:space="preserve">The </w:t>
            </w:r>
            <w:r w:rsidR="00A10EC2" w:rsidRPr="00A241F5">
              <w:t>c</w:t>
            </w:r>
            <w:r w:rsidRPr="00A241F5">
              <w:rPr>
                <w:rFonts w:hint="eastAsia"/>
              </w:rPr>
              <w:t>onsultation process</w:t>
            </w:r>
          </w:p>
        </w:tc>
        <w:tc>
          <w:tcPr>
            <w:tcW w:w="1152" w:type="dxa"/>
          </w:tcPr>
          <w:p w14:paraId="4BC3B2D1" w14:textId="7EA6D64B" w:rsidR="001238F2" w:rsidRPr="00A241F5" w:rsidRDefault="00CA7C72" w:rsidP="00AC7FE5">
            <w:pPr>
              <w:widowControl/>
              <w:spacing w:before="120" w:after="120"/>
              <w:jc w:val="center"/>
            </w:pPr>
            <w:r>
              <w:t>9</w:t>
            </w:r>
          </w:p>
        </w:tc>
      </w:tr>
      <w:tr w:rsidR="001238F2" w:rsidRPr="00A241F5" w14:paraId="5DE65F15" w14:textId="77777777" w:rsidTr="00343D09">
        <w:tc>
          <w:tcPr>
            <w:tcW w:w="7228" w:type="dxa"/>
          </w:tcPr>
          <w:p w14:paraId="4C41420A" w14:textId="77777777" w:rsidR="001238F2" w:rsidRPr="00A241F5" w:rsidRDefault="001238F2" w:rsidP="00AC7FE5">
            <w:pPr>
              <w:widowControl/>
              <w:tabs>
                <w:tab w:val="left" w:pos="720"/>
              </w:tabs>
              <w:spacing w:before="120" w:after="120"/>
              <w:ind w:left="1080" w:right="331" w:hanging="360"/>
            </w:pPr>
          </w:p>
        </w:tc>
        <w:tc>
          <w:tcPr>
            <w:tcW w:w="1152" w:type="dxa"/>
          </w:tcPr>
          <w:p w14:paraId="7E8F636E" w14:textId="77777777" w:rsidR="001238F2" w:rsidRPr="00A241F5" w:rsidRDefault="001238F2" w:rsidP="00AC7FE5">
            <w:pPr>
              <w:widowControl/>
              <w:spacing w:before="120" w:after="120"/>
              <w:jc w:val="center"/>
            </w:pPr>
          </w:p>
        </w:tc>
      </w:tr>
      <w:tr w:rsidR="001238F2" w:rsidRPr="00A241F5" w14:paraId="31C620AB" w14:textId="77777777" w:rsidTr="00343D09">
        <w:tc>
          <w:tcPr>
            <w:tcW w:w="7228" w:type="dxa"/>
          </w:tcPr>
          <w:p w14:paraId="351A8DC2" w14:textId="55104B38" w:rsidR="001238F2" w:rsidRPr="00A241F5" w:rsidRDefault="00AB3F49" w:rsidP="00924633">
            <w:pPr>
              <w:widowControl/>
              <w:tabs>
                <w:tab w:val="left" w:pos="720"/>
              </w:tabs>
              <w:spacing w:before="120" w:after="120"/>
              <w:ind w:left="720" w:right="331" w:hanging="720"/>
              <w:jc w:val="left"/>
              <w:rPr>
                <w:b/>
              </w:rPr>
            </w:pPr>
            <w:r w:rsidRPr="00A241F5">
              <w:rPr>
                <w:b/>
              </w:rPr>
              <w:t>2</w:t>
            </w:r>
            <w:r w:rsidR="001238F2" w:rsidRPr="00A241F5">
              <w:rPr>
                <w:b/>
              </w:rPr>
              <w:t>.</w:t>
            </w:r>
            <w:r w:rsidR="001238F2" w:rsidRPr="00A241F5">
              <w:rPr>
                <w:b/>
              </w:rPr>
              <w:tab/>
            </w:r>
            <w:r w:rsidR="00924633" w:rsidRPr="00A241F5">
              <w:rPr>
                <w:b/>
              </w:rPr>
              <w:t>Lifting p</w:t>
            </w:r>
            <w:r w:rsidR="001238F2" w:rsidRPr="00A241F5">
              <w:rPr>
                <w:b/>
              </w:rPr>
              <w:t xml:space="preserve">rohibitions on the use of CFAs </w:t>
            </w:r>
            <w:r w:rsidR="00924633" w:rsidRPr="00A241F5">
              <w:rPr>
                <w:b/>
              </w:rPr>
              <w:t xml:space="preserve">by Lawyers </w:t>
            </w:r>
            <w:r w:rsidR="001238F2" w:rsidRPr="00A241F5">
              <w:rPr>
                <w:b/>
              </w:rPr>
              <w:t xml:space="preserve">in Arbitration </w:t>
            </w:r>
          </w:p>
        </w:tc>
        <w:tc>
          <w:tcPr>
            <w:tcW w:w="1152" w:type="dxa"/>
          </w:tcPr>
          <w:p w14:paraId="56BD2876" w14:textId="5E1E15EA" w:rsidR="001238F2" w:rsidRPr="00A241F5" w:rsidRDefault="00043930" w:rsidP="00AC7FE5">
            <w:pPr>
              <w:widowControl/>
              <w:spacing w:before="120" w:after="120"/>
              <w:jc w:val="center"/>
            </w:pPr>
            <w:r w:rsidRPr="00A241F5">
              <w:t>11</w:t>
            </w:r>
          </w:p>
        </w:tc>
      </w:tr>
      <w:tr w:rsidR="001238F2" w:rsidRPr="00A241F5" w14:paraId="0BC6B254" w14:textId="77777777" w:rsidTr="00343D09">
        <w:tc>
          <w:tcPr>
            <w:tcW w:w="7228" w:type="dxa"/>
          </w:tcPr>
          <w:p w14:paraId="18E005E2" w14:textId="51C61B35" w:rsidR="001238F2" w:rsidRPr="00A241F5" w:rsidRDefault="001238F2" w:rsidP="00C06BB5">
            <w:pPr>
              <w:widowControl/>
              <w:tabs>
                <w:tab w:val="left" w:pos="720"/>
              </w:tabs>
              <w:spacing w:before="120" w:after="120"/>
              <w:ind w:left="360" w:right="331" w:hanging="360"/>
            </w:pPr>
            <w:r w:rsidRPr="00A241F5">
              <w:t>R</w:t>
            </w:r>
            <w:r w:rsidRPr="00A241F5">
              <w:rPr>
                <w:rFonts w:hint="eastAsia"/>
              </w:rPr>
              <w:t>esponses to the Sub-committee</w:t>
            </w:r>
            <w:r w:rsidR="00C61F4B" w:rsidRPr="00A241F5">
              <w:t>'</w:t>
            </w:r>
            <w:r w:rsidRPr="00A241F5">
              <w:rPr>
                <w:rFonts w:hint="eastAsia"/>
              </w:rPr>
              <w:t>s Recommendation</w:t>
            </w:r>
            <w:r w:rsidRPr="00A241F5">
              <w:t xml:space="preserve"> 1</w:t>
            </w:r>
          </w:p>
        </w:tc>
        <w:tc>
          <w:tcPr>
            <w:tcW w:w="1152" w:type="dxa"/>
          </w:tcPr>
          <w:p w14:paraId="654E66B2" w14:textId="634DED7B" w:rsidR="001238F2" w:rsidRPr="00A241F5" w:rsidRDefault="00043930" w:rsidP="00AC7FE5">
            <w:pPr>
              <w:widowControl/>
              <w:spacing w:before="120" w:after="120"/>
              <w:jc w:val="center"/>
            </w:pPr>
            <w:r w:rsidRPr="00A241F5">
              <w:t>11</w:t>
            </w:r>
          </w:p>
        </w:tc>
      </w:tr>
      <w:tr w:rsidR="001238F2" w:rsidRPr="00A241F5" w14:paraId="480A9AD2" w14:textId="77777777" w:rsidTr="00343D09">
        <w:tc>
          <w:tcPr>
            <w:tcW w:w="7228" w:type="dxa"/>
          </w:tcPr>
          <w:p w14:paraId="60B3F710" w14:textId="10EFA3B6" w:rsidR="001238F2" w:rsidRPr="00A241F5" w:rsidRDefault="001238F2" w:rsidP="00043930">
            <w:pPr>
              <w:widowControl/>
              <w:tabs>
                <w:tab w:val="left" w:pos="720"/>
              </w:tabs>
              <w:spacing w:before="120" w:after="120"/>
              <w:ind w:left="1080" w:right="331" w:hanging="360"/>
              <w:jc w:val="left"/>
            </w:pPr>
            <w:r w:rsidRPr="00A241F5">
              <w:rPr>
                <w:rFonts w:hint="eastAsia"/>
              </w:rPr>
              <w:t xml:space="preserve">Comments from Respondents </w:t>
            </w:r>
            <w:r w:rsidRPr="00A241F5">
              <w:t xml:space="preserve">who </w:t>
            </w:r>
            <w:r w:rsidRPr="00A241F5">
              <w:rPr>
                <w:rFonts w:hint="eastAsia"/>
              </w:rPr>
              <w:t xml:space="preserve">supported </w:t>
            </w:r>
            <w:r w:rsidR="00AC7FE5" w:rsidRPr="00A241F5">
              <w:t>R</w:t>
            </w:r>
            <w:r w:rsidRPr="00A241F5">
              <w:rPr>
                <w:rFonts w:hint="eastAsia"/>
              </w:rPr>
              <w:t>ecommendation</w:t>
            </w:r>
            <w:r w:rsidR="00AC7FE5" w:rsidRPr="00A241F5">
              <w:t xml:space="preserve"> 1</w:t>
            </w:r>
          </w:p>
        </w:tc>
        <w:tc>
          <w:tcPr>
            <w:tcW w:w="1152" w:type="dxa"/>
          </w:tcPr>
          <w:p w14:paraId="731A03A4" w14:textId="1DC23FFA" w:rsidR="001238F2" w:rsidRPr="00A241F5" w:rsidRDefault="00043930" w:rsidP="00AC7FE5">
            <w:pPr>
              <w:widowControl/>
              <w:spacing w:before="120" w:after="120"/>
              <w:jc w:val="center"/>
            </w:pPr>
            <w:r w:rsidRPr="00A241F5">
              <w:t>11</w:t>
            </w:r>
          </w:p>
        </w:tc>
      </w:tr>
      <w:tr w:rsidR="001238F2" w:rsidRPr="00A241F5" w14:paraId="54B4EA19" w14:textId="77777777" w:rsidTr="00343D09">
        <w:tc>
          <w:tcPr>
            <w:tcW w:w="7228" w:type="dxa"/>
          </w:tcPr>
          <w:p w14:paraId="59E24806" w14:textId="167A1068" w:rsidR="001238F2" w:rsidRPr="00A241F5" w:rsidRDefault="001238F2" w:rsidP="00043930">
            <w:pPr>
              <w:widowControl/>
              <w:tabs>
                <w:tab w:val="left" w:pos="720"/>
              </w:tabs>
              <w:spacing w:before="120" w:after="120"/>
              <w:ind w:left="1080" w:right="331" w:hanging="360"/>
              <w:jc w:val="left"/>
            </w:pPr>
            <w:r w:rsidRPr="00A241F5">
              <w:rPr>
                <w:rFonts w:hint="eastAsia"/>
              </w:rPr>
              <w:lastRenderedPageBreak/>
              <w:t xml:space="preserve">Comments from </w:t>
            </w:r>
            <w:r w:rsidR="00AC7FE5" w:rsidRPr="00A241F5">
              <w:t xml:space="preserve">the </w:t>
            </w:r>
            <w:r w:rsidRPr="00A241F5">
              <w:rPr>
                <w:rFonts w:hint="eastAsia"/>
              </w:rPr>
              <w:t xml:space="preserve">Respondent </w:t>
            </w:r>
            <w:r w:rsidRPr="00A241F5">
              <w:t xml:space="preserve">who </w:t>
            </w:r>
            <w:r w:rsidRPr="00A241F5">
              <w:rPr>
                <w:rFonts w:hint="eastAsia"/>
              </w:rPr>
              <w:t xml:space="preserve">opposed </w:t>
            </w:r>
            <w:r w:rsidR="00AC7FE5" w:rsidRPr="00A241F5">
              <w:t>R</w:t>
            </w:r>
            <w:r w:rsidRPr="00A241F5">
              <w:rPr>
                <w:rFonts w:hint="eastAsia"/>
              </w:rPr>
              <w:t>ecommendation</w:t>
            </w:r>
            <w:r w:rsidR="003F2342" w:rsidRPr="00A241F5">
              <w:t xml:space="preserve"> 1</w:t>
            </w:r>
          </w:p>
        </w:tc>
        <w:tc>
          <w:tcPr>
            <w:tcW w:w="1152" w:type="dxa"/>
          </w:tcPr>
          <w:p w14:paraId="58F1F0EF" w14:textId="33DD7CDD" w:rsidR="001238F2" w:rsidRPr="00A241F5" w:rsidRDefault="00043930" w:rsidP="00AC7FE5">
            <w:pPr>
              <w:widowControl/>
              <w:spacing w:before="120" w:after="120"/>
              <w:jc w:val="center"/>
            </w:pPr>
            <w:r w:rsidRPr="00A241F5">
              <w:t>13</w:t>
            </w:r>
          </w:p>
        </w:tc>
      </w:tr>
      <w:tr w:rsidR="001238F2" w:rsidRPr="00A241F5" w14:paraId="2210DAB1" w14:textId="77777777" w:rsidTr="00343D09">
        <w:tc>
          <w:tcPr>
            <w:tcW w:w="7228" w:type="dxa"/>
          </w:tcPr>
          <w:p w14:paraId="3B85A2CA" w14:textId="77777777" w:rsidR="001238F2" w:rsidRPr="00A241F5" w:rsidRDefault="001238F2" w:rsidP="003F2342">
            <w:pPr>
              <w:widowControl/>
              <w:tabs>
                <w:tab w:val="left" w:pos="720"/>
              </w:tabs>
              <w:spacing w:before="120" w:after="120"/>
              <w:ind w:right="331"/>
            </w:pPr>
            <w:r w:rsidRPr="00A241F5">
              <w:rPr>
                <w:rFonts w:hint="eastAsia"/>
              </w:rPr>
              <w:t>Our analysis and response</w:t>
            </w:r>
          </w:p>
        </w:tc>
        <w:tc>
          <w:tcPr>
            <w:tcW w:w="1152" w:type="dxa"/>
          </w:tcPr>
          <w:p w14:paraId="10C2F3D5" w14:textId="2F76D8C6" w:rsidR="001238F2" w:rsidRPr="00A241F5" w:rsidRDefault="00043930" w:rsidP="00AC7FE5">
            <w:pPr>
              <w:widowControl/>
              <w:spacing w:before="120" w:after="120"/>
              <w:jc w:val="center"/>
            </w:pPr>
            <w:r w:rsidRPr="00A241F5">
              <w:t>13</w:t>
            </w:r>
          </w:p>
        </w:tc>
      </w:tr>
      <w:tr w:rsidR="001238F2" w:rsidRPr="00A241F5" w14:paraId="002B22AB" w14:textId="77777777" w:rsidTr="00343D09">
        <w:tc>
          <w:tcPr>
            <w:tcW w:w="7228" w:type="dxa"/>
          </w:tcPr>
          <w:p w14:paraId="7BA2877F" w14:textId="77777777" w:rsidR="001238F2" w:rsidRPr="00A241F5" w:rsidRDefault="001238F2" w:rsidP="003F2342">
            <w:pPr>
              <w:widowControl/>
              <w:tabs>
                <w:tab w:val="left" w:pos="720"/>
              </w:tabs>
              <w:spacing w:before="120" w:after="120"/>
              <w:ind w:left="1080" w:right="331" w:hanging="360"/>
            </w:pPr>
            <w:r w:rsidRPr="00A241F5">
              <w:t>Response to objections</w:t>
            </w:r>
          </w:p>
        </w:tc>
        <w:tc>
          <w:tcPr>
            <w:tcW w:w="1152" w:type="dxa"/>
          </w:tcPr>
          <w:p w14:paraId="2535131E" w14:textId="1CBDE877" w:rsidR="001238F2" w:rsidRPr="00A241F5" w:rsidRDefault="00043930" w:rsidP="00AC7FE5">
            <w:pPr>
              <w:widowControl/>
              <w:spacing w:before="120" w:after="120"/>
              <w:jc w:val="center"/>
            </w:pPr>
            <w:r w:rsidRPr="00A241F5">
              <w:t>14</w:t>
            </w:r>
          </w:p>
        </w:tc>
      </w:tr>
      <w:tr w:rsidR="00AB3F49" w:rsidRPr="00A241F5" w14:paraId="036F1FB3" w14:textId="77777777" w:rsidTr="00343D09">
        <w:tc>
          <w:tcPr>
            <w:tcW w:w="7228" w:type="dxa"/>
          </w:tcPr>
          <w:p w14:paraId="18750E32" w14:textId="77777777" w:rsidR="00AB3F49" w:rsidRPr="00A241F5" w:rsidRDefault="00AB3F49" w:rsidP="00AC7FE5">
            <w:pPr>
              <w:widowControl/>
              <w:tabs>
                <w:tab w:val="left" w:pos="720"/>
              </w:tabs>
              <w:spacing w:before="120" w:after="120"/>
              <w:ind w:left="1440" w:right="331"/>
            </w:pPr>
          </w:p>
        </w:tc>
        <w:tc>
          <w:tcPr>
            <w:tcW w:w="1152" w:type="dxa"/>
          </w:tcPr>
          <w:p w14:paraId="5DAE513B" w14:textId="77777777" w:rsidR="00AB3F49" w:rsidRPr="00A241F5" w:rsidRDefault="00AB3F49" w:rsidP="00AC7FE5">
            <w:pPr>
              <w:widowControl/>
              <w:spacing w:before="120" w:after="120"/>
              <w:jc w:val="center"/>
            </w:pPr>
          </w:p>
        </w:tc>
      </w:tr>
      <w:tr w:rsidR="001238F2" w:rsidRPr="00A241F5" w14:paraId="53632114" w14:textId="77777777" w:rsidTr="00343D09">
        <w:tc>
          <w:tcPr>
            <w:tcW w:w="7228" w:type="dxa"/>
          </w:tcPr>
          <w:p w14:paraId="3F673B2B" w14:textId="5EF867F1" w:rsidR="001238F2" w:rsidRPr="00A241F5" w:rsidRDefault="00AB3F49">
            <w:pPr>
              <w:widowControl/>
              <w:tabs>
                <w:tab w:val="left" w:pos="720"/>
              </w:tabs>
              <w:spacing w:before="120" w:after="120"/>
              <w:ind w:left="720" w:right="331" w:hanging="720"/>
              <w:jc w:val="left"/>
              <w:rPr>
                <w:b/>
              </w:rPr>
            </w:pPr>
            <w:r w:rsidRPr="00A241F5">
              <w:rPr>
                <w:b/>
              </w:rPr>
              <w:t>3</w:t>
            </w:r>
            <w:r w:rsidR="001238F2" w:rsidRPr="00A241F5">
              <w:rPr>
                <w:rFonts w:hint="eastAsia"/>
                <w:b/>
              </w:rPr>
              <w:t>.</w:t>
            </w:r>
            <w:r w:rsidR="001238F2" w:rsidRPr="00A241F5">
              <w:rPr>
                <w:b/>
              </w:rPr>
              <w:tab/>
            </w:r>
            <w:r w:rsidR="00C06BB5" w:rsidRPr="00A241F5">
              <w:rPr>
                <w:b/>
              </w:rPr>
              <w:t>Recoverability of Success Fee premium and Legal Expense Insurance premium from the unsuccessful party under CFAs</w:t>
            </w:r>
          </w:p>
        </w:tc>
        <w:tc>
          <w:tcPr>
            <w:tcW w:w="1152" w:type="dxa"/>
          </w:tcPr>
          <w:p w14:paraId="7655C493" w14:textId="0E69B945" w:rsidR="001238F2" w:rsidRPr="00A241F5" w:rsidRDefault="00043930" w:rsidP="00AC7FE5">
            <w:pPr>
              <w:widowControl/>
              <w:spacing w:before="120" w:after="120"/>
              <w:jc w:val="center"/>
            </w:pPr>
            <w:r w:rsidRPr="00A241F5">
              <w:t>18</w:t>
            </w:r>
          </w:p>
        </w:tc>
      </w:tr>
      <w:tr w:rsidR="001238F2" w:rsidRPr="00A241F5" w14:paraId="412EFFBD" w14:textId="77777777" w:rsidTr="00343D09">
        <w:tc>
          <w:tcPr>
            <w:tcW w:w="7228" w:type="dxa"/>
          </w:tcPr>
          <w:p w14:paraId="1CF8E8D7" w14:textId="26EC11D8" w:rsidR="001238F2" w:rsidRPr="00A241F5" w:rsidRDefault="001238F2" w:rsidP="00F10A6B">
            <w:pPr>
              <w:widowControl/>
              <w:tabs>
                <w:tab w:val="left" w:pos="1980"/>
              </w:tabs>
              <w:spacing w:before="120" w:after="120"/>
              <w:ind w:left="360" w:right="331" w:hanging="360"/>
              <w:jc w:val="left"/>
            </w:pPr>
            <w:r w:rsidRPr="00A241F5">
              <w:t>Responses to the Sub-committee</w:t>
            </w:r>
            <w:r w:rsidR="00C61F4B" w:rsidRPr="00A241F5">
              <w:t>'</w:t>
            </w:r>
            <w:r w:rsidRPr="00A241F5">
              <w:t>s Recommendation 2</w:t>
            </w:r>
          </w:p>
        </w:tc>
        <w:tc>
          <w:tcPr>
            <w:tcW w:w="1152" w:type="dxa"/>
          </w:tcPr>
          <w:p w14:paraId="14093B27" w14:textId="798B43D2" w:rsidR="001238F2" w:rsidRPr="00A241F5" w:rsidRDefault="00043930" w:rsidP="00AC7FE5">
            <w:pPr>
              <w:widowControl/>
              <w:spacing w:before="120" w:after="120"/>
              <w:jc w:val="center"/>
            </w:pPr>
            <w:r w:rsidRPr="00A241F5">
              <w:t>18</w:t>
            </w:r>
          </w:p>
        </w:tc>
      </w:tr>
      <w:tr w:rsidR="001238F2" w:rsidRPr="00A241F5" w14:paraId="022D569D" w14:textId="77777777" w:rsidTr="00343D09">
        <w:tc>
          <w:tcPr>
            <w:tcW w:w="7228" w:type="dxa"/>
          </w:tcPr>
          <w:p w14:paraId="4315D4D2" w14:textId="72A01806" w:rsidR="001238F2" w:rsidRPr="00A241F5" w:rsidRDefault="001238F2" w:rsidP="003F2342">
            <w:pPr>
              <w:widowControl/>
              <w:tabs>
                <w:tab w:val="left" w:pos="720"/>
              </w:tabs>
              <w:spacing w:before="120" w:after="120"/>
              <w:ind w:left="1080" w:right="360" w:hanging="360"/>
              <w:jc w:val="left"/>
            </w:pPr>
            <w:r w:rsidRPr="00A241F5">
              <w:t>Comments from</w:t>
            </w:r>
            <w:r w:rsidR="003F2342" w:rsidRPr="00A241F5">
              <w:t xml:space="preserve"> Respondents who supported R</w:t>
            </w:r>
            <w:r w:rsidRPr="00A241F5">
              <w:t>ecommendation</w:t>
            </w:r>
            <w:r w:rsidR="003F2342" w:rsidRPr="00A241F5">
              <w:t xml:space="preserve"> 2</w:t>
            </w:r>
          </w:p>
        </w:tc>
        <w:tc>
          <w:tcPr>
            <w:tcW w:w="1152" w:type="dxa"/>
          </w:tcPr>
          <w:p w14:paraId="379249FE" w14:textId="6E38310D" w:rsidR="001238F2" w:rsidRPr="00A241F5" w:rsidRDefault="00043930" w:rsidP="00AC7FE5">
            <w:pPr>
              <w:widowControl/>
              <w:spacing w:before="120" w:after="120"/>
              <w:jc w:val="center"/>
            </w:pPr>
            <w:r w:rsidRPr="00A241F5">
              <w:t>18</w:t>
            </w:r>
          </w:p>
        </w:tc>
      </w:tr>
      <w:tr w:rsidR="001238F2" w:rsidRPr="00A241F5" w14:paraId="1A4BB3DE" w14:textId="77777777" w:rsidTr="00343D09">
        <w:tc>
          <w:tcPr>
            <w:tcW w:w="7228" w:type="dxa"/>
          </w:tcPr>
          <w:p w14:paraId="20608780" w14:textId="5DD83DC9" w:rsidR="001238F2" w:rsidRPr="00A241F5" w:rsidRDefault="001238F2" w:rsidP="003F2342">
            <w:pPr>
              <w:widowControl/>
              <w:tabs>
                <w:tab w:val="left" w:pos="720"/>
              </w:tabs>
              <w:spacing w:before="120" w:after="120"/>
              <w:ind w:left="1080" w:right="360" w:hanging="360"/>
              <w:jc w:val="left"/>
            </w:pPr>
            <w:r w:rsidRPr="00A241F5">
              <w:rPr>
                <w:rFonts w:hint="eastAsia"/>
              </w:rPr>
              <w:t xml:space="preserve">Comments from </w:t>
            </w:r>
            <w:r w:rsidR="003F2342" w:rsidRPr="00A241F5">
              <w:t xml:space="preserve">the </w:t>
            </w:r>
            <w:r w:rsidRPr="00A241F5">
              <w:rPr>
                <w:rFonts w:hint="eastAsia"/>
              </w:rPr>
              <w:t xml:space="preserve">Respondent </w:t>
            </w:r>
            <w:r w:rsidRPr="00A241F5">
              <w:t xml:space="preserve">who </w:t>
            </w:r>
            <w:r w:rsidR="003F2342" w:rsidRPr="00A241F5">
              <w:rPr>
                <w:rFonts w:hint="eastAsia"/>
              </w:rPr>
              <w:t>opposed R</w:t>
            </w:r>
            <w:r w:rsidRPr="00A241F5">
              <w:rPr>
                <w:rFonts w:hint="eastAsia"/>
              </w:rPr>
              <w:t>ecommendation</w:t>
            </w:r>
            <w:r w:rsidR="003F2342" w:rsidRPr="00A241F5">
              <w:t xml:space="preserve"> 2</w:t>
            </w:r>
          </w:p>
        </w:tc>
        <w:tc>
          <w:tcPr>
            <w:tcW w:w="1152" w:type="dxa"/>
          </w:tcPr>
          <w:p w14:paraId="323AF166" w14:textId="47873495" w:rsidR="001238F2" w:rsidRPr="00A241F5" w:rsidRDefault="00043930" w:rsidP="00AC7FE5">
            <w:pPr>
              <w:widowControl/>
              <w:spacing w:before="120" w:after="120"/>
              <w:jc w:val="center"/>
            </w:pPr>
            <w:r w:rsidRPr="00A241F5">
              <w:t>19</w:t>
            </w:r>
          </w:p>
        </w:tc>
      </w:tr>
      <w:tr w:rsidR="001238F2" w:rsidRPr="00A241F5" w14:paraId="5F9E2DD1" w14:textId="77777777" w:rsidTr="00343D09">
        <w:tc>
          <w:tcPr>
            <w:tcW w:w="7228" w:type="dxa"/>
          </w:tcPr>
          <w:p w14:paraId="65400F02" w14:textId="77777777" w:rsidR="001238F2" w:rsidRPr="00A241F5" w:rsidRDefault="001238F2" w:rsidP="00F10A6B">
            <w:pPr>
              <w:widowControl/>
              <w:tabs>
                <w:tab w:val="left" w:pos="720"/>
              </w:tabs>
              <w:spacing w:before="120" w:after="120"/>
              <w:ind w:left="360" w:right="331" w:hanging="360"/>
              <w:jc w:val="left"/>
            </w:pPr>
            <w:r w:rsidRPr="00A241F5">
              <w:rPr>
                <w:rFonts w:hint="eastAsia"/>
              </w:rPr>
              <w:t xml:space="preserve">Our analysis </w:t>
            </w:r>
            <w:r w:rsidRPr="00A241F5">
              <w:t>and response</w:t>
            </w:r>
          </w:p>
        </w:tc>
        <w:tc>
          <w:tcPr>
            <w:tcW w:w="1152" w:type="dxa"/>
          </w:tcPr>
          <w:p w14:paraId="658CA4E1" w14:textId="200192E8" w:rsidR="001238F2" w:rsidRPr="00A241F5" w:rsidRDefault="00043930" w:rsidP="00AC7FE5">
            <w:pPr>
              <w:widowControl/>
              <w:spacing w:before="120" w:after="120"/>
              <w:jc w:val="center"/>
            </w:pPr>
            <w:r w:rsidRPr="00A241F5">
              <w:t>20</w:t>
            </w:r>
          </w:p>
        </w:tc>
      </w:tr>
      <w:tr w:rsidR="001238F2" w:rsidRPr="00A241F5" w14:paraId="15660DCC" w14:textId="77777777" w:rsidTr="00343D09">
        <w:tc>
          <w:tcPr>
            <w:tcW w:w="7228" w:type="dxa"/>
          </w:tcPr>
          <w:p w14:paraId="5250A236" w14:textId="77777777" w:rsidR="001238F2" w:rsidRPr="00A241F5" w:rsidRDefault="001238F2" w:rsidP="00AC7FE5">
            <w:pPr>
              <w:widowControl/>
              <w:tabs>
                <w:tab w:val="left" w:pos="720"/>
              </w:tabs>
              <w:spacing w:before="120" w:after="120"/>
              <w:ind w:left="720" w:right="331" w:hanging="720"/>
              <w:jc w:val="left"/>
            </w:pPr>
          </w:p>
        </w:tc>
        <w:tc>
          <w:tcPr>
            <w:tcW w:w="1152" w:type="dxa"/>
          </w:tcPr>
          <w:p w14:paraId="7A6BD20C" w14:textId="77777777" w:rsidR="001238F2" w:rsidRPr="00A241F5" w:rsidRDefault="001238F2" w:rsidP="00AC7FE5">
            <w:pPr>
              <w:widowControl/>
              <w:spacing w:before="120" w:after="120"/>
              <w:jc w:val="center"/>
            </w:pPr>
          </w:p>
        </w:tc>
      </w:tr>
      <w:tr w:rsidR="001238F2" w:rsidRPr="00A241F5" w14:paraId="36285879" w14:textId="77777777" w:rsidTr="00343D09">
        <w:tc>
          <w:tcPr>
            <w:tcW w:w="7228" w:type="dxa"/>
          </w:tcPr>
          <w:p w14:paraId="072C1345" w14:textId="3783794C" w:rsidR="001238F2" w:rsidRPr="00A241F5" w:rsidRDefault="00AB3F49" w:rsidP="00F10A6B">
            <w:pPr>
              <w:widowControl/>
              <w:tabs>
                <w:tab w:val="left" w:pos="720"/>
              </w:tabs>
              <w:spacing w:before="120" w:after="120"/>
              <w:ind w:left="720" w:right="331" w:hanging="720"/>
              <w:jc w:val="left"/>
            </w:pPr>
            <w:r w:rsidRPr="00A241F5">
              <w:rPr>
                <w:b/>
              </w:rPr>
              <w:t>4</w:t>
            </w:r>
            <w:r w:rsidR="001238F2" w:rsidRPr="00A241F5">
              <w:rPr>
                <w:rFonts w:hint="eastAsia"/>
                <w:b/>
              </w:rPr>
              <w:t>.</w:t>
            </w:r>
            <w:r w:rsidR="001238F2" w:rsidRPr="00A241F5">
              <w:rPr>
                <w:b/>
              </w:rPr>
              <w:tab/>
            </w:r>
            <w:r w:rsidR="00F10A6B" w:rsidRPr="00A241F5">
              <w:rPr>
                <w:b/>
              </w:rPr>
              <w:t>Cap on the Success Fee</w:t>
            </w:r>
          </w:p>
        </w:tc>
        <w:tc>
          <w:tcPr>
            <w:tcW w:w="1152" w:type="dxa"/>
          </w:tcPr>
          <w:p w14:paraId="40EBEE78" w14:textId="684C3498" w:rsidR="001238F2" w:rsidRPr="00A241F5" w:rsidRDefault="00043930" w:rsidP="00AC7FE5">
            <w:pPr>
              <w:widowControl/>
              <w:spacing w:before="120" w:after="120"/>
              <w:jc w:val="center"/>
            </w:pPr>
            <w:r w:rsidRPr="00A241F5">
              <w:t>23</w:t>
            </w:r>
          </w:p>
        </w:tc>
      </w:tr>
      <w:tr w:rsidR="001238F2" w:rsidRPr="00A241F5" w14:paraId="7E40F00C" w14:textId="77777777" w:rsidTr="00343D09">
        <w:tc>
          <w:tcPr>
            <w:tcW w:w="7228" w:type="dxa"/>
          </w:tcPr>
          <w:p w14:paraId="44D6DC7E" w14:textId="35B410C8" w:rsidR="001238F2" w:rsidRPr="00A241F5" w:rsidRDefault="001238F2" w:rsidP="00F10A6B">
            <w:pPr>
              <w:widowControl/>
              <w:tabs>
                <w:tab w:val="left" w:pos="720"/>
              </w:tabs>
              <w:spacing w:before="120" w:after="120"/>
              <w:ind w:left="360" w:right="331" w:hanging="360"/>
              <w:jc w:val="left"/>
            </w:pPr>
            <w:r w:rsidRPr="00A241F5">
              <w:t>Responses to the Sub-committee</w:t>
            </w:r>
            <w:r w:rsidR="00C61F4B" w:rsidRPr="00A241F5">
              <w:t>'</w:t>
            </w:r>
            <w:r w:rsidRPr="00A241F5">
              <w:t>s Recommendation 3</w:t>
            </w:r>
          </w:p>
        </w:tc>
        <w:tc>
          <w:tcPr>
            <w:tcW w:w="1152" w:type="dxa"/>
          </w:tcPr>
          <w:p w14:paraId="01D5B301" w14:textId="77BD4481" w:rsidR="001238F2" w:rsidRPr="00A241F5" w:rsidRDefault="00043930" w:rsidP="00AC7FE5">
            <w:pPr>
              <w:widowControl/>
              <w:spacing w:before="120" w:after="120"/>
              <w:jc w:val="center"/>
            </w:pPr>
            <w:r w:rsidRPr="00A241F5">
              <w:t>23</w:t>
            </w:r>
          </w:p>
        </w:tc>
      </w:tr>
      <w:tr w:rsidR="001238F2" w:rsidRPr="00A241F5" w14:paraId="0344A943" w14:textId="77777777" w:rsidTr="00343D09">
        <w:tc>
          <w:tcPr>
            <w:tcW w:w="7228" w:type="dxa"/>
          </w:tcPr>
          <w:p w14:paraId="1C45EF87" w14:textId="3EE26D1D" w:rsidR="001238F2" w:rsidRPr="00A241F5" w:rsidRDefault="001238F2" w:rsidP="003F2342">
            <w:pPr>
              <w:widowControl/>
              <w:tabs>
                <w:tab w:val="left" w:pos="720"/>
              </w:tabs>
              <w:spacing w:before="120" w:after="120"/>
              <w:ind w:left="1080" w:right="360" w:hanging="360"/>
              <w:jc w:val="left"/>
            </w:pPr>
            <w:r w:rsidRPr="00A241F5">
              <w:t>Comments from</w:t>
            </w:r>
            <w:r w:rsidR="003F2342" w:rsidRPr="00A241F5">
              <w:t xml:space="preserve"> Respondents who supported R</w:t>
            </w:r>
            <w:r w:rsidRPr="00A241F5">
              <w:t>ecommendation</w:t>
            </w:r>
            <w:r w:rsidR="003F2342" w:rsidRPr="00A241F5">
              <w:t xml:space="preserve"> 3</w:t>
            </w:r>
          </w:p>
        </w:tc>
        <w:tc>
          <w:tcPr>
            <w:tcW w:w="1152" w:type="dxa"/>
          </w:tcPr>
          <w:p w14:paraId="4202DF7D" w14:textId="588704B1" w:rsidR="001238F2" w:rsidRPr="00A241F5" w:rsidRDefault="00043930" w:rsidP="00AC7FE5">
            <w:pPr>
              <w:widowControl/>
              <w:spacing w:before="120" w:after="120"/>
              <w:jc w:val="center"/>
            </w:pPr>
            <w:r w:rsidRPr="00A241F5">
              <w:t>23</w:t>
            </w:r>
          </w:p>
        </w:tc>
      </w:tr>
      <w:tr w:rsidR="001238F2" w:rsidRPr="00A241F5" w14:paraId="66E169F4" w14:textId="77777777" w:rsidTr="00343D09">
        <w:tc>
          <w:tcPr>
            <w:tcW w:w="7228" w:type="dxa"/>
          </w:tcPr>
          <w:p w14:paraId="7C1E2390" w14:textId="537F978C" w:rsidR="001238F2" w:rsidRPr="00A241F5" w:rsidRDefault="001238F2" w:rsidP="00E035FB">
            <w:pPr>
              <w:widowControl/>
              <w:tabs>
                <w:tab w:val="left" w:pos="720"/>
              </w:tabs>
              <w:spacing w:before="120" w:after="120"/>
              <w:ind w:left="1080" w:right="360" w:hanging="360"/>
              <w:jc w:val="left"/>
            </w:pPr>
            <w:r w:rsidRPr="00A241F5">
              <w:rPr>
                <w:rFonts w:hint="eastAsia"/>
              </w:rPr>
              <w:t xml:space="preserve">Comments from Respondents </w:t>
            </w:r>
            <w:r w:rsidRPr="00A241F5">
              <w:t xml:space="preserve">who </w:t>
            </w:r>
            <w:r w:rsidRPr="00A241F5">
              <w:rPr>
                <w:rFonts w:hint="eastAsia"/>
              </w:rPr>
              <w:t xml:space="preserve">opposed </w:t>
            </w:r>
            <w:r w:rsidR="00E035FB" w:rsidRPr="00A241F5">
              <w:t>R</w:t>
            </w:r>
            <w:r w:rsidRPr="00A241F5">
              <w:rPr>
                <w:rFonts w:hint="eastAsia"/>
              </w:rPr>
              <w:t>ecommendation</w:t>
            </w:r>
            <w:r w:rsidR="003F2342" w:rsidRPr="00A241F5">
              <w:t xml:space="preserve"> 3</w:t>
            </w:r>
          </w:p>
        </w:tc>
        <w:tc>
          <w:tcPr>
            <w:tcW w:w="1152" w:type="dxa"/>
          </w:tcPr>
          <w:p w14:paraId="2B473C4F" w14:textId="3DF0864C" w:rsidR="001238F2" w:rsidRPr="00A241F5" w:rsidRDefault="00043930" w:rsidP="00AC7FE5">
            <w:pPr>
              <w:widowControl/>
              <w:spacing w:before="120" w:after="120"/>
              <w:jc w:val="center"/>
            </w:pPr>
            <w:r w:rsidRPr="00A241F5">
              <w:t>2</w:t>
            </w:r>
            <w:r w:rsidR="00917CD2" w:rsidRPr="00A241F5">
              <w:t>6</w:t>
            </w:r>
          </w:p>
        </w:tc>
      </w:tr>
      <w:tr w:rsidR="001238F2" w:rsidRPr="00A241F5" w14:paraId="6DB0C815" w14:textId="77777777" w:rsidTr="00343D09">
        <w:tc>
          <w:tcPr>
            <w:tcW w:w="7228" w:type="dxa"/>
          </w:tcPr>
          <w:p w14:paraId="70AAABE0" w14:textId="77777777" w:rsidR="001238F2" w:rsidRPr="00A241F5" w:rsidRDefault="001238F2" w:rsidP="00F10A6B">
            <w:pPr>
              <w:widowControl/>
              <w:tabs>
                <w:tab w:val="left" w:pos="720"/>
              </w:tabs>
              <w:spacing w:before="120" w:after="120"/>
              <w:ind w:left="360" w:right="331" w:hanging="360"/>
              <w:jc w:val="left"/>
            </w:pPr>
            <w:r w:rsidRPr="00A241F5">
              <w:rPr>
                <w:rFonts w:hint="eastAsia"/>
              </w:rPr>
              <w:t xml:space="preserve">Our analysis </w:t>
            </w:r>
            <w:r w:rsidRPr="00A241F5">
              <w:t>and response</w:t>
            </w:r>
          </w:p>
        </w:tc>
        <w:tc>
          <w:tcPr>
            <w:tcW w:w="1152" w:type="dxa"/>
          </w:tcPr>
          <w:p w14:paraId="5E90A257" w14:textId="2DC95669" w:rsidR="001238F2" w:rsidRPr="00A241F5" w:rsidRDefault="00043930" w:rsidP="00AC7FE5">
            <w:pPr>
              <w:widowControl/>
              <w:spacing w:before="120" w:after="120"/>
              <w:jc w:val="center"/>
            </w:pPr>
            <w:r w:rsidRPr="00A241F5">
              <w:t>26</w:t>
            </w:r>
          </w:p>
        </w:tc>
      </w:tr>
      <w:tr w:rsidR="001238F2" w:rsidRPr="00A241F5" w14:paraId="5FEC7B9E" w14:textId="77777777" w:rsidTr="00343D09">
        <w:tc>
          <w:tcPr>
            <w:tcW w:w="7228" w:type="dxa"/>
          </w:tcPr>
          <w:p w14:paraId="31F8BDB9" w14:textId="77777777" w:rsidR="001238F2" w:rsidRPr="00A241F5" w:rsidRDefault="001238F2" w:rsidP="00F10A6B">
            <w:pPr>
              <w:widowControl/>
              <w:tabs>
                <w:tab w:val="left" w:pos="720"/>
              </w:tabs>
              <w:spacing w:before="120" w:after="120"/>
              <w:ind w:left="1080" w:right="360" w:hanging="360"/>
              <w:jc w:val="left"/>
            </w:pPr>
            <w:r w:rsidRPr="00A241F5">
              <w:t>Appropriate cap on the Success Fee</w:t>
            </w:r>
          </w:p>
        </w:tc>
        <w:tc>
          <w:tcPr>
            <w:tcW w:w="1152" w:type="dxa"/>
          </w:tcPr>
          <w:p w14:paraId="2E9331DB" w14:textId="62AE72D1" w:rsidR="001238F2" w:rsidRPr="00A241F5" w:rsidRDefault="00043E55" w:rsidP="00AC7FE5">
            <w:pPr>
              <w:widowControl/>
              <w:spacing w:before="120" w:after="120"/>
              <w:jc w:val="center"/>
            </w:pPr>
            <w:r w:rsidRPr="00A241F5">
              <w:t>26</w:t>
            </w:r>
          </w:p>
        </w:tc>
      </w:tr>
      <w:tr w:rsidR="001238F2" w:rsidRPr="00A241F5" w14:paraId="05BEBE51" w14:textId="77777777" w:rsidTr="00343D09">
        <w:tc>
          <w:tcPr>
            <w:tcW w:w="7228" w:type="dxa"/>
          </w:tcPr>
          <w:p w14:paraId="0E4F4D2B" w14:textId="65E7EF26" w:rsidR="001238F2" w:rsidRPr="00A241F5" w:rsidRDefault="00043E55" w:rsidP="00F10A6B">
            <w:pPr>
              <w:widowControl/>
              <w:tabs>
                <w:tab w:val="left" w:pos="720"/>
              </w:tabs>
              <w:spacing w:before="120" w:after="120"/>
              <w:ind w:left="1080" w:right="360" w:hanging="360"/>
              <w:jc w:val="left"/>
            </w:pPr>
            <w:r w:rsidRPr="00A241F5">
              <w:t>S</w:t>
            </w:r>
            <w:r w:rsidR="003F2342" w:rsidRPr="00A241F5">
              <w:t>ame cap for barristers</w:t>
            </w:r>
          </w:p>
        </w:tc>
        <w:tc>
          <w:tcPr>
            <w:tcW w:w="1152" w:type="dxa"/>
          </w:tcPr>
          <w:p w14:paraId="13502C43" w14:textId="228526D7" w:rsidR="001238F2" w:rsidRPr="00A241F5" w:rsidRDefault="00043E55" w:rsidP="00AC7FE5">
            <w:pPr>
              <w:widowControl/>
              <w:spacing w:before="120" w:after="120"/>
              <w:jc w:val="center"/>
            </w:pPr>
            <w:r w:rsidRPr="00A241F5">
              <w:t>27</w:t>
            </w:r>
          </w:p>
        </w:tc>
      </w:tr>
      <w:tr w:rsidR="001238F2" w:rsidRPr="00A241F5" w14:paraId="2D37F0DA" w14:textId="77777777" w:rsidTr="00343D09">
        <w:tc>
          <w:tcPr>
            <w:tcW w:w="7228" w:type="dxa"/>
          </w:tcPr>
          <w:p w14:paraId="0197D0D8" w14:textId="77777777" w:rsidR="001238F2" w:rsidRPr="00A241F5" w:rsidRDefault="001238F2" w:rsidP="00AC7FE5">
            <w:pPr>
              <w:widowControl/>
              <w:tabs>
                <w:tab w:val="left" w:pos="720"/>
              </w:tabs>
              <w:spacing w:before="120" w:after="120"/>
              <w:ind w:right="331"/>
              <w:jc w:val="left"/>
              <w:rPr>
                <w:b/>
              </w:rPr>
            </w:pPr>
          </w:p>
        </w:tc>
        <w:tc>
          <w:tcPr>
            <w:tcW w:w="1152" w:type="dxa"/>
          </w:tcPr>
          <w:p w14:paraId="38339069" w14:textId="77777777" w:rsidR="001238F2" w:rsidRPr="00A241F5" w:rsidRDefault="001238F2" w:rsidP="00AC7FE5">
            <w:pPr>
              <w:widowControl/>
              <w:spacing w:before="120" w:after="120"/>
              <w:jc w:val="center"/>
            </w:pPr>
          </w:p>
        </w:tc>
      </w:tr>
      <w:tr w:rsidR="001238F2" w:rsidRPr="00A241F5" w14:paraId="08F45033" w14:textId="77777777" w:rsidTr="00343D09">
        <w:tc>
          <w:tcPr>
            <w:tcW w:w="7228" w:type="dxa"/>
          </w:tcPr>
          <w:p w14:paraId="561F9EEE" w14:textId="3CD287B0" w:rsidR="001238F2" w:rsidRPr="00A241F5" w:rsidRDefault="00AB3F49">
            <w:pPr>
              <w:widowControl/>
              <w:tabs>
                <w:tab w:val="left" w:pos="720"/>
              </w:tabs>
              <w:spacing w:before="120" w:after="120"/>
              <w:ind w:left="720" w:right="331" w:hanging="720"/>
              <w:jc w:val="left"/>
              <w:rPr>
                <w:rFonts w:cs="Arial"/>
              </w:rPr>
            </w:pPr>
            <w:r w:rsidRPr="00A241F5">
              <w:rPr>
                <w:b/>
              </w:rPr>
              <w:t>5</w:t>
            </w:r>
            <w:r w:rsidR="001238F2" w:rsidRPr="00A241F5">
              <w:rPr>
                <w:rFonts w:hint="eastAsia"/>
                <w:b/>
              </w:rPr>
              <w:t>.</w:t>
            </w:r>
            <w:r w:rsidR="001238F2" w:rsidRPr="00A241F5">
              <w:rPr>
                <w:b/>
              </w:rPr>
              <w:tab/>
            </w:r>
            <w:r w:rsidR="00564A42" w:rsidRPr="00A241F5">
              <w:rPr>
                <w:b/>
              </w:rPr>
              <w:t>Lifting p</w:t>
            </w:r>
            <w:r w:rsidR="00F10A6B" w:rsidRPr="00A241F5">
              <w:rPr>
                <w:b/>
              </w:rPr>
              <w:t xml:space="preserve">rohibitions on </w:t>
            </w:r>
            <w:r w:rsidR="00564A42" w:rsidRPr="00A241F5">
              <w:rPr>
                <w:b/>
              </w:rPr>
              <w:t xml:space="preserve">the </w:t>
            </w:r>
            <w:r w:rsidR="00F10A6B" w:rsidRPr="00A241F5">
              <w:rPr>
                <w:b/>
              </w:rPr>
              <w:t xml:space="preserve">use of DBAs </w:t>
            </w:r>
            <w:r w:rsidR="00564A42" w:rsidRPr="00A241F5">
              <w:rPr>
                <w:b/>
              </w:rPr>
              <w:t xml:space="preserve">by Lawyers </w:t>
            </w:r>
            <w:r w:rsidR="00F10A6B" w:rsidRPr="00A241F5">
              <w:rPr>
                <w:b/>
              </w:rPr>
              <w:t xml:space="preserve">in Arbitration </w:t>
            </w:r>
          </w:p>
        </w:tc>
        <w:tc>
          <w:tcPr>
            <w:tcW w:w="1152" w:type="dxa"/>
          </w:tcPr>
          <w:p w14:paraId="1620F218" w14:textId="3E3B5109" w:rsidR="001238F2" w:rsidRPr="00A241F5" w:rsidRDefault="00043E55" w:rsidP="00AC7FE5">
            <w:pPr>
              <w:widowControl/>
              <w:spacing w:before="120" w:after="120"/>
              <w:jc w:val="center"/>
            </w:pPr>
            <w:r w:rsidRPr="00A241F5">
              <w:t>28</w:t>
            </w:r>
          </w:p>
        </w:tc>
      </w:tr>
      <w:tr w:rsidR="001238F2" w:rsidRPr="00A241F5" w14:paraId="48F010F0" w14:textId="77777777" w:rsidTr="00343D09">
        <w:tc>
          <w:tcPr>
            <w:tcW w:w="7228" w:type="dxa"/>
          </w:tcPr>
          <w:p w14:paraId="1FB560F6" w14:textId="5BC63971" w:rsidR="001238F2" w:rsidRPr="00A241F5" w:rsidRDefault="001238F2" w:rsidP="00F10A6B">
            <w:pPr>
              <w:widowControl/>
              <w:tabs>
                <w:tab w:val="left" w:pos="720"/>
              </w:tabs>
              <w:spacing w:before="120" w:after="120"/>
              <w:ind w:left="360" w:right="331" w:hanging="360"/>
              <w:jc w:val="left"/>
            </w:pPr>
            <w:r w:rsidRPr="00A241F5">
              <w:t>Responses to the Sub-committee</w:t>
            </w:r>
            <w:r w:rsidR="00C61F4B" w:rsidRPr="00A241F5">
              <w:t>'</w:t>
            </w:r>
            <w:r w:rsidRPr="00A241F5">
              <w:t>s Recommendation 4</w:t>
            </w:r>
          </w:p>
        </w:tc>
        <w:tc>
          <w:tcPr>
            <w:tcW w:w="1152" w:type="dxa"/>
          </w:tcPr>
          <w:p w14:paraId="0C558C32" w14:textId="0A5A6181" w:rsidR="001238F2" w:rsidRPr="00A241F5" w:rsidRDefault="00043E55" w:rsidP="00AC7FE5">
            <w:pPr>
              <w:widowControl/>
              <w:spacing w:before="120" w:after="120"/>
              <w:jc w:val="center"/>
            </w:pPr>
            <w:r w:rsidRPr="00A241F5">
              <w:t>28</w:t>
            </w:r>
          </w:p>
        </w:tc>
      </w:tr>
      <w:tr w:rsidR="001238F2" w:rsidRPr="00A241F5" w14:paraId="4CCF68B9" w14:textId="77777777" w:rsidTr="00343D09">
        <w:tc>
          <w:tcPr>
            <w:tcW w:w="7228" w:type="dxa"/>
          </w:tcPr>
          <w:p w14:paraId="3CC6988F" w14:textId="5A2DC981" w:rsidR="001238F2" w:rsidRPr="00A241F5" w:rsidRDefault="001238F2" w:rsidP="00C6210A">
            <w:pPr>
              <w:widowControl/>
              <w:tabs>
                <w:tab w:val="left" w:pos="720"/>
              </w:tabs>
              <w:spacing w:before="120" w:after="120"/>
              <w:ind w:left="1080" w:right="360" w:hanging="360"/>
              <w:jc w:val="left"/>
            </w:pPr>
            <w:r w:rsidRPr="00A241F5">
              <w:lastRenderedPageBreak/>
              <w:t xml:space="preserve">Comments from Respondents who supported </w:t>
            </w:r>
            <w:r w:rsidR="00C6210A" w:rsidRPr="00A241F5">
              <w:t>R</w:t>
            </w:r>
            <w:r w:rsidRPr="00A241F5">
              <w:t>ecommendation</w:t>
            </w:r>
            <w:r w:rsidR="00C6210A" w:rsidRPr="00A241F5">
              <w:t xml:space="preserve"> 4</w:t>
            </w:r>
          </w:p>
        </w:tc>
        <w:tc>
          <w:tcPr>
            <w:tcW w:w="1152" w:type="dxa"/>
          </w:tcPr>
          <w:p w14:paraId="29D789D5" w14:textId="03543CCC" w:rsidR="001238F2" w:rsidRPr="00A241F5" w:rsidRDefault="00043E55" w:rsidP="00AC7FE5">
            <w:pPr>
              <w:widowControl/>
              <w:spacing w:before="120" w:after="120"/>
              <w:jc w:val="center"/>
            </w:pPr>
            <w:r w:rsidRPr="00A241F5">
              <w:t>28</w:t>
            </w:r>
          </w:p>
        </w:tc>
      </w:tr>
      <w:tr w:rsidR="001238F2" w:rsidRPr="00A241F5" w14:paraId="441EA40F" w14:textId="77777777" w:rsidTr="00343D09">
        <w:tc>
          <w:tcPr>
            <w:tcW w:w="7228" w:type="dxa"/>
          </w:tcPr>
          <w:p w14:paraId="4BF171D3" w14:textId="4AB36908" w:rsidR="001238F2" w:rsidRPr="00A241F5" w:rsidRDefault="001238F2" w:rsidP="00C6210A">
            <w:pPr>
              <w:widowControl/>
              <w:tabs>
                <w:tab w:val="left" w:pos="720"/>
              </w:tabs>
              <w:spacing w:before="120" w:after="120"/>
              <w:ind w:left="1080" w:right="360" w:hanging="360"/>
              <w:jc w:val="left"/>
            </w:pPr>
            <w:r w:rsidRPr="00A241F5">
              <w:t xml:space="preserve">Comments from </w:t>
            </w:r>
            <w:r w:rsidR="00C6210A" w:rsidRPr="00A241F5">
              <w:t>the Respondent</w:t>
            </w:r>
            <w:r w:rsidRPr="00A241F5">
              <w:t xml:space="preserve"> who opposed </w:t>
            </w:r>
            <w:r w:rsidR="00C6210A" w:rsidRPr="00A241F5">
              <w:t>R</w:t>
            </w:r>
            <w:r w:rsidRPr="00A241F5">
              <w:t>ecommendation</w:t>
            </w:r>
            <w:r w:rsidR="00C6210A" w:rsidRPr="00A241F5">
              <w:t xml:space="preserve"> 4</w:t>
            </w:r>
          </w:p>
        </w:tc>
        <w:tc>
          <w:tcPr>
            <w:tcW w:w="1152" w:type="dxa"/>
          </w:tcPr>
          <w:p w14:paraId="08A885B8" w14:textId="5D23970A" w:rsidR="001238F2" w:rsidRPr="00A241F5" w:rsidRDefault="00043E55" w:rsidP="00AC7FE5">
            <w:pPr>
              <w:widowControl/>
              <w:spacing w:before="120" w:after="120"/>
              <w:jc w:val="center"/>
            </w:pPr>
            <w:r w:rsidRPr="00A241F5">
              <w:t>29</w:t>
            </w:r>
          </w:p>
        </w:tc>
      </w:tr>
      <w:tr w:rsidR="001238F2" w:rsidRPr="00A241F5" w14:paraId="524182AC" w14:textId="77777777" w:rsidTr="00343D09">
        <w:tc>
          <w:tcPr>
            <w:tcW w:w="7228" w:type="dxa"/>
          </w:tcPr>
          <w:p w14:paraId="6688A079" w14:textId="77777777" w:rsidR="001238F2" w:rsidRPr="00A241F5" w:rsidRDefault="001238F2" w:rsidP="00F10A6B">
            <w:pPr>
              <w:widowControl/>
              <w:tabs>
                <w:tab w:val="left" w:pos="720"/>
              </w:tabs>
              <w:spacing w:before="120" w:after="120"/>
              <w:ind w:left="360" w:right="331" w:hanging="360"/>
              <w:jc w:val="left"/>
            </w:pPr>
            <w:r w:rsidRPr="00A241F5">
              <w:t>Our analysis and response</w:t>
            </w:r>
          </w:p>
        </w:tc>
        <w:tc>
          <w:tcPr>
            <w:tcW w:w="1152" w:type="dxa"/>
          </w:tcPr>
          <w:p w14:paraId="228137AC" w14:textId="6F3E5554" w:rsidR="001238F2" w:rsidRPr="00A241F5" w:rsidRDefault="00043E55" w:rsidP="00AC7FE5">
            <w:pPr>
              <w:widowControl/>
              <w:spacing w:before="120" w:after="120"/>
              <w:jc w:val="center"/>
            </w:pPr>
            <w:r w:rsidRPr="00A241F5">
              <w:t>29</w:t>
            </w:r>
          </w:p>
        </w:tc>
      </w:tr>
      <w:tr w:rsidR="001238F2" w:rsidRPr="00A241F5" w14:paraId="5F240982" w14:textId="77777777" w:rsidTr="00343D09">
        <w:tc>
          <w:tcPr>
            <w:tcW w:w="7228" w:type="dxa"/>
          </w:tcPr>
          <w:p w14:paraId="363EDB60" w14:textId="77777777" w:rsidR="001238F2" w:rsidRPr="00A241F5" w:rsidRDefault="001238F2" w:rsidP="00AC7FE5">
            <w:pPr>
              <w:widowControl/>
              <w:spacing w:before="120" w:after="120"/>
              <w:ind w:left="720" w:right="331" w:hanging="720"/>
              <w:jc w:val="left"/>
            </w:pPr>
          </w:p>
        </w:tc>
        <w:tc>
          <w:tcPr>
            <w:tcW w:w="1152" w:type="dxa"/>
          </w:tcPr>
          <w:p w14:paraId="2472B204" w14:textId="77777777" w:rsidR="001238F2" w:rsidRPr="00A241F5" w:rsidRDefault="001238F2" w:rsidP="00AC7FE5">
            <w:pPr>
              <w:widowControl/>
              <w:spacing w:before="120" w:after="120"/>
              <w:jc w:val="center"/>
            </w:pPr>
          </w:p>
        </w:tc>
      </w:tr>
      <w:tr w:rsidR="001238F2" w:rsidRPr="00A241F5" w14:paraId="2AE2B089" w14:textId="77777777" w:rsidTr="00343D09">
        <w:tc>
          <w:tcPr>
            <w:tcW w:w="7228" w:type="dxa"/>
          </w:tcPr>
          <w:p w14:paraId="048DBA10" w14:textId="73AC3C4F" w:rsidR="001238F2" w:rsidRPr="00A241F5" w:rsidRDefault="00AB3F49">
            <w:pPr>
              <w:keepNext/>
              <w:keepLines/>
              <w:widowControl/>
              <w:spacing w:before="120" w:after="120"/>
              <w:ind w:left="720" w:right="331" w:hanging="720"/>
              <w:jc w:val="left"/>
              <w:rPr>
                <w:rFonts w:cs="Arial"/>
              </w:rPr>
            </w:pPr>
            <w:r w:rsidRPr="00A241F5">
              <w:rPr>
                <w:b/>
              </w:rPr>
              <w:t>6</w:t>
            </w:r>
            <w:r w:rsidR="001238F2" w:rsidRPr="00A241F5">
              <w:rPr>
                <w:rFonts w:hint="eastAsia"/>
                <w:b/>
              </w:rPr>
              <w:t>.</w:t>
            </w:r>
            <w:r w:rsidR="001238F2" w:rsidRPr="00A241F5">
              <w:rPr>
                <w:b/>
              </w:rPr>
              <w:tab/>
            </w:r>
            <w:r w:rsidR="00F10A6B" w:rsidRPr="00A241F5">
              <w:rPr>
                <w:b/>
              </w:rPr>
              <w:t>Recoverability of Legal Expense Insurance premium from the unsuccessful party under DBAs</w:t>
            </w:r>
          </w:p>
        </w:tc>
        <w:tc>
          <w:tcPr>
            <w:tcW w:w="1152" w:type="dxa"/>
          </w:tcPr>
          <w:p w14:paraId="4C27B8A0" w14:textId="0905ACBE" w:rsidR="001238F2" w:rsidRPr="00A241F5" w:rsidRDefault="00482663" w:rsidP="0047011D">
            <w:pPr>
              <w:keepNext/>
              <w:keepLines/>
              <w:widowControl/>
              <w:spacing w:before="120" w:after="120"/>
              <w:jc w:val="center"/>
            </w:pPr>
            <w:r w:rsidRPr="00A241F5">
              <w:t>32</w:t>
            </w:r>
          </w:p>
        </w:tc>
      </w:tr>
      <w:tr w:rsidR="001238F2" w:rsidRPr="00A241F5" w14:paraId="5CB7ABCB" w14:textId="77777777" w:rsidTr="00343D09">
        <w:tc>
          <w:tcPr>
            <w:tcW w:w="7228" w:type="dxa"/>
          </w:tcPr>
          <w:p w14:paraId="559B4C83" w14:textId="4FD57513" w:rsidR="001238F2" w:rsidRPr="00A241F5" w:rsidRDefault="001238F2" w:rsidP="0047011D">
            <w:pPr>
              <w:keepNext/>
              <w:keepLines/>
              <w:widowControl/>
              <w:tabs>
                <w:tab w:val="left" w:pos="720"/>
              </w:tabs>
              <w:spacing w:before="120" w:after="120"/>
              <w:ind w:left="360" w:right="331" w:hanging="360"/>
              <w:jc w:val="left"/>
              <w:rPr>
                <w:rFonts w:cs="Arial"/>
              </w:rPr>
            </w:pPr>
            <w:r w:rsidRPr="00A241F5">
              <w:rPr>
                <w:rFonts w:cs="Arial"/>
              </w:rPr>
              <w:t>Responses to the Sub-committee</w:t>
            </w:r>
            <w:r w:rsidR="00C61F4B" w:rsidRPr="00A241F5">
              <w:rPr>
                <w:rFonts w:cs="Arial"/>
              </w:rPr>
              <w:t>'</w:t>
            </w:r>
            <w:r w:rsidRPr="00A241F5">
              <w:rPr>
                <w:rFonts w:cs="Arial"/>
              </w:rPr>
              <w:t>s Recommendation 5</w:t>
            </w:r>
          </w:p>
        </w:tc>
        <w:tc>
          <w:tcPr>
            <w:tcW w:w="1152" w:type="dxa"/>
          </w:tcPr>
          <w:p w14:paraId="41D32823" w14:textId="04A0E71B" w:rsidR="001238F2" w:rsidRPr="00A241F5" w:rsidRDefault="007D2BE9" w:rsidP="0047011D">
            <w:pPr>
              <w:keepNext/>
              <w:keepLines/>
              <w:widowControl/>
              <w:spacing w:before="120" w:after="120"/>
              <w:jc w:val="center"/>
            </w:pPr>
            <w:r w:rsidRPr="00A241F5">
              <w:t>32</w:t>
            </w:r>
          </w:p>
        </w:tc>
      </w:tr>
      <w:tr w:rsidR="001238F2" w:rsidRPr="00A241F5" w14:paraId="06F34CCB" w14:textId="77777777" w:rsidTr="00343D09">
        <w:tc>
          <w:tcPr>
            <w:tcW w:w="7228" w:type="dxa"/>
          </w:tcPr>
          <w:p w14:paraId="0D4665DD" w14:textId="7AB8E536" w:rsidR="001238F2" w:rsidRPr="00A241F5" w:rsidRDefault="001238F2" w:rsidP="00071EB0">
            <w:pPr>
              <w:widowControl/>
              <w:tabs>
                <w:tab w:val="left" w:pos="720"/>
              </w:tabs>
              <w:spacing w:before="120" w:after="120"/>
              <w:ind w:left="1080" w:right="360" w:hanging="360"/>
              <w:jc w:val="left"/>
              <w:rPr>
                <w:rFonts w:cs="Arial"/>
              </w:rPr>
            </w:pPr>
            <w:r w:rsidRPr="00A241F5">
              <w:rPr>
                <w:rFonts w:cs="Arial"/>
              </w:rPr>
              <w:t xml:space="preserve">Comments from </w:t>
            </w:r>
            <w:r w:rsidRPr="00A241F5">
              <w:t>Respondents</w:t>
            </w:r>
            <w:r w:rsidRPr="00A241F5">
              <w:rPr>
                <w:rFonts w:cs="Arial"/>
              </w:rPr>
              <w:t xml:space="preserve"> who supported </w:t>
            </w:r>
            <w:r w:rsidR="00071EB0" w:rsidRPr="00A241F5">
              <w:rPr>
                <w:rFonts w:cs="Arial"/>
              </w:rPr>
              <w:t>R</w:t>
            </w:r>
            <w:r w:rsidRPr="00A241F5">
              <w:rPr>
                <w:rFonts w:cs="Arial"/>
              </w:rPr>
              <w:t>ecommendation</w:t>
            </w:r>
            <w:r w:rsidR="00071EB0" w:rsidRPr="00A241F5">
              <w:rPr>
                <w:rFonts w:cs="Arial"/>
              </w:rPr>
              <w:t xml:space="preserve"> 5</w:t>
            </w:r>
          </w:p>
        </w:tc>
        <w:tc>
          <w:tcPr>
            <w:tcW w:w="1152" w:type="dxa"/>
          </w:tcPr>
          <w:p w14:paraId="60BE7DF7" w14:textId="49444292" w:rsidR="001238F2" w:rsidRPr="00A241F5" w:rsidRDefault="007D2BE9" w:rsidP="00AC7FE5">
            <w:pPr>
              <w:widowControl/>
              <w:spacing w:before="120" w:after="120"/>
              <w:jc w:val="center"/>
            </w:pPr>
            <w:r w:rsidRPr="00A241F5">
              <w:t>32</w:t>
            </w:r>
          </w:p>
        </w:tc>
      </w:tr>
      <w:tr w:rsidR="001238F2" w:rsidRPr="00A241F5" w14:paraId="1C23AD49" w14:textId="77777777" w:rsidTr="00343D09">
        <w:tc>
          <w:tcPr>
            <w:tcW w:w="7228" w:type="dxa"/>
          </w:tcPr>
          <w:p w14:paraId="3ED5B5FA" w14:textId="4BC72561" w:rsidR="001238F2" w:rsidRPr="00A241F5" w:rsidRDefault="001238F2" w:rsidP="00A10EC2">
            <w:pPr>
              <w:widowControl/>
              <w:tabs>
                <w:tab w:val="left" w:pos="720"/>
              </w:tabs>
              <w:spacing w:before="120" w:after="120"/>
              <w:ind w:left="1080" w:right="360" w:hanging="360"/>
              <w:jc w:val="left"/>
              <w:rPr>
                <w:rFonts w:cs="Arial"/>
              </w:rPr>
            </w:pPr>
            <w:r w:rsidRPr="00A241F5">
              <w:rPr>
                <w:rFonts w:cs="Arial"/>
              </w:rPr>
              <w:t xml:space="preserve">Comments from </w:t>
            </w:r>
            <w:r w:rsidR="00A10EC2" w:rsidRPr="00A241F5">
              <w:rPr>
                <w:rFonts w:cs="Arial"/>
              </w:rPr>
              <w:t xml:space="preserve">the </w:t>
            </w:r>
            <w:r w:rsidRPr="00A241F5">
              <w:t>Respondent</w:t>
            </w:r>
            <w:r w:rsidRPr="00A241F5">
              <w:rPr>
                <w:rFonts w:cs="Arial"/>
              </w:rPr>
              <w:t xml:space="preserve"> who opposed </w:t>
            </w:r>
            <w:r w:rsidR="00071EB0" w:rsidRPr="00A241F5">
              <w:rPr>
                <w:rFonts w:cs="Arial"/>
              </w:rPr>
              <w:t>R</w:t>
            </w:r>
            <w:r w:rsidRPr="00A241F5">
              <w:rPr>
                <w:rFonts w:cs="Arial"/>
              </w:rPr>
              <w:t>ecommendation</w:t>
            </w:r>
            <w:r w:rsidR="00071EB0" w:rsidRPr="00A241F5">
              <w:rPr>
                <w:rFonts w:cs="Arial"/>
              </w:rPr>
              <w:t xml:space="preserve"> 5</w:t>
            </w:r>
          </w:p>
        </w:tc>
        <w:tc>
          <w:tcPr>
            <w:tcW w:w="1152" w:type="dxa"/>
          </w:tcPr>
          <w:p w14:paraId="27B3146F" w14:textId="05B3E51D" w:rsidR="001238F2" w:rsidRPr="00A241F5" w:rsidRDefault="007D2BE9" w:rsidP="00AC7FE5">
            <w:pPr>
              <w:widowControl/>
              <w:spacing w:before="120" w:after="120"/>
              <w:jc w:val="center"/>
            </w:pPr>
            <w:r w:rsidRPr="00A241F5">
              <w:t>33</w:t>
            </w:r>
          </w:p>
        </w:tc>
      </w:tr>
      <w:tr w:rsidR="001238F2" w:rsidRPr="00A241F5" w14:paraId="6C7FD952" w14:textId="77777777" w:rsidTr="00343D09">
        <w:tc>
          <w:tcPr>
            <w:tcW w:w="7228" w:type="dxa"/>
          </w:tcPr>
          <w:p w14:paraId="1FBB7D86" w14:textId="77777777" w:rsidR="001238F2" w:rsidRPr="00A241F5" w:rsidRDefault="001238F2" w:rsidP="00F10A6B">
            <w:pPr>
              <w:widowControl/>
              <w:tabs>
                <w:tab w:val="left" w:pos="720"/>
              </w:tabs>
              <w:spacing w:before="120" w:after="120"/>
              <w:ind w:left="360" w:right="331" w:hanging="360"/>
              <w:jc w:val="left"/>
              <w:rPr>
                <w:rFonts w:cs="Arial"/>
              </w:rPr>
            </w:pPr>
            <w:r w:rsidRPr="00A241F5">
              <w:rPr>
                <w:rFonts w:cs="Arial"/>
              </w:rPr>
              <w:t>Our analysis and response</w:t>
            </w:r>
          </w:p>
        </w:tc>
        <w:tc>
          <w:tcPr>
            <w:tcW w:w="1152" w:type="dxa"/>
          </w:tcPr>
          <w:p w14:paraId="76CB3366" w14:textId="7A2083C4" w:rsidR="001238F2" w:rsidRPr="00A241F5" w:rsidRDefault="007D2BE9" w:rsidP="00AC7FE5">
            <w:pPr>
              <w:widowControl/>
              <w:spacing w:before="120" w:after="120"/>
              <w:jc w:val="center"/>
            </w:pPr>
            <w:r w:rsidRPr="00A241F5">
              <w:t>33</w:t>
            </w:r>
          </w:p>
        </w:tc>
      </w:tr>
      <w:tr w:rsidR="001238F2" w:rsidRPr="00A241F5" w14:paraId="1CDAA55F" w14:textId="77777777" w:rsidTr="00343D09">
        <w:tc>
          <w:tcPr>
            <w:tcW w:w="7228" w:type="dxa"/>
          </w:tcPr>
          <w:p w14:paraId="7FC115FF" w14:textId="77777777" w:rsidR="001238F2" w:rsidRPr="00A241F5" w:rsidRDefault="001238F2" w:rsidP="00AC7FE5">
            <w:pPr>
              <w:widowControl/>
              <w:spacing w:before="120" w:after="120"/>
              <w:ind w:left="720" w:right="331" w:hanging="720"/>
              <w:jc w:val="left"/>
            </w:pPr>
          </w:p>
        </w:tc>
        <w:tc>
          <w:tcPr>
            <w:tcW w:w="1152" w:type="dxa"/>
          </w:tcPr>
          <w:p w14:paraId="2D75D78A" w14:textId="77777777" w:rsidR="001238F2" w:rsidRPr="00A241F5" w:rsidRDefault="001238F2" w:rsidP="00AC7FE5">
            <w:pPr>
              <w:widowControl/>
              <w:spacing w:before="120" w:after="120"/>
              <w:jc w:val="center"/>
            </w:pPr>
          </w:p>
        </w:tc>
      </w:tr>
      <w:tr w:rsidR="001238F2" w:rsidRPr="00A241F5" w14:paraId="1E89F8F4" w14:textId="77777777" w:rsidTr="00343D09">
        <w:tc>
          <w:tcPr>
            <w:tcW w:w="7228" w:type="dxa"/>
          </w:tcPr>
          <w:p w14:paraId="0B06F7FE" w14:textId="0678CFC5" w:rsidR="001238F2" w:rsidRPr="00A241F5" w:rsidRDefault="00AB3F49" w:rsidP="00F10A6B">
            <w:pPr>
              <w:widowControl/>
              <w:spacing w:before="120" w:after="120"/>
              <w:ind w:left="720" w:right="331" w:hanging="720"/>
              <w:jc w:val="left"/>
            </w:pPr>
            <w:r w:rsidRPr="00A241F5">
              <w:rPr>
                <w:b/>
              </w:rPr>
              <w:t>7</w:t>
            </w:r>
            <w:r w:rsidR="001238F2" w:rsidRPr="00A241F5">
              <w:rPr>
                <w:rFonts w:hint="eastAsia"/>
                <w:b/>
              </w:rPr>
              <w:t>.</w:t>
            </w:r>
            <w:r w:rsidR="001238F2" w:rsidRPr="00A241F5">
              <w:rPr>
                <w:b/>
              </w:rPr>
              <w:tab/>
            </w:r>
            <w:r w:rsidR="00F10A6B" w:rsidRPr="00A241F5">
              <w:rPr>
                <w:b/>
              </w:rPr>
              <w:t>Success fee model should apply where a DBA is in place</w:t>
            </w:r>
          </w:p>
        </w:tc>
        <w:tc>
          <w:tcPr>
            <w:tcW w:w="1152" w:type="dxa"/>
          </w:tcPr>
          <w:p w14:paraId="256493E2" w14:textId="2F3FC45A" w:rsidR="001238F2" w:rsidRPr="00A241F5" w:rsidRDefault="007D2BE9" w:rsidP="00AC7FE5">
            <w:pPr>
              <w:widowControl/>
              <w:spacing w:before="120" w:after="120"/>
              <w:jc w:val="center"/>
            </w:pPr>
            <w:r w:rsidRPr="00A241F5">
              <w:t>35</w:t>
            </w:r>
          </w:p>
        </w:tc>
      </w:tr>
      <w:tr w:rsidR="001238F2" w:rsidRPr="00A241F5" w14:paraId="1B8C4782" w14:textId="77777777" w:rsidTr="00343D09">
        <w:tc>
          <w:tcPr>
            <w:tcW w:w="7228" w:type="dxa"/>
          </w:tcPr>
          <w:p w14:paraId="2E2076CB" w14:textId="573F9ACE" w:rsidR="001238F2" w:rsidRPr="00A241F5" w:rsidRDefault="001238F2" w:rsidP="00F10A6B">
            <w:pPr>
              <w:widowControl/>
              <w:tabs>
                <w:tab w:val="left" w:pos="720"/>
              </w:tabs>
              <w:spacing w:before="120" w:after="120"/>
              <w:ind w:left="360" w:right="331" w:hanging="360"/>
              <w:jc w:val="left"/>
            </w:pPr>
            <w:r w:rsidRPr="00A241F5">
              <w:rPr>
                <w:rFonts w:cs="Arial"/>
              </w:rPr>
              <w:t>Responses</w:t>
            </w:r>
            <w:r w:rsidRPr="00A241F5">
              <w:t xml:space="preserve"> to the Sub-committee</w:t>
            </w:r>
            <w:r w:rsidR="00C61F4B" w:rsidRPr="00A241F5">
              <w:t>'</w:t>
            </w:r>
            <w:r w:rsidRPr="00A241F5">
              <w:t>s Recommendation 6</w:t>
            </w:r>
          </w:p>
        </w:tc>
        <w:tc>
          <w:tcPr>
            <w:tcW w:w="1152" w:type="dxa"/>
          </w:tcPr>
          <w:p w14:paraId="2E7A0E88" w14:textId="11B7AD4A" w:rsidR="001238F2" w:rsidRPr="00A241F5" w:rsidRDefault="007D2BE9" w:rsidP="00AC7FE5">
            <w:pPr>
              <w:widowControl/>
              <w:spacing w:before="120" w:after="120"/>
              <w:jc w:val="center"/>
            </w:pPr>
            <w:r w:rsidRPr="00A241F5">
              <w:t>3</w:t>
            </w:r>
            <w:r w:rsidR="009B4C22" w:rsidRPr="00A241F5">
              <w:t>5</w:t>
            </w:r>
          </w:p>
        </w:tc>
      </w:tr>
      <w:tr w:rsidR="001238F2" w:rsidRPr="00A241F5" w14:paraId="4B07E385" w14:textId="77777777" w:rsidTr="00343D09">
        <w:tc>
          <w:tcPr>
            <w:tcW w:w="7228" w:type="dxa"/>
          </w:tcPr>
          <w:p w14:paraId="64487E08" w14:textId="22C015DD" w:rsidR="001238F2" w:rsidRPr="00A241F5" w:rsidRDefault="001238F2" w:rsidP="00FE27E7">
            <w:pPr>
              <w:widowControl/>
              <w:tabs>
                <w:tab w:val="left" w:pos="720"/>
              </w:tabs>
              <w:spacing w:before="120" w:after="120"/>
              <w:ind w:left="1080" w:right="360" w:hanging="360"/>
              <w:jc w:val="left"/>
              <w:rPr>
                <w:rFonts w:cs="Arial"/>
              </w:rPr>
            </w:pPr>
            <w:r w:rsidRPr="00A241F5">
              <w:rPr>
                <w:rFonts w:cs="Arial"/>
              </w:rPr>
              <w:t xml:space="preserve">Comments from Respondents who </w:t>
            </w:r>
            <w:r w:rsidR="00FE27E7" w:rsidRPr="00A241F5">
              <w:rPr>
                <w:rFonts w:cs="Arial"/>
              </w:rPr>
              <w:t>supported</w:t>
            </w:r>
            <w:r w:rsidRPr="00A241F5">
              <w:rPr>
                <w:rFonts w:cs="Arial"/>
              </w:rPr>
              <w:t xml:space="preserve"> the Success fee model</w:t>
            </w:r>
          </w:p>
        </w:tc>
        <w:tc>
          <w:tcPr>
            <w:tcW w:w="1152" w:type="dxa"/>
          </w:tcPr>
          <w:p w14:paraId="4C17E062" w14:textId="6D6A7CD6" w:rsidR="001238F2" w:rsidRPr="00A241F5" w:rsidRDefault="007D2BE9" w:rsidP="00AC7FE5">
            <w:pPr>
              <w:widowControl/>
              <w:spacing w:before="120" w:after="120"/>
              <w:jc w:val="center"/>
            </w:pPr>
            <w:r w:rsidRPr="00A241F5">
              <w:t>35</w:t>
            </w:r>
          </w:p>
        </w:tc>
      </w:tr>
      <w:tr w:rsidR="00FE27E7" w:rsidRPr="00A241F5" w14:paraId="48ACD45D" w14:textId="77777777" w:rsidTr="00343D09">
        <w:tc>
          <w:tcPr>
            <w:tcW w:w="7228" w:type="dxa"/>
          </w:tcPr>
          <w:p w14:paraId="570B102C" w14:textId="0B6169DB" w:rsidR="00FE27E7" w:rsidRPr="00A241F5" w:rsidRDefault="00FE27E7" w:rsidP="00FE27E7">
            <w:pPr>
              <w:widowControl/>
              <w:tabs>
                <w:tab w:val="left" w:pos="720"/>
              </w:tabs>
              <w:spacing w:before="120" w:after="120"/>
              <w:ind w:left="1080" w:right="360" w:hanging="360"/>
              <w:jc w:val="left"/>
              <w:rPr>
                <w:rFonts w:cs="Arial"/>
              </w:rPr>
            </w:pPr>
            <w:r w:rsidRPr="00A241F5">
              <w:rPr>
                <w:rFonts w:cs="Arial"/>
              </w:rPr>
              <w:t>Comments from Respondents who opposed the Success fee model</w:t>
            </w:r>
          </w:p>
        </w:tc>
        <w:tc>
          <w:tcPr>
            <w:tcW w:w="1152" w:type="dxa"/>
          </w:tcPr>
          <w:p w14:paraId="5E785048" w14:textId="40A6619C" w:rsidR="00FE27E7" w:rsidRPr="00A241F5" w:rsidRDefault="007D2BE9" w:rsidP="00AC7FE5">
            <w:pPr>
              <w:widowControl/>
              <w:spacing w:before="120" w:after="120"/>
              <w:jc w:val="center"/>
            </w:pPr>
            <w:r w:rsidRPr="00A241F5">
              <w:t>37</w:t>
            </w:r>
          </w:p>
        </w:tc>
      </w:tr>
      <w:tr w:rsidR="001238F2" w:rsidRPr="00A241F5" w14:paraId="2B4B52CA" w14:textId="77777777" w:rsidTr="00343D09">
        <w:tc>
          <w:tcPr>
            <w:tcW w:w="7228" w:type="dxa"/>
          </w:tcPr>
          <w:p w14:paraId="08B04FF1" w14:textId="77777777" w:rsidR="001238F2" w:rsidRPr="00A241F5" w:rsidRDefault="001238F2" w:rsidP="00F10A6B">
            <w:pPr>
              <w:widowControl/>
              <w:tabs>
                <w:tab w:val="left" w:pos="720"/>
              </w:tabs>
              <w:spacing w:before="120" w:after="120"/>
              <w:ind w:left="360" w:right="331" w:hanging="360"/>
              <w:jc w:val="left"/>
              <w:rPr>
                <w:rFonts w:cs="Arial"/>
              </w:rPr>
            </w:pPr>
            <w:r w:rsidRPr="00A241F5">
              <w:rPr>
                <w:rFonts w:cs="Arial"/>
              </w:rPr>
              <w:t>Our analysis and response</w:t>
            </w:r>
          </w:p>
        </w:tc>
        <w:tc>
          <w:tcPr>
            <w:tcW w:w="1152" w:type="dxa"/>
          </w:tcPr>
          <w:p w14:paraId="6EF7963B" w14:textId="2C444CFB" w:rsidR="001238F2" w:rsidRPr="00A241F5" w:rsidRDefault="007D2BE9" w:rsidP="00AC7FE5">
            <w:pPr>
              <w:widowControl/>
              <w:spacing w:before="120" w:after="120"/>
              <w:jc w:val="center"/>
            </w:pPr>
            <w:r w:rsidRPr="00A241F5">
              <w:t>38</w:t>
            </w:r>
          </w:p>
        </w:tc>
      </w:tr>
      <w:tr w:rsidR="001238F2" w:rsidRPr="00A241F5" w14:paraId="33D8C1F8" w14:textId="77777777" w:rsidTr="00343D09">
        <w:tc>
          <w:tcPr>
            <w:tcW w:w="7228" w:type="dxa"/>
          </w:tcPr>
          <w:p w14:paraId="03B3E4E1" w14:textId="77777777" w:rsidR="001238F2" w:rsidRPr="00A241F5" w:rsidRDefault="001238F2" w:rsidP="00AC7FE5">
            <w:pPr>
              <w:widowControl/>
              <w:tabs>
                <w:tab w:val="left" w:pos="720"/>
              </w:tabs>
              <w:spacing w:before="120" w:after="120"/>
              <w:ind w:left="1080" w:right="331" w:hanging="360"/>
              <w:jc w:val="left"/>
            </w:pPr>
          </w:p>
        </w:tc>
        <w:tc>
          <w:tcPr>
            <w:tcW w:w="1152" w:type="dxa"/>
          </w:tcPr>
          <w:p w14:paraId="276048E2" w14:textId="77777777" w:rsidR="001238F2" w:rsidRPr="00A241F5" w:rsidRDefault="001238F2" w:rsidP="00AC7FE5">
            <w:pPr>
              <w:widowControl/>
              <w:spacing w:before="120" w:after="120"/>
              <w:jc w:val="center"/>
            </w:pPr>
          </w:p>
        </w:tc>
      </w:tr>
      <w:tr w:rsidR="001238F2" w:rsidRPr="00A241F5" w14:paraId="00C39234" w14:textId="77777777" w:rsidTr="00343D09">
        <w:tc>
          <w:tcPr>
            <w:tcW w:w="7228" w:type="dxa"/>
          </w:tcPr>
          <w:p w14:paraId="1D9625F5" w14:textId="7350C241" w:rsidR="001238F2" w:rsidRPr="00A241F5" w:rsidRDefault="00AB3F49" w:rsidP="007D2BE9">
            <w:pPr>
              <w:keepNext/>
              <w:widowControl/>
              <w:spacing w:before="120" w:after="120"/>
              <w:ind w:left="720" w:right="331" w:hanging="720"/>
              <w:jc w:val="left"/>
            </w:pPr>
            <w:r w:rsidRPr="00A241F5">
              <w:rPr>
                <w:b/>
              </w:rPr>
              <w:t>8</w:t>
            </w:r>
            <w:r w:rsidR="001238F2" w:rsidRPr="00A241F5">
              <w:rPr>
                <w:rFonts w:hint="eastAsia"/>
                <w:b/>
              </w:rPr>
              <w:t>.</w:t>
            </w:r>
            <w:r w:rsidR="001238F2" w:rsidRPr="00A241F5">
              <w:rPr>
                <w:b/>
              </w:rPr>
              <w:tab/>
            </w:r>
            <w:r w:rsidR="007D2BE9" w:rsidRPr="00A241F5">
              <w:rPr>
                <w:b/>
              </w:rPr>
              <w:t>Cap</w:t>
            </w:r>
            <w:r w:rsidR="005F4B9A" w:rsidRPr="00A241F5">
              <w:rPr>
                <w:b/>
              </w:rPr>
              <w:t xml:space="preserve"> on DBA Payment</w:t>
            </w:r>
          </w:p>
        </w:tc>
        <w:tc>
          <w:tcPr>
            <w:tcW w:w="1152" w:type="dxa"/>
          </w:tcPr>
          <w:p w14:paraId="243AD9D5" w14:textId="138940A0" w:rsidR="001238F2" w:rsidRPr="00A241F5" w:rsidRDefault="007D2BE9" w:rsidP="00AC7FE5">
            <w:pPr>
              <w:widowControl/>
              <w:spacing w:before="120" w:after="120"/>
              <w:jc w:val="center"/>
            </w:pPr>
            <w:r w:rsidRPr="00A241F5">
              <w:t>40</w:t>
            </w:r>
          </w:p>
        </w:tc>
      </w:tr>
      <w:tr w:rsidR="001238F2" w:rsidRPr="00A241F5" w14:paraId="05BD8477" w14:textId="77777777" w:rsidTr="00343D09">
        <w:tc>
          <w:tcPr>
            <w:tcW w:w="7228" w:type="dxa"/>
          </w:tcPr>
          <w:p w14:paraId="69CC95DA" w14:textId="52D52233" w:rsidR="001238F2" w:rsidRPr="00A241F5" w:rsidRDefault="001238F2" w:rsidP="005F4B9A">
            <w:pPr>
              <w:widowControl/>
              <w:tabs>
                <w:tab w:val="left" w:pos="720"/>
              </w:tabs>
              <w:spacing w:before="120" w:after="120"/>
              <w:ind w:left="360" w:right="331" w:hanging="360"/>
              <w:jc w:val="left"/>
            </w:pPr>
            <w:r w:rsidRPr="00A241F5">
              <w:t>Responses to the Sub-committee</w:t>
            </w:r>
            <w:r w:rsidR="00C61F4B" w:rsidRPr="00A241F5">
              <w:t>'</w:t>
            </w:r>
            <w:r w:rsidRPr="00A241F5">
              <w:t>s Recommendation 7</w:t>
            </w:r>
          </w:p>
        </w:tc>
        <w:tc>
          <w:tcPr>
            <w:tcW w:w="1152" w:type="dxa"/>
          </w:tcPr>
          <w:p w14:paraId="689DB88A" w14:textId="2A202F29" w:rsidR="001238F2" w:rsidRPr="00A241F5" w:rsidRDefault="007D2BE9" w:rsidP="00AC7FE5">
            <w:pPr>
              <w:widowControl/>
              <w:spacing w:before="120" w:after="120"/>
              <w:jc w:val="center"/>
            </w:pPr>
            <w:r w:rsidRPr="00A241F5">
              <w:t>40</w:t>
            </w:r>
          </w:p>
        </w:tc>
      </w:tr>
      <w:tr w:rsidR="001238F2" w:rsidRPr="00A241F5" w14:paraId="72423635" w14:textId="77777777" w:rsidTr="00343D09">
        <w:tc>
          <w:tcPr>
            <w:tcW w:w="7228" w:type="dxa"/>
          </w:tcPr>
          <w:p w14:paraId="528F8625" w14:textId="13A1D25C" w:rsidR="001238F2" w:rsidRPr="00A241F5" w:rsidRDefault="001238F2" w:rsidP="00FE27E7">
            <w:pPr>
              <w:widowControl/>
              <w:tabs>
                <w:tab w:val="left" w:pos="720"/>
              </w:tabs>
              <w:spacing w:before="120" w:after="120"/>
              <w:ind w:left="1080" w:right="331" w:hanging="360"/>
              <w:jc w:val="left"/>
              <w:rPr>
                <w:rFonts w:cs="Arial"/>
              </w:rPr>
            </w:pPr>
            <w:r w:rsidRPr="00A241F5">
              <w:rPr>
                <w:rFonts w:cs="Arial"/>
              </w:rPr>
              <w:t xml:space="preserve">Comments from Respondents who supported </w:t>
            </w:r>
            <w:r w:rsidR="00FE27E7" w:rsidRPr="00A241F5">
              <w:rPr>
                <w:rFonts w:cs="Arial"/>
              </w:rPr>
              <w:t>R</w:t>
            </w:r>
            <w:r w:rsidRPr="00A241F5">
              <w:rPr>
                <w:rFonts w:cs="Arial"/>
              </w:rPr>
              <w:t>ecommendation</w:t>
            </w:r>
            <w:r w:rsidR="00FE27E7" w:rsidRPr="00A241F5">
              <w:rPr>
                <w:rFonts w:cs="Arial"/>
              </w:rPr>
              <w:t xml:space="preserve"> 7</w:t>
            </w:r>
          </w:p>
        </w:tc>
        <w:tc>
          <w:tcPr>
            <w:tcW w:w="1152" w:type="dxa"/>
          </w:tcPr>
          <w:p w14:paraId="671A2D21" w14:textId="08034832" w:rsidR="001238F2" w:rsidRPr="00A241F5" w:rsidRDefault="007D2BE9" w:rsidP="00AC7FE5">
            <w:pPr>
              <w:widowControl/>
              <w:spacing w:before="120" w:after="120"/>
              <w:jc w:val="center"/>
            </w:pPr>
            <w:r w:rsidRPr="00A241F5">
              <w:t>40</w:t>
            </w:r>
          </w:p>
        </w:tc>
      </w:tr>
      <w:tr w:rsidR="001238F2" w:rsidRPr="00A241F5" w14:paraId="0628029A" w14:textId="77777777" w:rsidTr="00343D09">
        <w:tc>
          <w:tcPr>
            <w:tcW w:w="7228" w:type="dxa"/>
          </w:tcPr>
          <w:p w14:paraId="71268CAE" w14:textId="5A3BB36C" w:rsidR="001238F2" w:rsidRPr="00A241F5" w:rsidRDefault="001238F2" w:rsidP="00FE27E7">
            <w:pPr>
              <w:widowControl/>
              <w:tabs>
                <w:tab w:val="left" w:pos="720"/>
              </w:tabs>
              <w:spacing w:before="120" w:after="120"/>
              <w:ind w:left="1080" w:right="331" w:hanging="360"/>
              <w:jc w:val="left"/>
              <w:rPr>
                <w:rFonts w:cs="Arial"/>
              </w:rPr>
            </w:pPr>
            <w:r w:rsidRPr="00A241F5">
              <w:rPr>
                <w:rFonts w:cs="Arial"/>
              </w:rPr>
              <w:lastRenderedPageBreak/>
              <w:t xml:space="preserve">Comments from Respondents who opposed </w:t>
            </w:r>
            <w:r w:rsidR="00FE27E7" w:rsidRPr="00A241F5">
              <w:rPr>
                <w:rFonts w:cs="Arial"/>
              </w:rPr>
              <w:t>R</w:t>
            </w:r>
            <w:r w:rsidRPr="00A241F5">
              <w:rPr>
                <w:rFonts w:cs="Arial"/>
              </w:rPr>
              <w:t>ecommendation</w:t>
            </w:r>
            <w:r w:rsidR="00FE27E7" w:rsidRPr="00A241F5">
              <w:rPr>
                <w:rFonts w:cs="Arial"/>
              </w:rPr>
              <w:t xml:space="preserve"> 7</w:t>
            </w:r>
          </w:p>
        </w:tc>
        <w:tc>
          <w:tcPr>
            <w:tcW w:w="1152" w:type="dxa"/>
          </w:tcPr>
          <w:p w14:paraId="6EEFF21C" w14:textId="24010D03" w:rsidR="001238F2" w:rsidRPr="00A241F5" w:rsidRDefault="007D2BE9" w:rsidP="00AC7FE5">
            <w:pPr>
              <w:widowControl/>
              <w:spacing w:before="120" w:after="120"/>
              <w:jc w:val="center"/>
            </w:pPr>
            <w:r w:rsidRPr="00A241F5">
              <w:t>42</w:t>
            </w:r>
          </w:p>
        </w:tc>
      </w:tr>
      <w:tr w:rsidR="001238F2" w:rsidRPr="00A241F5" w14:paraId="2DFB6D9E" w14:textId="77777777" w:rsidTr="00343D09">
        <w:tc>
          <w:tcPr>
            <w:tcW w:w="7228" w:type="dxa"/>
          </w:tcPr>
          <w:p w14:paraId="47F88D1C" w14:textId="77777777" w:rsidR="001238F2" w:rsidRPr="00A241F5" w:rsidRDefault="001238F2" w:rsidP="005F4B9A">
            <w:pPr>
              <w:widowControl/>
              <w:tabs>
                <w:tab w:val="left" w:pos="720"/>
              </w:tabs>
              <w:spacing w:before="120" w:after="120"/>
              <w:ind w:left="360" w:right="331" w:hanging="360"/>
              <w:jc w:val="left"/>
              <w:rPr>
                <w:rFonts w:cs="Arial"/>
              </w:rPr>
            </w:pPr>
            <w:r w:rsidRPr="00A241F5">
              <w:rPr>
                <w:rFonts w:cs="Arial"/>
              </w:rPr>
              <w:t>Our analysis and response</w:t>
            </w:r>
          </w:p>
        </w:tc>
        <w:tc>
          <w:tcPr>
            <w:tcW w:w="1152" w:type="dxa"/>
          </w:tcPr>
          <w:p w14:paraId="254A49BC" w14:textId="5E04C76F" w:rsidR="001238F2" w:rsidRPr="00A241F5" w:rsidRDefault="007D2BE9" w:rsidP="00AC7FE5">
            <w:pPr>
              <w:widowControl/>
              <w:spacing w:before="120" w:after="120"/>
              <w:jc w:val="center"/>
            </w:pPr>
            <w:r w:rsidRPr="00A241F5">
              <w:t>42</w:t>
            </w:r>
          </w:p>
        </w:tc>
      </w:tr>
      <w:tr w:rsidR="001238F2" w:rsidRPr="00A241F5" w14:paraId="7F2FDB64" w14:textId="77777777" w:rsidTr="00343D09">
        <w:tc>
          <w:tcPr>
            <w:tcW w:w="7228" w:type="dxa"/>
          </w:tcPr>
          <w:p w14:paraId="21A90258" w14:textId="77777777" w:rsidR="001238F2" w:rsidRPr="00A241F5" w:rsidRDefault="001238F2" w:rsidP="00AC7FE5">
            <w:pPr>
              <w:widowControl/>
              <w:tabs>
                <w:tab w:val="left" w:pos="720"/>
              </w:tabs>
              <w:spacing w:before="120" w:after="120"/>
              <w:ind w:left="1080" w:right="331" w:hanging="360"/>
              <w:jc w:val="left"/>
            </w:pPr>
          </w:p>
        </w:tc>
        <w:tc>
          <w:tcPr>
            <w:tcW w:w="1152" w:type="dxa"/>
          </w:tcPr>
          <w:p w14:paraId="6BCBA96E" w14:textId="77777777" w:rsidR="001238F2" w:rsidRPr="00A241F5" w:rsidRDefault="001238F2" w:rsidP="00AC7FE5">
            <w:pPr>
              <w:widowControl/>
              <w:spacing w:before="120" w:after="120"/>
              <w:jc w:val="center"/>
            </w:pPr>
          </w:p>
        </w:tc>
      </w:tr>
      <w:tr w:rsidR="001238F2" w:rsidRPr="00A241F5" w14:paraId="263F0576" w14:textId="77777777" w:rsidTr="00343D09">
        <w:tc>
          <w:tcPr>
            <w:tcW w:w="7228" w:type="dxa"/>
          </w:tcPr>
          <w:p w14:paraId="6A008409" w14:textId="21650CA8" w:rsidR="001238F2" w:rsidRPr="00A241F5" w:rsidRDefault="00AB3F49" w:rsidP="00FE27E7">
            <w:pPr>
              <w:widowControl/>
              <w:spacing w:before="120" w:after="120"/>
              <w:ind w:left="720" w:right="331" w:hanging="720"/>
              <w:jc w:val="left"/>
            </w:pPr>
            <w:r w:rsidRPr="00A241F5">
              <w:rPr>
                <w:b/>
              </w:rPr>
              <w:t>9</w:t>
            </w:r>
            <w:r w:rsidR="001238F2" w:rsidRPr="00A241F5">
              <w:rPr>
                <w:rFonts w:hint="eastAsia"/>
                <w:b/>
              </w:rPr>
              <w:t>.</w:t>
            </w:r>
            <w:r w:rsidR="001238F2" w:rsidRPr="00A241F5">
              <w:rPr>
                <w:b/>
              </w:rPr>
              <w:tab/>
            </w:r>
            <w:r w:rsidR="00476986" w:rsidRPr="00A241F5">
              <w:rPr>
                <w:b/>
              </w:rPr>
              <w:t>Circumstances for termination of CFA, DBA or Hybrid</w:t>
            </w:r>
            <w:r w:rsidR="00FE27E7" w:rsidRPr="00A241F5">
              <w:rPr>
                <w:b/>
              </w:rPr>
              <w:t> </w:t>
            </w:r>
            <w:r w:rsidR="00476986" w:rsidRPr="00A241F5">
              <w:rPr>
                <w:b/>
              </w:rPr>
              <w:t>DBA</w:t>
            </w:r>
          </w:p>
        </w:tc>
        <w:tc>
          <w:tcPr>
            <w:tcW w:w="1152" w:type="dxa"/>
          </w:tcPr>
          <w:p w14:paraId="30D63F16" w14:textId="393038BE" w:rsidR="001238F2" w:rsidRPr="00A241F5" w:rsidRDefault="007D2BE9" w:rsidP="00AC7FE5">
            <w:pPr>
              <w:widowControl/>
              <w:spacing w:before="120" w:after="120"/>
              <w:jc w:val="center"/>
            </w:pPr>
            <w:r w:rsidRPr="00A241F5">
              <w:t>45</w:t>
            </w:r>
          </w:p>
        </w:tc>
      </w:tr>
      <w:tr w:rsidR="001238F2" w:rsidRPr="00A241F5" w14:paraId="0373B6A4" w14:textId="77777777" w:rsidTr="00343D09">
        <w:tc>
          <w:tcPr>
            <w:tcW w:w="7228" w:type="dxa"/>
          </w:tcPr>
          <w:p w14:paraId="5AC14ADE" w14:textId="3FE8A658" w:rsidR="001238F2" w:rsidRPr="00A241F5" w:rsidRDefault="001238F2" w:rsidP="00FE27E7">
            <w:pPr>
              <w:widowControl/>
              <w:tabs>
                <w:tab w:val="left" w:pos="720"/>
              </w:tabs>
              <w:spacing w:before="120" w:after="120"/>
              <w:ind w:left="360" w:right="331" w:hanging="360"/>
              <w:jc w:val="left"/>
            </w:pPr>
            <w:r w:rsidRPr="00A241F5">
              <w:t>Responses to the Sub-committee</w:t>
            </w:r>
            <w:r w:rsidR="00C61F4B" w:rsidRPr="00A241F5">
              <w:t>'</w:t>
            </w:r>
            <w:r w:rsidRPr="00A241F5">
              <w:t xml:space="preserve">s Recommendation 8(a) </w:t>
            </w:r>
            <w:r w:rsidR="00FE27E7" w:rsidRPr="00A241F5">
              <w:t>and </w:t>
            </w:r>
            <w:r w:rsidRPr="00A241F5">
              <w:t>(b)</w:t>
            </w:r>
          </w:p>
        </w:tc>
        <w:tc>
          <w:tcPr>
            <w:tcW w:w="1152" w:type="dxa"/>
          </w:tcPr>
          <w:p w14:paraId="44622008" w14:textId="64321244" w:rsidR="001238F2" w:rsidRPr="00A241F5" w:rsidRDefault="007D2BE9" w:rsidP="00AC7FE5">
            <w:pPr>
              <w:widowControl/>
              <w:spacing w:before="120" w:after="120"/>
              <w:jc w:val="center"/>
            </w:pPr>
            <w:r w:rsidRPr="00A241F5">
              <w:t>45</w:t>
            </w:r>
          </w:p>
        </w:tc>
      </w:tr>
      <w:tr w:rsidR="00FE27E7" w:rsidRPr="00A241F5" w14:paraId="7F1F13E1" w14:textId="77777777" w:rsidTr="00343D09">
        <w:tc>
          <w:tcPr>
            <w:tcW w:w="7228" w:type="dxa"/>
          </w:tcPr>
          <w:p w14:paraId="32B95F5E" w14:textId="10DAA538" w:rsidR="00FE27E7" w:rsidRPr="00A241F5" w:rsidRDefault="00FE27E7" w:rsidP="005F4B9A">
            <w:pPr>
              <w:widowControl/>
              <w:tabs>
                <w:tab w:val="left" w:pos="720"/>
              </w:tabs>
              <w:spacing w:before="120" w:after="120"/>
              <w:ind w:left="1080" w:right="331" w:hanging="360"/>
              <w:jc w:val="left"/>
              <w:rPr>
                <w:rFonts w:cs="Arial"/>
              </w:rPr>
            </w:pPr>
            <w:r w:rsidRPr="00A241F5">
              <w:rPr>
                <w:rFonts w:cs="Arial"/>
              </w:rPr>
              <w:t>Recommendation 8(a)</w:t>
            </w:r>
          </w:p>
        </w:tc>
        <w:tc>
          <w:tcPr>
            <w:tcW w:w="1152" w:type="dxa"/>
          </w:tcPr>
          <w:p w14:paraId="0C8C582B" w14:textId="228A2E0C" w:rsidR="00FE27E7" w:rsidRPr="00A241F5" w:rsidRDefault="007D2BE9" w:rsidP="00AC7FE5">
            <w:pPr>
              <w:widowControl/>
              <w:spacing w:before="120" w:after="120"/>
              <w:jc w:val="center"/>
            </w:pPr>
            <w:r w:rsidRPr="00A241F5">
              <w:t>45</w:t>
            </w:r>
          </w:p>
        </w:tc>
      </w:tr>
      <w:tr w:rsidR="001238F2" w:rsidRPr="00A241F5" w14:paraId="0BF584C5" w14:textId="77777777" w:rsidTr="00343D09">
        <w:tc>
          <w:tcPr>
            <w:tcW w:w="7228" w:type="dxa"/>
          </w:tcPr>
          <w:p w14:paraId="7F5173EB" w14:textId="33B4825F" w:rsidR="001238F2" w:rsidRPr="00A241F5" w:rsidRDefault="001238F2" w:rsidP="00FE27E7">
            <w:pPr>
              <w:widowControl/>
              <w:tabs>
                <w:tab w:val="left" w:pos="720"/>
              </w:tabs>
              <w:spacing w:before="120" w:after="120"/>
              <w:ind w:left="1080" w:right="331" w:hanging="360"/>
              <w:jc w:val="left"/>
              <w:rPr>
                <w:rFonts w:cs="Arial"/>
              </w:rPr>
            </w:pPr>
            <w:r w:rsidRPr="00A241F5">
              <w:rPr>
                <w:rFonts w:cs="Arial"/>
              </w:rPr>
              <w:t>Our analysis and response</w:t>
            </w:r>
            <w:r w:rsidR="00FE27E7" w:rsidRPr="00A241F5">
              <w:rPr>
                <w:rFonts w:cs="Arial"/>
              </w:rPr>
              <w:t xml:space="preserve"> on </w:t>
            </w:r>
            <w:r w:rsidR="007D2BE9" w:rsidRPr="00A241F5">
              <w:rPr>
                <w:rFonts w:cs="Arial"/>
              </w:rPr>
              <w:t xml:space="preserve">Recommendation </w:t>
            </w:r>
            <w:r w:rsidR="00FE27E7" w:rsidRPr="00A241F5">
              <w:rPr>
                <w:rFonts w:cs="Arial"/>
              </w:rPr>
              <w:t>8(a)</w:t>
            </w:r>
          </w:p>
        </w:tc>
        <w:tc>
          <w:tcPr>
            <w:tcW w:w="1152" w:type="dxa"/>
          </w:tcPr>
          <w:p w14:paraId="72D90DDB" w14:textId="4D8D50A1" w:rsidR="001238F2" w:rsidRPr="00A241F5" w:rsidRDefault="007D2BE9" w:rsidP="00AC7FE5">
            <w:pPr>
              <w:widowControl/>
              <w:spacing w:before="120" w:after="120"/>
              <w:jc w:val="center"/>
            </w:pPr>
            <w:r w:rsidRPr="00A241F5">
              <w:t>47</w:t>
            </w:r>
          </w:p>
        </w:tc>
      </w:tr>
      <w:tr w:rsidR="00FE27E7" w:rsidRPr="00A241F5" w14:paraId="21296A8A" w14:textId="77777777" w:rsidTr="00343D09">
        <w:tc>
          <w:tcPr>
            <w:tcW w:w="7228" w:type="dxa"/>
          </w:tcPr>
          <w:p w14:paraId="1226885F" w14:textId="474A95DE" w:rsidR="00FE27E7" w:rsidRPr="00A241F5" w:rsidRDefault="00FE27E7" w:rsidP="00FE27E7">
            <w:pPr>
              <w:widowControl/>
              <w:tabs>
                <w:tab w:val="left" w:pos="720"/>
              </w:tabs>
              <w:spacing w:before="120" w:after="120"/>
              <w:ind w:left="1080" w:right="331" w:hanging="360"/>
              <w:jc w:val="left"/>
              <w:rPr>
                <w:rFonts w:cs="Arial"/>
              </w:rPr>
            </w:pPr>
            <w:r w:rsidRPr="00A241F5">
              <w:rPr>
                <w:rFonts w:cs="Arial"/>
              </w:rPr>
              <w:t>Recommendation 8(b)</w:t>
            </w:r>
          </w:p>
        </w:tc>
        <w:tc>
          <w:tcPr>
            <w:tcW w:w="1152" w:type="dxa"/>
          </w:tcPr>
          <w:p w14:paraId="6B4A6C4B" w14:textId="439FC473" w:rsidR="00FE27E7" w:rsidRPr="00A241F5" w:rsidRDefault="00421F84" w:rsidP="00AC7FE5">
            <w:pPr>
              <w:widowControl/>
              <w:spacing w:before="120" w:after="120"/>
              <w:jc w:val="center"/>
            </w:pPr>
            <w:r w:rsidRPr="00A241F5">
              <w:t>49</w:t>
            </w:r>
          </w:p>
        </w:tc>
      </w:tr>
      <w:tr w:rsidR="00FE27E7" w:rsidRPr="00A241F5" w14:paraId="440F9D4B" w14:textId="77777777" w:rsidTr="00343D09">
        <w:tc>
          <w:tcPr>
            <w:tcW w:w="7228" w:type="dxa"/>
          </w:tcPr>
          <w:p w14:paraId="57F9E7B2" w14:textId="0A6BF35F" w:rsidR="00FE27E7" w:rsidRPr="00A241F5" w:rsidRDefault="00FE27E7" w:rsidP="00395209">
            <w:pPr>
              <w:widowControl/>
              <w:tabs>
                <w:tab w:val="left" w:pos="720"/>
              </w:tabs>
              <w:spacing w:before="120" w:after="120"/>
              <w:ind w:left="1080" w:right="331" w:hanging="360"/>
              <w:jc w:val="left"/>
              <w:rPr>
                <w:rFonts w:cs="Arial"/>
              </w:rPr>
            </w:pPr>
            <w:r w:rsidRPr="00A241F5">
              <w:rPr>
                <w:rFonts w:cs="Arial"/>
              </w:rPr>
              <w:t xml:space="preserve">Our analysis and response on </w:t>
            </w:r>
            <w:r w:rsidR="00421F84" w:rsidRPr="00A241F5">
              <w:rPr>
                <w:rFonts w:cs="Arial"/>
              </w:rPr>
              <w:t xml:space="preserve">Recommendation </w:t>
            </w:r>
            <w:r w:rsidRPr="00A241F5">
              <w:rPr>
                <w:rFonts w:cs="Arial"/>
              </w:rPr>
              <w:t>8(b)</w:t>
            </w:r>
          </w:p>
        </w:tc>
        <w:tc>
          <w:tcPr>
            <w:tcW w:w="1152" w:type="dxa"/>
          </w:tcPr>
          <w:p w14:paraId="293A7E64" w14:textId="2807E1AA" w:rsidR="00FE27E7" w:rsidRPr="00A241F5" w:rsidRDefault="00421F84" w:rsidP="00395209">
            <w:pPr>
              <w:widowControl/>
              <w:spacing w:before="120" w:after="120"/>
              <w:jc w:val="center"/>
            </w:pPr>
            <w:r w:rsidRPr="00A241F5">
              <w:t>49</w:t>
            </w:r>
          </w:p>
        </w:tc>
      </w:tr>
      <w:tr w:rsidR="001238F2" w:rsidRPr="00A241F5" w14:paraId="4F87A314" w14:textId="77777777" w:rsidTr="00343D09">
        <w:tc>
          <w:tcPr>
            <w:tcW w:w="7228" w:type="dxa"/>
          </w:tcPr>
          <w:p w14:paraId="64F336EE" w14:textId="77777777" w:rsidR="001238F2" w:rsidRPr="00A241F5" w:rsidRDefault="001238F2" w:rsidP="00AC7FE5">
            <w:pPr>
              <w:widowControl/>
              <w:tabs>
                <w:tab w:val="left" w:pos="720"/>
              </w:tabs>
              <w:spacing w:before="120" w:after="120"/>
              <w:ind w:left="1080" w:right="331" w:hanging="360"/>
              <w:jc w:val="left"/>
            </w:pPr>
          </w:p>
        </w:tc>
        <w:tc>
          <w:tcPr>
            <w:tcW w:w="1152" w:type="dxa"/>
          </w:tcPr>
          <w:p w14:paraId="618F3F98" w14:textId="77777777" w:rsidR="001238F2" w:rsidRPr="00A241F5" w:rsidRDefault="001238F2" w:rsidP="00AC7FE5">
            <w:pPr>
              <w:widowControl/>
              <w:spacing w:before="120" w:after="120"/>
              <w:jc w:val="center"/>
            </w:pPr>
          </w:p>
        </w:tc>
      </w:tr>
      <w:tr w:rsidR="001238F2" w:rsidRPr="00A241F5" w14:paraId="24C53BD7" w14:textId="77777777" w:rsidTr="00343D09">
        <w:tc>
          <w:tcPr>
            <w:tcW w:w="7228" w:type="dxa"/>
          </w:tcPr>
          <w:p w14:paraId="21880F95" w14:textId="1A2F9D62" w:rsidR="001238F2" w:rsidRPr="00A241F5" w:rsidRDefault="00AB3F49" w:rsidP="00FE27E7">
            <w:pPr>
              <w:widowControl/>
              <w:spacing w:before="120" w:after="120"/>
              <w:ind w:left="720" w:right="331" w:hanging="720"/>
              <w:jc w:val="left"/>
              <w:rPr>
                <w:b/>
              </w:rPr>
            </w:pPr>
            <w:r w:rsidRPr="00A241F5">
              <w:rPr>
                <w:b/>
              </w:rPr>
              <w:t>10</w:t>
            </w:r>
            <w:r w:rsidR="001238F2" w:rsidRPr="00A241F5">
              <w:rPr>
                <w:rFonts w:hint="eastAsia"/>
                <w:b/>
              </w:rPr>
              <w:t>.</w:t>
            </w:r>
            <w:r w:rsidR="001238F2" w:rsidRPr="00A241F5">
              <w:rPr>
                <w:b/>
              </w:rPr>
              <w:tab/>
            </w:r>
            <w:r w:rsidR="00FE27E7" w:rsidRPr="00A241F5">
              <w:rPr>
                <w:b/>
              </w:rPr>
              <w:t>Treatment of barristers</w:t>
            </w:r>
            <w:r w:rsidR="00C61F4B" w:rsidRPr="00A241F5">
              <w:rPr>
                <w:b/>
              </w:rPr>
              <w:t>'</w:t>
            </w:r>
            <w:r w:rsidR="00FE27E7" w:rsidRPr="00A241F5">
              <w:rPr>
                <w:b/>
              </w:rPr>
              <w:t xml:space="preserve"> fees</w:t>
            </w:r>
          </w:p>
        </w:tc>
        <w:tc>
          <w:tcPr>
            <w:tcW w:w="1152" w:type="dxa"/>
          </w:tcPr>
          <w:p w14:paraId="7BCA8E62" w14:textId="239996C0" w:rsidR="001238F2" w:rsidRPr="00A241F5" w:rsidRDefault="00F74883" w:rsidP="00F74883">
            <w:pPr>
              <w:widowControl/>
              <w:spacing w:before="120" w:after="120"/>
              <w:jc w:val="center"/>
            </w:pPr>
            <w:r w:rsidRPr="00A241F5">
              <w:t>51</w:t>
            </w:r>
          </w:p>
        </w:tc>
      </w:tr>
      <w:tr w:rsidR="001238F2" w:rsidRPr="00A241F5" w14:paraId="0341B171" w14:textId="77777777" w:rsidTr="00343D09">
        <w:tc>
          <w:tcPr>
            <w:tcW w:w="7228" w:type="dxa"/>
          </w:tcPr>
          <w:p w14:paraId="3D9572DC" w14:textId="32F768C1" w:rsidR="001238F2" w:rsidRPr="00A241F5" w:rsidRDefault="001238F2" w:rsidP="00C9023E">
            <w:pPr>
              <w:widowControl/>
              <w:tabs>
                <w:tab w:val="left" w:pos="720"/>
              </w:tabs>
              <w:spacing w:before="120" w:after="120"/>
              <w:ind w:left="360" w:right="331" w:hanging="360"/>
              <w:jc w:val="left"/>
            </w:pPr>
            <w:r w:rsidRPr="00A241F5">
              <w:t>Responses to the Sub-committee</w:t>
            </w:r>
            <w:r w:rsidR="00C61F4B" w:rsidRPr="00A241F5">
              <w:t>'</w:t>
            </w:r>
            <w:r w:rsidRPr="00A241F5">
              <w:t>s Recommendation 9</w:t>
            </w:r>
            <w:r w:rsidR="00A10EC2" w:rsidRPr="00A241F5">
              <w:t>(1) and</w:t>
            </w:r>
            <w:r w:rsidR="00C9023E">
              <w:t> </w:t>
            </w:r>
            <w:r w:rsidR="00A10EC2" w:rsidRPr="00A241F5">
              <w:t>(2)</w:t>
            </w:r>
          </w:p>
        </w:tc>
        <w:tc>
          <w:tcPr>
            <w:tcW w:w="1152" w:type="dxa"/>
          </w:tcPr>
          <w:p w14:paraId="29642DE7" w14:textId="2DB68243" w:rsidR="001238F2" w:rsidRPr="00A241F5" w:rsidRDefault="00F74883" w:rsidP="00F74883">
            <w:pPr>
              <w:widowControl/>
              <w:spacing w:before="120" w:after="120"/>
              <w:jc w:val="center"/>
            </w:pPr>
            <w:r w:rsidRPr="00A241F5">
              <w:t>51</w:t>
            </w:r>
          </w:p>
        </w:tc>
      </w:tr>
      <w:tr w:rsidR="001238F2" w:rsidRPr="00A241F5" w14:paraId="74CCF108" w14:textId="77777777" w:rsidTr="00343D09">
        <w:tc>
          <w:tcPr>
            <w:tcW w:w="7228" w:type="dxa"/>
          </w:tcPr>
          <w:p w14:paraId="1E203F34" w14:textId="7D1744A5" w:rsidR="001238F2" w:rsidRPr="00A241F5" w:rsidRDefault="00FE27E7" w:rsidP="00FE27E7">
            <w:pPr>
              <w:widowControl/>
              <w:tabs>
                <w:tab w:val="left" w:pos="720"/>
              </w:tabs>
              <w:spacing w:before="120" w:after="120"/>
              <w:ind w:left="1080" w:right="331" w:hanging="360"/>
              <w:jc w:val="left"/>
              <w:rPr>
                <w:rFonts w:cs="Arial"/>
              </w:rPr>
            </w:pPr>
            <w:r w:rsidRPr="00A241F5">
              <w:rPr>
                <w:rFonts w:cs="Arial"/>
              </w:rPr>
              <w:t>R</w:t>
            </w:r>
            <w:r w:rsidR="001238F2" w:rsidRPr="00A241F5">
              <w:rPr>
                <w:rFonts w:cs="Arial"/>
              </w:rPr>
              <w:t>ecommendation</w:t>
            </w:r>
            <w:r w:rsidR="00476986" w:rsidRPr="00A241F5">
              <w:rPr>
                <w:rFonts w:cs="Arial"/>
              </w:rPr>
              <w:t xml:space="preserve"> 9(1)</w:t>
            </w:r>
          </w:p>
        </w:tc>
        <w:tc>
          <w:tcPr>
            <w:tcW w:w="1152" w:type="dxa"/>
          </w:tcPr>
          <w:p w14:paraId="56256CD4" w14:textId="2F7C701B" w:rsidR="001238F2" w:rsidRPr="00A241F5" w:rsidRDefault="00F74883" w:rsidP="00F74883">
            <w:pPr>
              <w:widowControl/>
              <w:spacing w:before="120" w:after="120"/>
              <w:jc w:val="center"/>
            </w:pPr>
            <w:r w:rsidRPr="00A241F5">
              <w:t>51</w:t>
            </w:r>
          </w:p>
        </w:tc>
      </w:tr>
      <w:tr w:rsidR="00FE27E7" w:rsidRPr="00A241F5" w14:paraId="2B4FEB7C" w14:textId="77777777" w:rsidTr="00343D09">
        <w:tc>
          <w:tcPr>
            <w:tcW w:w="7228" w:type="dxa"/>
          </w:tcPr>
          <w:p w14:paraId="2E18062A" w14:textId="460EB5EB" w:rsidR="00FE27E7" w:rsidRPr="00A241F5" w:rsidRDefault="00FE27E7" w:rsidP="00FE27E7">
            <w:pPr>
              <w:widowControl/>
              <w:tabs>
                <w:tab w:val="left" w:pos="720"/>
              </w:tabs>
              <w:spacing w:before="120" w:after="120"/>
              <w:ind w:left="1080" w:right="331" w:hanging="360"/>
              <w:jc w:val="left"/>
              <w:rPr>
                <w:rFonts w:cs="Arial"/>
              </w:rPr>
            </w:pPr>
            <w:r w:rsidRPr="00A241F5">
              <w:rPr>
                <w:rFonts w:cs="Arial"/>
              </w:rPr>
              <w:t>Our analysis and response</w:t>
            </w:r>
          </w:p>
        </w:tc>
        <w:tc>
          <w:tcPr>
            <w:tcW w:w="1152" w:type="dxa"/>
          </w:tcPr>
          <w:p w14:paraId="6AB13520" w14:textId="3BC962A4" w:rsidR="00FE27E7" w:rsidRPr="00A241F5" w:rsidRDefault="00F74883" w:rsidP="00F74883">
            <w:pPr>
              <w:widowControl/>
              <w:spacing w:before="120" w:after="120"/>
              <w:jc w:val="center"/>
            </w:pPr>
            <w:r w:rsidRPr="00A241F5">
              <w:t>52</w:t>
            </w:r>
          </w:p>
        </w:tc>
      </w:tr>
      <w:tr w:rsidR="001238F2" w:rsidRPr="00A241F5" w14:paraId="1FEC15B7" w14:textId="77777777" w:rsidTr="00343D09">
        <w:tc>
          <w:tcPr>
            <w:tcW w:w="7228" w:type="dxa"/>
          </w:tcPr>
          <w:p w14:paraId="7547AEF2" w14:textId="63166A3F" w:rsidR="001238F2" w:rsidRPr="00A241F5" w:rsidRDefault="00FE27E7" w:rsidP="00FE27E7">
            <w:pPr>
              <w:widowControl/>
              <w:tabs>
                <w:tab w:val="left" w:pos="720"/>
              </w:tabs>
              <w:spacing w:before="120" w:after="120"/>
              <w:ind w:left="1080" w:right="331" w:hanging="360"/>
              <w:jc w:val="left"/>
              <w:rPr>
                <w:rFonts w:cs="Arial"/>
              </w:rPr>
            </w:pPr>
            <w:r w:rsidRPr="00A241F5">
              <w:rPr>
                <w:rFonts w:cs="Arial"/>
              </w:rPr>
              <w:t>R</w:t>
            </w:r>
            <w:r w:rsidR="001238F2" w:rsidRPr="00A241F5">
              <w:rPr>
                <w:rFonts w:cs="Arial"/>
              </w:rPr>
              <w:t>ecommendation</w:t>
            </w:r>
            <w:r w:rsidR="00476986" w:rsidRPr="00A241F5">
              <w:rPr>
                <w:rFonts w:cs="Arial"/>
              </w:rPr>
              <w:t xml:space="preserve"> 9(2)</w:t>
            </w:r>
          </w:p>
        </w:tc>
        <w:tc>
          <w:tcPr>
            <w:tcW w:w="1152" w:type="dxa"/>
          </w:tcPr>
          <w:p w14:paraId="5A0F819C" w14:textId="3C4EEB78" w:rsidR="001238F2" w:rsidRPr="00A241F5" w:rsidRDefault="00F74883" w:rsidP="00F74883">
            <w:pPr>
              <w:widowControl/>
              <w:spacing w:before="120" w:after="120"/>
              <w:jc w:val="center"/>
            </w:pPr>
            <w:r w:rsidRPr="00A241F5">
              <w:t>53</w:t>
            </w:r>
          </w:p>
        </w:tc>
      </w:tr>
      <w:tr w:rsidR="001238F2" w:rsidRPr="00A241F5" w14:paraId="1DF9844B" w14:textId="77777777" w:rsidTr="00343D09">
        <w:tc>
          <w:tcPr>
            <w:tcW w:w="7228" w:type="dxa"/>
          </w:tcPr>
          <w:p w14:paraId="3F09D15E" w14:textId="77777777" w:rsidR="001238F2" w:rsidRPr="00A241F5" w:rsidRDefault="001238F2" w:rsidP="00476986">
            <w:pPr>
              <w:widowControl/>
              <w:tabs>
                <w:tab w:val="left" w:pos="720"/>
              </w:tabs>
              <w:spacing w:before="120" w:after="120"/>
              <w:ind w:left="1080" w:right="331" w:hanging="360"/>
              <w:jc w:val="left"/>
              <w:rPr>
                <w:rFonts w:cs="Arial"/>
              </w:rPr>
            </w:pPr>
            <w:r w:rsidRPr="00A241F5">
              <w:rPr>
                <w:rFonts w:cs="Arial"/>
              </w:rPr>
              <w:t>Our analysis and response</w:t>
            </w:r>
          </w:p>
        </w:tc>
        <w:tc>
          <w:tcPr>
            <w:tcW w:w="1152" w:type="dxa"/>
          </w:tcPr>
          <w:p w14:paraId="76B1CC5A" w14:textId="1349704E" w:rsidR="001238F2" w:rsidRPr="00A241F5" w:rsidRDefault="00F74883" w:rsidP="00AC7FE5">
            <w:pPr>
              <w:widowControl/>
              <w:spacing w:before="120" w:after="120"/>
              <w:jc w:val="center"/>
            </w:pPr>
            <w:r w:rsidRPr="00A241F5">
              <w:t>53</w:t>
            </w:r>
          </w:p>
        </w:tc>
      </w:tr>
      <w:tr w:rsidR="001238F2" w:rsidRPr="00A241F5" w14:paraId="21AB0CDD" w14:textId="77777777" w:rsidTr="00343D09">
        <w:tc>
          <w:tcPr>
            <w:tcW w:w="7228" w:type="dxa"/>
          </w:tcPr>
          <w:p w14:paraId="2DBCC99E" w14:textId="77777777" w:rsidR="001238F2" w:rsidRPr="00A241F5" w:rsidRDefault="001238F2" w:rsidP="00AC7FE5">
            <w:pPr>
              <w:widowControl/>
              <w:tabs>
                <w:tab w:val="left" w:pos="720"/>
              </w:tabs>
              <w:spacing w:before="120" w:after="120"/>
              <w:ind w:left="1080" w:right="331" w:hanging="360"/>
              <w:jc w:val="left"/>
            </w:pPr>
          </w:p>
        </w:tc>
        <w:tc>
          <w:tcPr>
            <w:tcW w:w="1152" w:type="dxa"/>
          </w:tcPr>
          <w:p w14:paraId="3E8F7C94" w14:textId="77777777" w:rsidR="001238F2" w:rsidRPr="00A241F5" w:rsidRDefault="001238F2" w:rsidP="00AC7FE5">
            <w:pPr>
              <w:widowControl/>
              <w:spacing w:before="120" w:after="120"/>
              <w:jc w:val="center"/>
            </w:pPr>
          </w:p>
        </w:tc>
      </w:tr>
      <w:tr w:rsidR="001238F2" w:rsidRPr="00A241F5" w14:paraId="69C28360" w14:textId="77777777" w:rsidTr="00343D09">
        <w:tc>
          <w:tcPr>
            <w:tcW w:w="7228" w:type="dxa"/>
          </w:tcPr>
          <w:p w14:paraId="3A193E9F" w14:textId="2F0748AD" w:rsidR="001238F2" w:rsidRPr="00A241F5" w:rsidRDefault="00AB3F49" w:rsidP="00AC7FE5">
            <w:pPr>
              <w:widowControl/>
              <w:spacing w:before="120" w:after="120"/>
              <w:ind w:left="720" w:right="331" w:hanging="720"/>
              <w:jc w:val="left"/>
            </w:pPr>
            <w:r w:rsidRPr="00A241F5">
              <w:rPr>
                <w:b/>
              </w:rPr>
              <w:t>11</w:t>
            </w:r>
            <w:r w:rsidR="001238F2" w:rsidRPr="00A241F5">
              <w:rPr>
                <w:rFonts w:hint="eastAsia"/>
                <w:b/>
              </w:rPr>
              <w:t>.</w:t>
            </w:r>
            <w:r w:rsidR="001238F2" w:rsidRPr="00A241F5">
              <w:rPr>
                <w:b/>
              </w:rPr>
              <w:tab/>
            </w:r>
            <w:r w:rsidR="00676E83" w:rsidRPr="00A241F5">
              <w:rPr>
                <w:b/>
              </w:rPr>
              <w:t>Hybrid DBAs should be permitted</w:t>
            </w:r>
          </w:p>
        </w:tc>
        <w:tc>
          <w:tcPr>
            <w:tcW w:w="1152" w:type="dxa"/>
          </w:tcPr>
          <w:p w14:paraId="75842669" w14:textId="3D21FEBF" w:rsidR="001238F2" w:rsidRPr="00A241F5" w:rsidRDefault="00F74883" w:rsidP="00AC7FE5">
            <w:pPr>
              <w:widowControl/>
              <w:spacing w:before="120" w:after="120"/>
              <w:jc w:val="center"/>
            </w:pPr>
            <w:r w:rsidRPr="00A241F5">
              <w:t>55</w:t>
            </w:r>
          </w:p>
        </w:tc>
      </w:tr>
      <w:tr w:rsidR="001238F2" w:rsidRPr="00A241F5" w14:paraId="403E2843" w14:textId="77777777" w:rsidTr="00343D09">
        <w:tc>
          <w:tcPr>
            <w:tcW w:w="7228" w:type="dxa"/>
          </w:tcPr>
          <w:p w14:paraId="6636F62E" w14:textId="246800F8" w:rsidR="001238F2" w:rsidRPr="00A241F5" w:rsidRDefault="001238F2" w:rsidP="00B25145">
            <w:pPr>
              <w:widowControl/>
              <w:tabs>
                <w:tab w:val="left" w:pos="720"/>
              </w:tabs>
              <w:spacing w:before="120" w:after="120"/>
              <w:ind w:left="360" w:right="331" w:hanging="360"/>
              <w:jc w:val="left"/>
            </w:pPr>
            <w:r w:rsidRPr="00A241F5">
              <w:t>Responses to the Sub-committee</w:t>
            </w:r>
            <w:r w:rsidR="00C61F4B" w:rsidRPr="00A241F5">
              <w:t>'</w:t>
            </w:r>
            <w:r w:rsidRPr="00A241F5">
              <w:t>s Recommendation 10</w:t>
            </w:r>
          </w:p>
        </w:tc>
        <w:tc>
          <w:tcPr>
            <w:tcW w:w="1152" w:type="dxa"/>
          </w:tcPr>
          <w:p w14:paraId="658F29A9" w14:textId="1965D39E" w:rsidR="001238F2" w:rsidRPr="00A241F5" w:rsidRDefault="00F74883" w:rsidP="00AC7FE5">
            <w:pPr>
              <w:widowControl/>
              <w:spacing w:before="120" w:after="120"/>
              <w:jc w:val="center"/>
            </w:pPr>
            <w:r w:rsidRPr="00A241F5">
              <w:t>55</w:t>
            </w:r>
          </w:p>
        </w:tc>
      </w:tr>
      <w:tr w:rsidR="001238F2" w:rsidRPr="00A241F5" w14:paraId="36BA9263" w14:textId="77777777" w:rsidTr="00343D09">
        <w:tc>
          <w:tcPr>
            <w:tcW w:w="7228" w:type="dxa"/>
          </w:tcPr>
          <w:p w14:paraId="2B9B7373" w14:textId="1194537D" w:rsidR="001238F2" w:rsidRPr="00A241F5" w:rsidRDefault="001238F2" w:rsidP="00BA750E">
            <w:pPr>
              <w:widowControl/>
              <w:tabs>
                <w:tab w:val="left" w:pos="720"/>
              </w:tabs>
              <w:spacing w:before="120" w:after="120"/>
              <w:ind w:left="1080" w:right="331" w:hanging="360"/>
              <w:jc w:val="left"/>
              <w:rPr>
                <w:rFonts w:cs="Arial"/>
              </w:rPr>
            </w:pPr>
            <w:r w:rsidRPr="00A241F5">
              <w:rPr>
                <w:rFonts w:cs="Arial"/>
              </w:rPr>
              <w:t xml:space="preserve">Comments from Respondents who supported the </w:t>
            </w:r>
            <w:r w:rsidR="00BA750E" w:rsidRPr="00A241F5">
              <w:rPr>
                <w:rFonts w:cs="Arial"/>
              </w:rPr>
              <w:t>basic proposal in Recommendation 10</w:t>
            </w:r>
          </w:p>
        </w:tc>
        <w:tc>
          <w:tcPr>
            <w:tcW w:w="1152" w:type="dxa"/>
          </w:tcPr>
          <w:p w14:paraId="05A8C5D8" w14:textId="60724744" w:rsidR="001238F2" w:rsidRPr="00A241F5" w:rsidRDefault="00F74883" w:rsidP="00AC7FE5">
            <w:pPr>
              <w:widowControl/>
              <w:spacing w:before="120" w:after="120"/>
              <w:jc w:val="center"/>
            </w:pPr>
            <w:r w:rsidRPr="00A241F5">
              <w:t>55</w:t>
            </w:r>
          </w:p>
        </w:tc>
      </w:tr>
      <w:tr w:rsidR="001238F2" w:rsidRPr="00A241F5" w14:paraId="03B43D85" w14:textId="77777777" w:rsidTr="00343D09">
        <w:tc>
          <w:tcPr>
            <w:tcW w:w="7228" w:type="dxa"/>
          </w:tcPr>
          <w:p w14:paraId="2E8EAC2B" w14:textId="3DC81179" w:rsidR="001238F2" w:rsidRPr="00A241F5" w:rsidRDefault="00BA750E" w:rsidP="00BA750E">
            <w:pPr>
              <w:widowControl/>
              <w:tabs>
                <w:tab w:val="left" w:pos="720"/>
              </w:tabs>
              <w:spacing w:before="120" w:after="120"/>
              <w:ind w:left="1080" w:right="331" w:hanging="360"/>
              <w:jc w:val="left"/>
              <w:rPr>
                <w:rFonts w:cs="Arial"/>
              </w:rPr>
            </w:pPr>
            <w:r w:rsidRPr="00A241F5">
              <w:rPr>
                <w:rFonts w:cs="Arial"/>
              </w:rPr>
              <w:t>Comments from the Respondent who opposed the basic proposal in Recommendation 10</w:t>
            </w:r>
          </w:p>
        </w:tc>
        <w:tc>
          <w:tcPr>
            <w:tcW w:w="1152" w:type="dxa"/>
          </w:tcPr>
          <w:p w14:paraId="326FBD0C" w14:textId="3234644A" w:rsidR="001238F2" w:rsidRPr="00A241F5" w:rsidRDefault="00F74883" w:rsidP="00AC7FE5">
            <w:pPr>
              <w:widowControl/>
              <w:spacing w:before="120" w:after="120"/>
              <w:jc w:val="center"/>
            </w:pPr>
            <w:r w:rsidRPr="00A241F5">
              <w:t>57</w:t>
            </w:r>
          </w:p>
        </w:tc>
      </w:tr>
      <w:tr w:rsidR="001238F2" w:rsidRPr="00A241F5" w14:paraId="6741AFBE" w14:textId="77777777" w:rsidTr="00343D09">
        <w:tc>
          <w:tcPr>
            <w:tcW w:w="7228" w:type="dxa"/>
          </w:tcPr>
          <w:p w14:paraId="34A8C7B9" w14:textId="77777777" w:rsidR="001238F2" w:rsidRPr="00A241F5" w:rsidRDefault="001238F2" w:rsidP="00AC7FE5">
            <w:pPr>
              <w:widowControl/>
              <w:tabs>
                <w:tab w:val="left" w:pos="720"/>
              </w:tabs>
              <w:spacing w:before="120" w:after="120"/>
              <w:ind w:left="1080" w:right="331" w:hanging="360"/>
              <w:jc w:val="left"/>
              <w:rPr>
                <w:rFonts w:cs="Arial"/>
              </w:rPr>
            </w:pPr>
            <w:r w:rsidRPr="00A241F5">
              <w:rPr>
                <w:rFonts w:cs="Arial"/>
              </w:rPr>
              <w:lastRenderedPageBreak/>
              <w:t>Our analysis and response</w:t>
            </w:r>
          </w:p>
        </w:tc>
        <w:tc>
          <w:tcPr>
            <w:tcW w:w="1152" w:type="dxa"/>
          </w:tcPr>
          <w:p w14:paraId="4A02C4B8" w14:textId="439519B3" w:rsidR="001238F2" w:rsidRPr="00A241F5" w:rsidRDefault="00F74883" w:rsidP="00AC7FE5">
            <w:pPr>
              <w:widowControl/>
              <w:spacing w:before="120" w:after="120"/>
              <w:jc w:val="center"/>
            </w:pPr>
            <w:r w:rsidRPr="00A241F5">
              <w:t>57</w:t>
            </w:r>
          </w:p>
        </w:tc>
      </w:tr>
      <w:tr w:rsidR="001238F2" w:rsidRPr="00A241F5" w14:paraId="5B260FC6" w14:textId="77777777" w:rsidTr="00343D09">
        <w:tc>
          <w:tcPr>
            <w:tcW w:w="7228" w:type="dxa"/>
          </w:tcPr>
          <w:p w14:paraId="5DFFF140" w14:textId="4587243B" w:rsidR="001238F2" w:rsidRPr="00A241F5" w:rsidRDefault="001238F2" w:rsidP="00BA750E">
            <w:pPr>
              <w:widowControl/>
              <w:tabs>
                <w:tab w:val="left" w:pos="720"/>
              </w:tabs>
              <w:spacing w:before="120" w:after="120"/>
              <w:ind w:left="360" w:right="331" w:hanging="360"/>
              <w:jc w:val="left"/>
              <w:rPr>
                <w:rFonts w:cs="Arial"/>
              </w:rPr>
            </w:pPr>
            <w:r w:rsidRPr="00A241F5">
              <w:rPr>
                <w:rFonts w:cs="Arial"/>
              </w:rPr>
              <w:t>Responses to the Sub-committee</w:t>
            </w:r>
            <w:r w:rsidR="00C61F4B" w:rsidRPr="00A241F5">
              <w:rPr>
                <w:rFonts w:cs="Arial"/>
              </w:rPr>
              <w:t>'</w:t>
            </w:r>
            <w:r w:rsidRPr="00A241F5">
              <w:rPr>
                <w:rFonts w:cs="Arial"/>
              </w:rPr>
              <w:t xml:space="preserve">s </w:t>
            </w:r>
            <w:r w:rsidR="00BA750E" w:rsidRPr="00A241F5">
              <w:rPr>
                <w:rFonts w:cs="Arial"/>
              </w:rPr>
              <w:t xml:space="preserve">invitation for submissions under </w:t>
            </w:r>
            <w:r w:rsidRPr="00A241F5">
              <w:rPr>
                <w:rFonts w:cs="Arial"/>
              </w:rPr>
              <w:t>Recommendation 10(a), (b) and (c)</w:t>
            </w:r>
          </w:p>
        </w:tc>
        <w:tc>
          <w:tcPr>
            <w:tcW w:w="1152" w:type="dxa"/>
          </w:tcPr>
          <w:p w14:paraId="3ED70D4D" w14:textId="0F712D25" w:rsidR="001238F2" w:rsidRPr="00A241F5" w:rsidRDefault="00F74883" w:rsidP="00AC7FE5">
            <w:pPr>
              <w:widowControl/>
              <w:spacing w:before="120" w:after="120"/>
              <w:jc w:val="center"/>
            </w:pPr>
            <w:r w:rsidRPr="00A241F5">
              <w:t>58</w:t>
            </w:r>
          </w:p>
        </w:tc>
      </w:tr>
      <w:tr w:rsidR="001238F2" w:rsidRPr="00A241F5" w14:paraId="25FFC862" w14:textId="77777777" w:rsidTr="00343D09">
        <w:tc>
          <w:tcPr>
            <w:tcW w:w="7228" w:type="dxa"/>
          </w:tcPr>
          <w:p w14:paraId="5E37FFBC" w14:textId="28206593" w:rsidR="001238F2" w:rsidRPr="00A241F5" w:rsidRDefault="00BA750E" w:rsidP="00BA750E">
            <w:pPr>
              <w:widowControl/>
              <w:tabs>
                <w:tab w:val="left" w:pos="720"/>
              </w:tabs>
              <w:spacing w:before="120" w:after="120"/>
              <w:ind w:left="1080" w:right="331" w:hanging="360"/>
              <w:jc w:val="left"/>
              <w:rPr>
                <w:rFonts w:cs="Arial"/>
              </w:rPr>
            </w:pPr>
            <w:r w:rsidRPr="00A241F5">
              <w:rPr>
                <w:rFonts w:cs="Arial"/>
              </w:rPr>
              <w:t xml:space="preserve">Comments from Respondents who supported </w:t>
            </w:r>
            <w:r w:rsidR="001238F2" w:rsidRPr="00A241F5">
              <w:rPr>
                <w:rFonts w:cs="Arial"/>
              </w:rPr>
              <w:t>Recommendation 10(a)</w:t>
            </w:r>
          </w:p>
        </w:tc>
        <w:tc>
          <w:tcPr>
            <w:tcW w:w="1152" w:type="dxa"/>
          </w:tcPr>
          <w:p w14:paraId="255AC337" w14:textId="13B78F66" w:rsidR="001238F2" w:rsidRPr="00A241F5" w:rsidRDefault="00AC6867" w:rsidP="00AC7FE5">
            <w:pPr>
              <w:widowControl/>
              <w:spacing w:before="120" w:after="120"/>
              <w:jc w:val="center"/>
            </w:pPr>
            <w:r w:rsidRPr="00A241F5">
              <w:t>59</w:t>
            </w:r>
          </w:p>
        </w:tc>
      </w:tr>
      <w:tr w:rsidR="00BA750E" w:rsidRPr="00A241F5" w14:paraId="25A8949C" w14:textId="77777777" w:rsidTr="00343D09">
        <w:tc>
          <w:tcPr>
            <w:tcW w:w="7228" w:type="dxa"/>
          </w:tcPr>
          <w:p w14:paraId="0AF1CC01" w14:textId="4A4DC58D" w:rsidR="00BA750E" w:rsidRPr="00A241F5" w:rsidRDefault="00BA750E" w:rsidP="00BA750E">
            <w:pPr>
              <w:widowControl/>
              <w:tabs>
                <w:tab w:val="left" w:pos="720"/>
              </w:tabs>
              <w:spacing w:before="120" w:after="120"/>
              <w:ind w:left="1080" w:right="331" w:hanging="360"/>
              <w:jc w:val="left"/>
              <w:rPr>
                <w:rFonts w:cs="Arial"/>
              </w:rPr>
            </w:pPr>
            <w:r w:rsidRPr="00A241F5">
              <w:rPr>
                <w:rFonts w:cs="Arial"/>
              </w:rPr>
              <w:t>Comments from Respondents who opposed Recommendation 10(a)</w:t>
            </w:r>
          </w:p>
        </w:tc>
        <w:tc>
          <w:tcPr>
            <w:tcW w:w="1152" w:type="dxa"/>
          </w:tcPr>
          <w:p w14:paraId="792BF024" w14:textId="5E9D0864" w:rsidR="00BA750E" w:rsidRPr="00A241F5" w:rsidRDefault="00AC6867" w:rsidP="00395209">
            <w:pPr>
              <w:widowControl/>
              <w:spacing w:before="120" w:after="120"/>
              <w:jc w:val="center"/>
            </w:pPr>
            <w:r w:rsidRPr="00A241F5">
              <w:t>59</w:t>
            </w:r>
          </w:p>
        </w:tc>
      </w:tr>
      <w:tr w:rsidR="001238F2" w:rsidRPr="00A241F5" w14:paraId="19EA3DAF" w14:textId="77777777" w:rsidTr="00343D09">
        <w:tc>
          <w:tcPr>
            <w:tcW w:w="7228" w:type="dxa"/>
          </w:tcPr>
          <w:p w14:paraId="60B7224E" w14:textId="77777777" w:rsidR="001238F2" w:rsidRPr="00A241F5" w:rsidRDefault="001238F2" w:rsidP="00BA750E">
            <w:pPr>
              <w:widowControl/>
              <w:tabs>
                <w:tab w:val="left" w:pos="720"/>
              </w:tabs>
              <w:spacing w:before="120" w:after="120"/>
              <w:ind w:left="1080" w:right="331" w:hanging="360"/>
              <w:jc w:val="left"/>
              <w:rPr>
                <w:rFonts w:cs="Arial"/>
              </w:rPr>
            </w:pPr>
            <w:r w:rsidRPr="00A241F5">
              <w:rPr>
                <w:rFonts w:cs="Arial"/>
              </w:rPr>
              <w:t>Our analysis and response</w:t>
            </w:r>
          </w:p>
        </w:tc>
        <w:tc>
          <w:tcPr>
            <w:tcW w:w="1152" w:type="dxa"/>
          </w:tcPr>
          <w:p w14:paraId="6CABE7D8" w14:textId="4AB3EBF3" w:rsidR="001238F2" w:rsidRPr="00A241F5" w:rsidRDefault="00AC6867" w:rsidP="00AC7FE5">
            <w:pPr>
              <w:widowControl/>
              <w:spacing w:before="120" w:after="120"/>
              <w:jc w:val="center"/>
            </w:pPr>
            <w:r w:rsidRPr="00A241F5">
              <w:t>59</w:t>
            </w:r>
          </w:p>
        </w:tc>
      </w:tr>
      <w:tr w:rsidR="001238F2" w:rsidRPr="00A241F5" w14:paraId="08A75569" w14:textId="77777777" w:rsidTr="00343D09">
        <w:tc>
          <w:tcPr>
            <w:tcW w:w="7228" w:type="dxa"/>
          </w:tcPr>
          <w:p w14:paraId="4A4D31EC" w14:textId="7930EF62" w:rsidR="001238F2" w:rsidRPr="00A241F5" w:rsidRDefault="00BA750E" w:rsidP="00BA750E">
            <w:pPr>
              <w:widowControl/>
              <w:tabs>
                <w:tab w:val="left" w:pos="720"/>
              </w:tabs>
              <w:spacing w:before="120" w:after="120"/>
              <w:ind w:left="1080" w:right="331" w:hanging="360"/>
              <w:jc w:val="left"/>
              <w:rPr>
                <w:rFonts w:cs="Arial"/>
              </w:rPr>
            </w:pPr>
            <w:r w:rsidRPr="00A241F5">
              <w:rPr>
                <w:rFonts w:cs="Arial"/>
              </w:rPr>
              <w:t xml:space="preserve">Comments from Respondents on </w:t>
            </w:r>
            <w:r w:rsidR="001238F2" w:rsidRPr="00A241F5">
              <w:rPr>
                <w:rFonts w:cs="Arial"/>
              </w:rPr>
              <w:t>Recommendation 10(b)</w:t>
            </w:r>
          </w:p>
        </w:tc>
        <w:tc>
          <w:tcPr>
            <w:tcW w:w="1152" w:type="dxa"/>
          </w:tcPr>
          <w:p w14:paraId="0E81124A" w14:textId="34C32894" w:rsidR="001238F2" w:rsidRPr="00A241F5" w:rsidRDefault="00AC6867" w:rsidP="00AC7FE5">
            <w:pPr>
              <w:widowControl/>
              <w:spacing w:before="120" w:after="120"/>
              <w:jc w:val="center"/>
            </w:pPr>
            <w:r w:rsidRPr="00A241F5">
              <w:t>60</w:t>
            </w:r>
          </w:p>
        </w:tc>
      </w:tr>
      <w:tr w:rsidR="001238F2" w:rsidRPr="00A241F5" w14:paraId="34305B2D" w14:textId="77777777" w:rsidTr="00343D09">
        <w:tc>
          <w:tcPr>
            <w:tcW w:w="7228" w:type="dxa"/>
          </w:tcPr>
          <w:p w14:paraId="3A2CF920" w14:textId="77777777" w:rsidR="001238F2" w:rsidRPr="00A241F5" w:rsidRDefault="001238F2" w:rsidP="00BA750E">
            <w:pPr>
              <w:widowControl/>
              <w:tabs>
                <w:tab w:val="left" w:pos="720"/>
              </w:tabs>
              <w:spacing w:before="120" w:after="120"/>
              <w:ind w:left="1080" w:right="331" w:hanging="360"/>
              <w:jc w:val="left"/>
              <w:rPr>
                <w:rFonts w:cs="Arial"/>
              </w:rPr>
            </w:pPr>
            <w:r w:rsidRPr="00A241F5">
              <w:rPr>
                <w:rFonts w:cs="Arial"/>
              </w:rPr>
              <w:t>Our analysis and response</w:t>
            </w:r>
          </w:p>
        </w:tc>
        <w:tc>
          <w:tcPr>
            <w:tcW w:w="1152" w:type="dxa"/>
          </w:tcPr>
          <w:p w14:paraId="6A5E069B" w14:textId="0131A69E" w:rsidR="001238F2" w:rsidRPr="00A241F5" w:rsidRDefault="00AC6867" w:rsidP="00AC7FE5">
            <w:pPr>
              <w:widowControl/>
              <w:spacing w:before="120" w:after="120"/>
              <w:jc w:val="center"/>
            </w:pPr>
            <w:r w:rsidRPr="00A241F5">
              <w:t>60</w:t>
            </w:r>
          </w:p>
        </w:tc>
      </w:tr>
      <w:tr w:rsidR="00BA750E" w:rsidRPr="00A241F5" w14:paraId="2F44BCC8" w14:textId="77777777" w:rsidTr="00343D09">
        <w:tc>
          <w:tcPr>
            <w:tcW w:w="7228" w:type="dxa"/>
          </w:tcPr>
          <w:p w14:paraId="676B4F41" w14:textId="30312DEC" w:rsidR="00BA750E" w:rsidRPr="00A241F5" w:rsidRDefault="00BA750E" w:rsidP="00395209">
            <w:pPr>
              <w:widowControl/>
              <w:tabs>
                <w:tab w:val="left" w:pos="720"/>
              </w:tabs>
              <w:spacing w:before="120" w:after="120"/>
              <w:ind w:left="1080" w:right="331" w:hanging="360"/>
              <w:jc w:val="left"/>
              <w:rPr>
                <w:rFonts w:cs="Arial"/>
              </w:rPr>
            </w:pPr>
            <w:r w:rsidRPr="00A241F5">
              <w:rPr>
                <w:rFonts w:cs="Arial"/>
              </w:rPr>
              <w:t>Comments from Respondents on Recommendation 10(c)</w:t>
            </w:r>
          </w:p>
        </w:tc>
        <w:tc>
          <w:tcPr>
            <w:tcW w:w="1152" w:type="dxa"/>
          </w:tcPr>
          <w:p w14:paraId="1ACC6B80" w14:textId="57DC7766" w:rsidR="00BA750E" w:rsidRPr="00A241F5" w:rsidRDefault="00AC6867" w:rsidP="00395209">
            <w:pPr>
              <w:widowControl/>
              <w:spacing w:before="120" w:after="120"/>
              <w:jc w:val="center"/>
            </w:pPr>
            <w:r w:rsidRPr="00A241F5">
              <w:t>61</w:t>
            </w:r>
          </w:p>
        </w:tc>
      </w:tr>
      <w:tr w:rsidR="00AC6867" w:rsidRPr="00A241F5" w14:paraId="345888C7" w14:textId="77777777" w:rsidTr="00343D09">
        <w:tc>
          <w:tcPr>
            <w:tcW w:w="7228" w:type="dxa"/>
          </w:tcPr>
          <w:p w14:paraId="471171AD" w14:textId="22BB5396" w:rsidR="00AC6867" w:rsidRPr="00A241F5" w:rsidRDefault="00AC6867" w:rsidP="00395209">
            <w:pPr>
              <w:widowControl/>
              <w:tabs>
                <w:tab w:val="left" w:pos="720"/>
              </w:tabs>
              <w:spacing w:before="120" w:after="120"/>
              <w:ind w:left="1080" w:right="331" w:hanging="360"/>
              <w:jc w:val="left"/>
              <w:rPr>
                <w:rFonts w:cs="Arial"/>
              </w:rPr>
            </w:pPr>
            <w:r w:rsidRPr="00A241F5">
              <w:rPr>
                <w:rFonts w:cs="Arial"/>
              </w:rPr>
              <w:t>Our analysis and response</w:t>
            </w:r>
          </w:p>
        </w:tc>
        <w:tc>
          <w:tcPr>
            <w:tcW w:w="1152" w:type="dxa"/>
          </w:tcPr>
          <w:p w14:paraId="0342CA53" w14:textId="1B2C7DD0" w:rsidR="00AC6867" w:rsidRPr="00A241F5" w:rsidRDefault="00AC6867" w:rsidP="00395209">
            <w:pPr>
              <w:widowControl/>
              <w:spacing w:before="120" w:after="120"/>
              <w:jc w:val="center"/>
            </w:pPr>
            <w:r w:rsidRPr="00A241F5">
              <w:t>61</w:t>
            </w:r>
          </w:p>
        </w:tc>
      </w:tr>
      <w:tr w:rsidR="001238F2" w:rsidRPr="00A241F5" w14:paraId="29AEDA11" w14:textId="77777777" w:rsidTr="00343D09">
        <w:tc>
          <w:tcPr>
            <w:tcW w:w="7228" w:type="dxa"/>
          </w:tcPr>
          <w:p w14:paraId="3E269248" w14:textId="77777777" w:rsidR="001238F2" w:rsidRPr="00A241F5" w:rsidRDefault="001238F2" w:rsidP="00AC7FE5">
            <w:pPr>
              <w:widowControl/>
              <w:tabs>
                <w:tab w:val="left" w:pos="720"/>
              </w:tabs>
              <w:spacing w:before="120" w:after="120"/>
              <w:ind w:left="1080" w:right="331" w:hanging="360"/>
              <w:jc w:val="left"/>
            </w:pPr>
          </w:p>
        </w:tc>
        <w:tc>
          <w:tcPr>
            <w:tcW w:w="1152" w:type="dxa"/>
          </w:tcPr>
          <w:p w14:paraId="68C6B230" w14:textId="77777777" w:rsidR="001238F2" w:rsidRPr="00A241F5" w:rsidRDefault="001238F2" w:rsidP="00AC7FE5">
            <w:pPr>
              <w:widowControl/>
              <w:spacing w:before="120" w:after="120"/>
              <w:jc w:val="center"/>
            </w:pPr>
          </w:p>
        </w:tc>
      </w:tr>
      <w:tr w:rsidR="001238F2" w:rsidRPr="00A241F5" w14:paraId="3519118C" w14:textId="77777777" w:rsidTr="00343D09">
        <w:tc>
          <w:tcPr>
            <w:tcW w:w="7228" w:type="dxa"/>
          </w:tcPr>
          <w:p w14:paraId="33F096F8" w14:textId="70C2AF74" w:rsidR="001238F2" w:rsidRPr="00A241F5" w:rsidRDefault="00AB3F49" w:rsidP="00AC7FE5">
            <w:pPr>
              <w:widowControl/>
              <w:spacing w:before="120" w:after="120"/>
              <w:ind w:left="720" w:right="331" w:hanging="720"/>
              <w:jc w:val="left"/>
            </w:pPr>
            <w:r w:rsidRPr="00A241F5">
              <w:rPr>
                <w:b/>
              </w:rPr>
              <w:t>12</w:t>
            </w:r>
            <w:r w:rsidR="001238F2" w:rsidRPr="00A241F5">
              <w:rPr>
                <w:rFonts w:hint="eastAsia"/>
                <w:b/>
              </w:rPr>
              <w:t>.</w:t>
            </w:r>
            <w:r w:rsidR="001238F2" w:rsidRPr="00A241F5">
              <w:rPr>
                <w:b/>
              </w:rPr>
              <w:tab/>
            </w:r>
            <w:r w:rsidR="00B25145" w:rsidRPr="00A241F5">
              <w:rPr>
                <w:b/>
              </w:rPr>
              <w:t>Clear and simple legislation and regulation</w:t>
            </w:r>
          </w:p>
        </w:tc>
        <w:tc>
          <w:tcPr>
            <w:tcW w:w="1152" w:type="dxa"/>
          </w:tcPr>
          <w:p w14:paraId="2FDC64F0" w14:textId="64760CE4" w:rsidR="001238F2" w:rsidRPr="00A241F5" w:rsidRDefault="00AC6867" w:rsidP="00AC7FE5">
            <w:pPr>
              <w:widowControl/>
              <w:spacing w:before="120" w:after="120"/>
              <w:jc w:val="center"/>
            </w:pPr>
            <w:r w:rsidRPr="00A241F5">
              <w:t>63</w:t>
            </w:r>
          </w:p>
        </w:tc>
      </w:tr>
      <w:tr w:rsidR="001238F2" w:rsidRPr="00A241F5" w14:paraId="03DBF806" w14:textId="77777777" w:rsidTr="00343D09">
        <w:tc>
          <w:tcPr>
            <w:tcW w:w="7228" w:type="dxa"/>
          </w:tcPr>
          <w:p w14:paraId="1DC2F0D8" w14:textId="62610670" w:rsidR="001238F2" w:rsidRPr="00A241F5" w:rsidRDefault="001238F2" w:rsidP="00B25145">
            <w:pPr>
              <w:widowControl/>
              <w:tabs>
                <w:tab w:val="left" w:pos="720"/>
              </w:tabs>
              <w:spacing w:before="120" w:after="120"/>
              <w:ind w:left="360" w:right="331" w:hanging="360"/>
              <w:jc w:val="left"/>
            </w:pPr>
            <w:r w:rsidRPr="00A241F5">
              <w:t>Responses to the Sub-committee</w:t>
            </w:r>
            <w:r w:rsidR="00C61F4B" w:rsidRPr="00A241F5">
              <w:t>'</w:t>
            </w:r>
            <w:r w:rsidRPr="00A241F5">
              <w:t>s Recommendation 11</w:t>
            </w:r>
          </w:p>
        </w:tc>
        <w:tc>
          <w:tcPr>
            <w:tcW w:w="1152" w:type="dxa"/>
          </w:tcPr>
          <w:p w14:paraId="5A9E3ECC" w14:textId="2C23D934" w:rsidR="001238F2" w:rsidRPr="00A241F5" w:rsidRDefault="00AC6867" w:rsidP="00AC7FE5">
            <w:pPr>
              <w:widowControl/>
              <w:spacing w:before="120" w:after="120"/>
              <w:jc w:val="center"/>
            </w:pPr>
            <w:r w:rsidRPr="00A241F5">
              <w:t>63</w:t>
            </w:r>
          </w:p>
        </w:tc>
      </w:tr>
      <w:tr w:rsidR="001238F2" w:rsidRPr="00A241F5" w14:paraId="18ED2DC6" w14:textId="77777777" w:rsidTr="00343D09">
        <w:tc>
          <w:tcPr>
            <w:tcW w:w="7228" w:type="dxa"/>
          </w:tcPr>
          <w:p w14:paraId="28C69E7A" w14:textId="7EFD8A94" w:rsidR="001238F2" w:rsidRPr="00A241F5" w:rsidRDefault="001238F2" w:rsidP="00395209">
            <w:pPr>
              <w:widowControl/>
              <w:tabs>
                <w:tab w:val="left" w:pos="720"/>
              </w:tabs>
              <w:spacing w:before="120" w:after="120"/>
              <w:ind w:left="1080" w:right="331" w:hanging="360"/>
              <w:jc w:val="left"/>
              <w:rPr>
                <w:rFonts w:cs="Arial"/>
              </w:rPr>
            </w:pPr>
            <w:r w:rsidRPr="00A241F5">
              <w:rPr>
                <w:rFonts w:cs="Arial"/>
              </w:rPr>
              <w:t xml:space="preserve">Comments from Respondents who supported </w:t>
            </w:r>
            <w:r w:rsidR="00395209" w:rsidRPr="00A241F5">
              <w:rPr>
                <w:rFonts w:cs="Arial"/>
              </w:rPr>
              <w:t>R</w:t>
            </w:r>
            <w:r w:rsidRPr="00A241F5">
              <w:rPr>
                <w:rFonts w:cs="Arial"/>
              </w:rPr>
              <w:t>ecommendation</w:t>
            </w:r>
            <w:r w:rsidR="00395209" w:rsidRPr="00A241F5">
              <w:rPr>
                <w:rFonts w:cs="Arial"/>
              </w:rPr>
              <w:t xml:space="preserve"> 11</w:t>
            </w:r>
          </w:p>
        </w:tc>
        <w:tc>
          <w:tcPr>
            <w:tcW w:w="1152" w:type="dxa"/>
          </w:tcPr>
          <w:p w14:paraId="66BA6CCF" w14:textId="7C8D9D33" w:rsidR="001238F2" w:rsidRPr="00A241F5" w:rsidRDefault="00AC6867" w:rsidP="00AC7FE5">
            <w:pPr>
              <w:widowControl/>
              <w:spacing w:before="120" w:after="120"/>
              <w:jc w:val="center"/>
            </w:pPr>
            <w:r w:rsidRPr="00A241F5">
              <w:t>63</w:t>
            </w:r>
          </w:p>
        </w:tc>
      </w:tr>
      <w:tr w:rsidR="001238F2" w:rsidRPr="00A241F5" w14:paraId="09B2E57E" w14:textId="77777777" w:rsidTr="00343D09">
        <w:tc>
          <w:tcPr>
            <w:tcW w:w="7228" w:type="dxa"/>
          </w:tcPr>
          <w:p w14:paraId="5E01BFF9" w14:textId="6CA89A55" w:rsidR="001238F2" w:rsidRPr="00A241F5" w:rsidRDefault="001238F2" w:rsidP="00395209">
            <w:pPr>
              <w:widowControl/>
              <w:tabs>
                <w:tab w:val="left" w:pos="720"/>
              </w:tabs>
              <w:spacing w:before="120" w:after="120"/>
              <w:ind w:left="1080" w:right="331" w:hanging="360"/>
              <w:jc w:val="left"/>
              <w:rPr>
                <w:rFonts w:cs="Arial"/>
              </w:rPr>
            </w:pPr>
            <w:r w:rsidRPr="00A241F5">
              <w:rPr>
                <w:rFonts w:cs="Arial"/>
              </w:rPr>
              <w:t xml:space="preserve">Comments from Respondents who opposed </w:t>
            </w:r>
            <w:r w:rsidR="00395209" w:rsidRPr="00A241F5">
              <w:rPr>
                <w:rFonts w:cs="Arial"/>
              </w:rPr>
              <w:t>R</w:t>
            </w:r>
            <w:r w:rsidRPr="00A241F5">
              <w:rPr>
                <w:rFonts w:cs="Arial"/>
              </w:rPr>
              <w:t>ecommendation</w:t>
            </w:r>
            <w:r w:rsidR="00395209" w:rsidRPr="00A241F5">
              <w:rPr>
                <w:rFonts w:cs="Arial"/>
              </w:rPr>
              <w:t xml:space="preserve"> 11</w:t>
            </w:r>
          </w:p>
        </w:tc>
        <w:tc>
          <w:tcPr>
            <w:tcW w:w="1152" w:type="dxa"/>
          </w:tcPr>
          <w:p w14:paraId="042E9265" w14:textId="524BD1A4" w:rsidR="001238F2" w:rsidRPr="00A241F5" w:rsidRDefault="00AC6867" w:rsidP="00AC7FE5">
            <w:pPr>
              <w:widowControl/>
              <w:spacing w:before="120" w:after="120"/>
              <w:jc w:val="center"/>
            </w:pPr>
            <w:r w:rsidRPr="00A241F5">
              <w:t>64</w:t>
            </w:r>
          </w:p>
        </w:tc>
      </w:tr>
      <w:tr w:rsidR="001238F2" w:rsidRPr="00A241F5" w14:paraId="776872D5" w14:textId="77777777" w:rsidTr="00343D09">
        <w:tc>
          <w:tcPr>
            <w:tcW w:w="7228" w:type="dxa"/>
          </w:tcPr>
          <w:p w14:paraId="2F1ABA1D" w14:textId="77777777" w:rsidR="001238F2" w:rsidRPr="00A241F5" w:rsidRDefault="001238F2" w:rsidP="00B25145">
            <w:pPr>
              <w:widowControl/>
              <w:tabs>
                <w:tab w:val="left" w:pos="720"/>
              </w:tabs>
              <w:spacing w:before="120" w:after="120"/>
              <w:ind w:left="360" w:right="331" w:hanging="360"/>
              <w:jc w:val="left"/>
              <w:rPr>
                <w:rFonts w:cs="Arial"/>
              </w:rPr>
            </w:pPr>
            <w:r w:rsidRPr="00A241F5">
              <w:rPr>
                <w:rFonts w:cs="Arial"/>
              </w:rPr>
              <w:t>Our analysis and response</w:t>
            </w:r>
          </w:p>
        </w:tc>
        <w:tc>
          <w:tcPr>
            <w:tcW w:w="1152" w:type="dxa"/>
          </w:tcPr>
          <w:p w14:paraId="2F62ABE0" w14:textId="6E6B066B" w:rsidR="001238F2" w:rsidRPr="00A241F5" w:rsidRDefault="00AC6867" w:rsidP="00AC7FE5">
            <w:pPr>
              <w:widowControl/>
              <w:spacing w:before="120" w:after="120"/>
              <w:jc w:val="center"/>
            </w:pPr>
            <w:r w:rsidRPr="00A241F5">
              <w:t>64</w:t>
            </w:r>
          </w:p>
        </w:tc>
      </w:tr>
      <w:tr w:rsidR="001238F2" w:rsidRPr="00A241F5" w14:paraId="518BE73A" w14:textId="77777777" w:rsidTr="00343D09">
        <w:tc>
          <w:tcPr>
            <w:tcW w:w="7228" w:type="dxa"/>
          </w:tcPr>
          <w:p w14:paraId="7D0A5A00" w14:textId="77777777" w:rsidR="001238F2" w:rsidRPr="00A241F5" w:rsidRDefault="001238F2" w:rsidP="00B25145">
            <w:pPr>
              <w:widowControl/>
              <w:tabs>
                <w:tab w:val="left" w:pos="720"/>
              </w:tabs>
              <w:spacing w:before="120" w:after="120"/>
              <w:ind w:left="1080" w:right="331" w:hanging="360"/>
              <w:jc w:val="left"/>
              <w:rPr>
                <w:rFonts w:cs="Arial"/>
              </w:rPr>
            </w:pPr>
            <w:r w:rsidRPr="00A241F5">
              <w:rPr>
                <w:rFonts w:cs="Arial"/>
              </w:rPr>
              <w:t>The Arbitration Ordinance and the Legal Practitioners Ordinance</w:t>
            </w:r>
          </w:p>
        </w:tc>
        <w:tc>
          <w:tcPr>
            <w:tcW w:w="1152" w:type="dxa"/>
          </w:tcPr>
          <w:p w14:paraId="112B9F53" w14:textId="1D278DC3" w:rsidR="001238F2" w:rsidRPr="00A241F5" w:rsidRDefault="00AC6867" w:rsidP="00AC7FE5">
            <w:pPr>
              <w:widowControl/>
              <w:spacing w:before="120" w:after="120"/>
              <w:jc w:val="center"/>
            </w:pPr>
            <w:r w:rsidRPr="00A241F5">
              <w:t>65</w:t>
            </w:r>
          </w:p>
        </w:tc>
      </w:tr>
      <w:tr w:rsidR="001238F2" w:rsidRPr="00A241F5" w14:paraId="772C0670" w14:textId="77777777" w:rsidTr="00343D09">
        <w:tc>
          <w:tcPr>
            <w:tcW w:w="7228" w:type="dxa"/>
          </w:tcPr>
          <w:p w14:paraId="7F327F1F" w14:textId="36024BE7" w:rsidR="001238F2" w:rsidRPr="00A241F5" w:rsidRDefault="001238F2" w:rsidP="00B25145">
            <w:pPr>
              <w:widowControl/>
              <w:tabs>
                <w:tab w:val="left" w:pos="720"/>
              </w:tabs>
              <w:spacing w:before="120" w:after="120"/>
              <w:ind w:left="1080" w:right="331" w:hanging="360"/>
              <w:jc w:val="left"/>
              <w:rPr>
                <w:rFonts w:cs="Arial"/>
              </w:rPr>
            </w:pPr>
            <w:r w:rsidRPr="00A241F5">
              <w:rPr>
                <w:rFonts w:cs="Arial"/>
              </w:rPr>
              <w:t>The Hong Kong Solicitors</w:t>
            </w:r>
            <w:r w:rsidR="00C61F4B" w:rsidRPr="00A241F5">
              <w:rPr>
                <w:rFonts w:cs="Arial"/>
              </w:rPr>
              <w:t>'</w:t>
            </w:r>
            <w:r w:rsidRPr="00A241F5">
              <w:rPr>
                <w:rFonts w:cs="Arial"/>
              </w:rPr>
              <w:t xml:space="preserve"> Guide to Professional Conduct</w:t>
            </w:r>
          </w:p>
        </w:tc>
        <w:tc>
          <w:tcPr>
            <w:tcW w:w="1152" w:type="dxa"/>
          </w:tcPr>
          <w:p w14:paraId="4F43CD69" w14:textId="58D4CBEF" w:rsidR="001238F2" w:rsidRPr="00A241F5" w:rsidRDefault="00AC6867" w:rsidP="00AC7FE5">
            <w:pPr>
              <w:widowControl/>
              <w:spacing w:before="120" w:after="120"/>
              <w:jc w:val="center"/>
            </w:pPr>
            <w:r w:rsidRPr="00A241F5">
              <w:t>65</w:t>
            </w:r>
          </w:p>
        </w:tc>
      </w:tr>
      <w:tr w:rsidR="001238F2" w:rsidRPr="00A241F5" w14:paraId="4776AF7B" w14:textId="77777777" w:rsidTr="00343D09">
        <w:tc>
          <w:tcPr>
            <w:tcW w:w="7228" w:type="dxa"/>
          </w:tcPr>
          <w:p w14:paraId="6EFFF9F6" w14:textId="15608099" w:rsidR="001238F2" w:rsidRPr="00A241F5" w:rsidRDefault="001238F2" w:rsidP="00B25145">
            <w:pPr>
              <w:widowControl/>
              <w:tabs>
                <w:tab w:val="left" w:pos="720"/>
              </w:tabs>
              <w:spacing w:before="120" w:after="120"/>
              <w:ind w:left="1080" w:right="331" w:hanging="360"/>
              <w:jc w:val="left"/>
              <w:rPr>
                <w:rFonts w:cs="Arial"/>
              </w:rPr>
            </w:pPr>
            <w:r w:rsidRPr="00A241F5">
              <w:rPr>
                <w:rFonts w:cs="Arial"/>
              </w:rPr>
              <w:t>HKBA</w:t>
            </w:r>
            <w:r w:rsidR="00C61F4B" w:rsidRPr="00A241F5">
              <w:rPr>
                <w:rFonts w:cs="Arial"/>
              </w:rPr>
              <w:t>'</w:t>
            </w:r>
            <w:r w:rsidR="00DC7906" w:rsidRPr="00A241F5">
              <w:rPr>
                <w:rFonts w:cs="Arial"/>
              </w:rPr>
              <w:t>s</w:t>
            </w:r>
            <w:r w:rsidRPr="00A241F5">
              <w:rPr>
                <w:rFonts w:cs="Arial"/>
              </w:rPr>
              <w:t xml:space="preserve"> Code of Conduct</w:t>
            </w:r>
          </w:p>
        </w:tc>
        <w:tc>
          <w:tcPr>
            <w:tcW w:w="1152" w:type="dxa"/>
          </w:tcPr>
          <w:p w14:paraId="6D253532" w14:textId="581FEBA2" w:rsidR="001238F2" w:rsidRPr="00A241F5" w:rsidRDefault="00AC6867" w:rsidP="00AC7FE5">
            <w:pPr>
              <w:widowControl/>
              <w:spacing w:before="120" w:after="120"/>
              <w:jc w:val="center"/>
            </w:pPr>
            <w:r w:rsidRPr="00A241F5">
              <w:t>66</w:t>
            </w:r>
          </w:p>
        </w:tc>
      </w:tr>
      <w:tr w:rsidR="00422B45" w:rsidRPr="00A241F5" w14:paraId="32D6C5F9" w14:textId="77777777" w:rsidTr="00343D09">
        <w:tc>
          <w:tcPr>
            <w:tcW w:w="7228" w:type="dxa"/>
          </w:tcPr>
          <w:p w14:paraId="385666D3" w14:textId="77777777" w:rsidR="00422B45" w:rsidRPr="00A241F5" w:rsidRDefault="00422B45" w:rsidP="00395209">
            <w:pPr>
              <w:widowControl/>
              <w:spacing w:before="120" w:after="120"/>
              <w:ind w:left="720" w:right="331" w:hanging="720"/>
              <w:jc w:val="left"/>
              <w:rPr>
                <w:b/>
              </w:rPr>
            </w:pPr>
          </w:p>
        </w:tc>
        <w:tc>
          <w:tcPr>
            <w:tcW w:w="1152" w:type="dxa"/>
          </w:tcPr>
          <w:p w14:paraId="65B383DE" w14:textId="77777777" w:rsidR="00422B45" w:rsidRPr="00A241F5" w:rsidRDefault="00422B45" w:rsidP="00AC7FE5">
            <w:pPr>
              <w:widowControl/>
              <w:spacing w:before="120" w:after="120"/>
              <w:jc w:val="center"/>
            </w:pPr>
          </w:p>
        </w:tc>
      </w:tr>
      <w:tr w:rsidR="001238F2" w:rsidRPr="00A241F5" w14:paraId="50F53A96" w14:textId="77777777" w:rsidTr="00343D09">
        <w:tc>
          <w:tcPr>
            <w:tcW w:w="7228" w:type="dxa"/>
          </w:tcPr>
          <w:p w14:paraId="301F526B" w14:textId="0D66049F" w:rsidR="001238F2" w:rsidRPr="00A241F5" w:rsidRDefault="00AB3F49" w:rsidP="00395209">
            <w:pPr>
              <w:widowControl/>
              <w:spacing w:before="120" w:after="120"/>
              <w:ind w:left="720" w:right="331" w:hanging="720"/>
              <w:jc w:val="left"/>
            </w:pPr>
            <w:r w:rsidRPr="00A241F5">
              <w:rPr>
                <w:b/>
              </w:rPr>
              <w:t>13</w:t>
            </w:r>
            <w:r w:rsidR="001238F2" w:rsidRPr="00A241F5">
              <w:rPr>
                <w:rFonts w:hint="eastAsia"/>
                <w:b/>
              </w:rPr>
              <w:t>.</w:t>
            </w:r>
            <w:r w:rsidR="001238F2" w:rsidRPr="00A241F5">
              <w:rPr>
                <w:b/>
              </w:rPr>
              <w:tab/>
              <w:t>Form of regulation</w:t>
            </w:r>
          </w:p>
        </w:tc>
        <w:tc>
          <w:tcPr>
            <w:tcW w:w="1152" w:type="dxa"/>
          </w:tcPr>
          <w:p w14:paraId="3CA9963B" w14:textId="42C616D8" w:rsidR="001238F2" w:rsidRPr="00A241F5" w:rsidRDefault="00AC6867" w:rsidP="00AC7FE5">
            <w:pPr>
              <w:widowControl/>
              <w:spacing w:before="120" w:after="120"/>
              <w:jc w:val="center"/>
            </w:pPr>
            <w:r w:rsidRPr="00A241F5">
              <w:t>68</w:t>
            </w:r>
          </w:p>
        </w:tc>
      </w:tr>
      <w:tr w:rsidR="001238F2" w:rsidRPr="00A241F5" w14:paraId="289B2696" w14:textId="77777777" w:rsidTr="00343D09">
        <w:tc>
          <w:tcPr>
            <w:tcW w:w="7228" w:type="dxa"/>
          </w:tcPr>
          <w:p w14:paraId="6AD56E92" w14:textId="4C301FD2" w:rsidR="001238F2" w:rsidRPr="00A241F5" w:rsidRDefault="001238F2" w:rsidP="00B25145">
            <w:pPr>
              <w:widowControl/>
              <w:tabs>
                <w:tab w:val="left" w:pos="720"/>
              </w:tabs>
              <w:spacing w:before="120" w:after="120"/>
              <w:ind w:left="360" w:right="331" w:hanging="360"/>
              <w:jc w:val="left"/>
            </w:pPr>
            <w:r w:rsidRPr="00A241F5">
              <w:t>Responses to the Sub-committee</w:t>
            </w:r>
            <w:r w:rsidR="00C61F4B" w:rsidRPr="00A241F5">
              <w:t>'</w:t>
            </w:r>
            <w:r w:rsidRPr="00A241F5">
              <w:t>s Recommendation 12</w:t>
            </w:r>
          </w:p>
        </w:tc>
        <w:tc>
          <w:tcPr>
            <w:tcW w:w="1152" w:type="dxa"/>
          </w:tcPr>
          <w:p w14:paraId="18FFCE54" w14:textId="4EE7AD73" w:rsidR="001238F2" w:rsidRPr="00A241F5" w:rsidRDefault="00AC6867" w:rsidP="00AC7FE5">
            <w:pPr>
              <w:widowControl/>
              <w:spacing w:before="120" w:after="120"/>
              <w:jc w:val="center"/>
            </w:pPr>
            <w:r w:rsidRPr="00A241F5">
              <w:t>68</w:t>
            </w:r>
          </w:p>
        </w:tc>
      </w:tr>
      <w:tr w:rsidR="001238F2" w:rsidRPr="00A241F5" w14:paraId="3AC8DD68" w14:textId="77777777" w:rsidTr="00343D09">
        <w:tc>
          <w:tcPr>
            <w:tcW w:w="7228" w:type="dxa"/>
          </w:tcPr>
          <w:p w14:paraId="63241990" w14:textId="425E1588" w:rsidR="001238F2" w:rsidRPr="00A241F5" w:rsidRDefault="001238F2" w:rsidP="00395209">
            <w:pPr>
              <w:widowControl/>
              <w:tabs>
                <w:tab w:val="left" w:pos="720"/>
              </w:tabs>
              <w:spacing w:before="120" w:after="120"/>
              <w:ind w:left="1080" w:right="331" w:hanging="360"/>
              <w:jc w:val="left"/>
              <w:rPr>
                <w:rFonts w:cs="Arial"/>
              </w:rPr>
            </w:pPr>
            <w:r w:rsidRPr="00A241F5">
              <w:rPr>
                <w:rFonts w:cs="Arial"/>
              </w:rPr>
              <w:lastRenderedPageBreak/>
              <w:t xml:space="preserve">Comments from Respondents who supported </w:t>
            </w:r>
            <w:r w:rsidR="00395209" w:rsidRPr="00A241F5">
              <w:rPr>
                <w:rFonts w:cs="Arial"/>
              </w:rPr>
              <w:t>R</w:t>
            </w:r>
            <w:r w:rsidRPr="00A241F5">
              <w:rPr>
                <w:rFonts w:cs="Arial"/>
              </w:rPr>
              <w:t>ecommendation</w:t>
            </w:r>
            <w:r w:rsidR="00395209" w:rsidRPr="00A241F5">
              <w:rPr>
                <w:rFonts w:cs="Arial"/>
              </w:rPr>
              <w:t xml:space="preserve"> 12</w:t>
            </w:r>
          </w:p>
        </w:tc>
        <w:tc>
          <w:tcPr>
            <w:tcW w:w="1152" w:type="dxa"/>
          </w:tcPr>
          <w:p w14:paraId="7AF597AE" w14:textId="2499E24E" w:rsidR="001238F2" w:rsidRPr="00A241F5" w:rsidRDefault="00AC6867" w:rsidP="00AC7FE5">
            <w:pPr>
              <w:widowControl/>
              <w:spacing w:before="120" w:after="120"/>
              <w:jc w:val="center"/>
            </w:pPr>
            <w:r w:rsidRPr="00A241F5">
              <w:t>68</w:t>
            </w:r>
          </w:p>
        </w:tc>
      </w:tr>
      <w:tr w:rsidR="001238F2" w:rsidRPr="00A241F5" w14:paraId="030F95A6" w14:textId="77777777" w:rsidTr="00343D09">
        <w:tc>
          <w:tcPr>
            <w:tcW w:w="7228" w:type="dxa"/>
          </w:tcPr>
          <w:p w14:paraId="46E2A789" w14:textId="7D6FC0AA" w:rsidR="001238F2" w:rsidRPr="00A241F5" w:rsidRDefault="001238F2" w:rsidP="00395209">
            <w:pPr>
              <w:widowControl/>
              <w:tabs>
                <w:tab w:val="left" w:pos="720"/>
              </w:tabs>
              <w:spacing w:before="120" w:after="120"/>
              <w:ind w:left="1080" w:right="331" w:hanging="360"/>
              <w:jc w:val="left"/>
              <w:rPr>
                <w:rFonts w:cs="Arial"/>
              </w:rPr>
            </w:pPr>
            <w:r w:rsidRPr="00A241F5">
              <w:rPr>
                <w:rFonts w:cs="Arial"/>
              </w:rPr>
              <w:t>Comments fr</w:t>
            </w:r>
            <w:r w:rsidR="00395209" w:rsidRPr="00A241F5">
              <w:rPr>
                <w:rFonts w:cs="Arial"/>
              </w:rPr>
              <w:t>om Respondents who opposed R</w:t>
            </w:r>
            <w:r w:rsidRPr="00A241F5">
              <w:rPr>
                <w:rFonts w:cs="Arial"/>
              </w:rPr>
              <w:t>ecommendation</w:t>
            </w:r>
            <w:r w:rsidR="00395209" w:rsidRPr="00A241F5">
              <w:rPr>
                <w:rFonts w:cs="Arial"/>
              </w:rPr>
              <w:t xml:space="preserve"> 12</w:t>
            </w:r>
          </w:p>
        </w:tc>
        <w:tc>
          <w:tcPr>
            <w:tcW w:w="1152" w:type="dxa"/>
          </w:tcPr>
          <w:p w14:paraId="00421AED" w14:textId="3A618BBC" w:rsidR="001238F2" w:rsidRPr="00A241F5" w:rsidRDefault="00AC6867" w:rsidP="00AC7FE5">
            <w:pPr>
              <w:widowControl/>
              <w:spacing w:before="120" w:after="120"/>
              <w:jc w:val="center"/>
            </w:pPr>
            <w:r w:rsidRPr="00A241F5">
              <w:t>69</w:t>
            </w:r>
          </w:p>
        </w:tc>
      </w:tr>
      <w:tr w:rsidR="001238F2" w:rsidRPr="00A241F5" w14:paraId="5EFB81BA" w14:textId="77777777" w:rsidTr="00343D09">
        <w:tc>
          <w:tcPr>
            <w:tcW w:w="7228" w:type="dxa"/>
          </w:tcPr>
          <w:p w14:paraId="07ECA07B" w14:textId="77777777" w:rsidR="001238F2" w:rsidRPr="00A241F5" w:rsidRDefault="001238F2" w:rsidP="00B25145">
            <w:pPr>
              <w:widowControl/>
              <w:tabs>
                <w:tab w:val="left" w:pos="720"/>
              </w:tabs>
              <w:spacing w:before="120" w:after="120"/>
              <w:ind w:left="360" w:right="331" w:hanging="360"/>
              <w:jc w:val="left"/>
              <w:rPr>
                <w:rFonts w:cs="Arial"/>
              </w:rPr>
            </w:pPr>
            <w:r w:rsidRPr="00A241F5">
              <w:rPr>
                <w:rFonts w:cs="Arial"/>
              </w:rPr>
              <w:t>Our analysis and response</w:t>
            </w:r>
          </w:p>
        </w:tc>
        <w:tc>
          <w:tcPr>
            <w:tcW w:w="1152" w:type="dxa"/>
          </w:tcPr>
          <w:p w14:paraId="1BD53FC1" w14:textId="7973D8CA" w:rsidR="001238F2" w:rsidRPr="00A241F5" w:rsidRDefault="00AC6867" w:rsidP="00AC7FE5">
            <w:pPr>
              <w:widowControl/>
              <w:spacing w:before="120" w:after="120"/>
              <w:jc w:val="center"/>
            </w:pPr>
            <w:r w:rsidRPr="00A241F5">
              <w:t>69</w:t>
            </w:r>
          </w:p>
        </w:tc>
      </w:tr>
      <w:tr w:rsidR="001238F2" w:rsidRPr="00A241F5" w14:paraId="7FA5964D" w14:textId="77777777" w:rsidTr="00343D09">
        <w:tc>
          <w:tcPr>
            <w:tcW w:w="7228" w:type="dxa"/>
          </w:tcPr>
          <w:p w14:paraId="71AC9E03" w14:textId="77777777" w:rsidR="001238F2" w:rsidRPr="00A241F5" w:rsidRDefault="001238F2" w:rsidP="00AC7FE5">
            <w:pPr>
              <w:widowControl/>
              <w:tabs>
                <w:tab w:val="left" w:pos="720"/>
              </w:tabs>
              <w:spacing w:before="120" w:after="120"/>
              <w:ind w:left="1080" w:right="331" w:hanging="360"/>
              <w:jc w:val="left"/>
            </w:pPr>
          </w:p>
        </w:tc>
        <w:tc>
          <w:tcPr>
            <w:tcW w:w="1152" w:type="dxa"/>
          </w:tcPr>
          <w:p w14:paraId="0636CEBB" w14:textId="77777777" w:rsidR="001238F2" w:rsidRPr="00A241F5" w:rsidRDefault="001238F2" w:rsidP="00AC7FE5">
            <w:pPr>
              <w:widowControl/>
              <w:spacing w:before="120" w:after="120"/>
              <w:jc w:val="center"/>
            </w:pPr>
          </w:p>
        </w:tc>
      </w:tr>
      <w:tr w:rsidR="001238F2" w:rsidRPr="00A241F5" w14:paraId="7B70A30B" w14:textId="77777777" w:rsidTr="00343D09">
        <w:tc>
          <w:tcPr>
            <w:tcW w:w="7228" w:type="dxa"/>
          </w:tcPr>
          <w:p w14:paraId="0E83F4EC" w14:textId="26DA5DE7" w:rsidR="001238F2" w:rsidRPr="00A241F5" w:rsidRDefault="00AB3F49" w:rsidP="00395209">
            <w:pPr>
              <w:keepNext/>
              <w:keepLines/>
              <w:widowControl/>
              <w:spacing w:before="120" w:after="120"/>
              <w:ind w:left="720" w:right="331" w:hanging="720"/>
              <w:jc w:val="left"/>
            </w:pPr>
            <w:r w:rsidRPr="00A241F5">
              <w:rPr>
                <w:b/>
              </w:rPr>
              <w:t>14</w:t>
            </w:r>
            <w:r w:rsidR="001238F2" w:rsidRPr="00A241F5">
              <w:rPr>
                <w:rFonts w:hint="eastAsia"/>
                <w:b/>
              </w:rPr>
              <w:t>.</w:t>
            </w:r>
            <w:r w:rsidR="001238F2" w:rsidRPr="00A241F5">
              <w:rPr>
                <w:b/>
              </w:rPr>
              <w:tab/>
              <w:t>Specific safeguards and other matters relating to ORFSs</w:t>
            </w:r>
          </w:p>
        </w:tc>
        <w:tc>
          <w:tcPr>
            <w:tcW w:w="1152" w:type="dxa"/>
          </w:tcPr>
          <w:p w14:paraId="7757B967" w14:textId="0DB28904" w:rsidR="001238F2" w:rsidRPr="00A241F5" w:rsidRDefault="00D44694" w:rsidP="00B25145">
            <w:pPr>
              <w:keepNext/>
              <w:keepLines/>
              <w:widowControl/>
              <w:spacing w:before="120" w:after="120"/>
              <w:jc w:val="center"/>
            </w:pPr>
            <w:r w:rsidRPr="00A241F5">
              <w:t>71</w:t>
            </w:r>
          </w:p>
        </w:tc>
      </w:tr>
      <w:tr w:rsidR="001238F2" w:rsidRPr="00A241F5" w14:paraId="7A56CA19" w14:textId="77777777" w:rsidTr="00343D09">
        <w:tc>
          <w:tcPr>
            <w:tcW w:w="7228" w:type="dxa"/>
          </w:tcPr>
          <w:p w14:paraId="2B2BDC4D" w14:textId="0B10C17D" w:rsidR="001238F2" w:rsidRPr="00A241F5" w:rsidRDefault="001238F2" w:rsidP="00395209">
            <w:pPr>
              <w:keepNext/>
              <w:keepLines/>
              <w:widowControl/>
              <w:tabs>
                <w:tab w:val="left" w:pos="720"/>
              </w:tabs>
              <w:spacing w:before="120" w:after="120"/>
              <w:ind w:left="360" w:right="331" w:hanging="360"/>
              <w:jc w:val="left"/>
            </w:pPr>
            <w:r w:rsidRPr="00A241F5">
              <w:t>Responses to the Sub-committee</w:t>
            </w:r>
            <w:r w:rsidR="00C61F4B" w:rsidRPr="00A241F5">
              <w:t>'</w:t>
            </w:r>
            <w:r w:rsidRPr="00A241F5">
              <w:t>s Recommendation 13(a)</w:t>
            </w:r>
          </w:p>
        </w:tc>
        <w:tc>
          <w:tcPr>
            <w:tcW w:w="1152" w:type="dxa"/>
          </w:tcPr>
          <w:p w14:paraId="4CAF40D3" w14:textId="2EBFDED5" w:rsidR="001238F2" w:rsidRPr="00A241F5" w:rsidRDefault="00D44694" w:rsidP="00B25145">
            <w:pPr>
              <w:keepNext/>
              <w:keepLines/>
              <w:widowControl/>
              <w:spacing w:before="120" w:after="120"/>
              <w:jc w:val="center"/>
            </w:pPr>
            <w:r w:rsidRPr="00A241F5">
              <w:t>71</w:t>
            </w:r>
          </w:p>
        </w:tc>
      </w:tr>
      <w:tr w:rsidR="001238F2" w:rsidRPr="00A241F5" w14:paraId="78EBC5A7" w14:textId="77777777" w:rsidTr="00343D09">
        <w:tc>
          <w:tcPr>
            <w:tcW w:w="7228" w:type="dxa"/>
          </w:tcPr>
          <w:p w14:paraId="6E940D0D" w14:textId="76CDD514" w:rsidR="001238F2" w:rsidRPr="00A241F5" w:rsidRDefault="001238F2" w:rsidP="00395209">
            <w:pPr>
              <w:widowControl/>
              <w:tabs>
                <w:tab w:val="left" w:pos="720"/>
              </w:tabs>
              <w:spacing w:before="120" w:after="120"/>
              <w:ind w:left="1080" w:right="331" w:hanging="360"/>
              <w:jc w:val="left"/>
              <w:rPr>
                <w:rFonts w:cs="Arial"/>
              </w:rPr>
            </w:pPr>
            <w:r w:rsidRPr="00A241F5">
              <w:rPr>
                <w:rFonts w:cs="Arial"/>
              </w:rPr>
              <w:t xml:space="preserve">Comments from Respondents who supported </w:t>
            </w:r>
            <w:r w:rsidR="00395209" w:rsidRPr="00A241F5">
              <w:rPr>
                <w:rFonts w:cs="Arial"/>
              </w:rPr>
              <w:t>R</w:t>
            </w:r>
            <w:r w:rsidRPr="00A241F5">
              <w:rPr>
                <w:rFonts w:cs="Arial"/>
              </w:rPr>
              <w:t>ecommendation</w:t>
            </w:r>
            <w:r w:rsidR="00395209" w:rsidRPr="00A241F5">
              <w:rPr>
                <w:rFonts w:cs="Arial"/>
              </w:rPr>
              <w:t xml:space="preserve"> 13(a)</w:t>
            </w:r>
          </w:p>
        </w:tc>
        <w:tc>
          <w:tcPr>
            <w:tcW w:w="1152" w:type="dxa"/>
          </w:tcPr>
          <w:p w14:paraId="40C5A22F" w14:textId="5ED6F55B" w:rsidR="001238F2" w:rsidRPr="00A241F5" w:rsidRDefault="00D44694" w:rsidP="00AC7FE5">
            <w:pPr>
              <w:widowControl/>
              <w:spacing w:before="120" w:after="120"/>
              <w:jc w:val="center"/>
            </w:pPr>
            <w:r w:rsidRPr="00A241F5">
              <w:t>71</w:t>
            </w:r>
          </w:p>
        </w:tc>
      </w:tr>
      <w:tr w:rsidR="001238F2" w:rsidRPr="00A241F5" w14:paraId="5BA0F86B" w14:textId="77777777" w:rsidTr="00343D09">
        <w:tc>
          <w:tcPr>
            <w:tcW w:w="7228" w:type="dxa"/>
          </w:tcPr>
          <w:p w14:paraId="080A9D0B" w14:textId="2DE95C5B" w:rsidR="001238F2" w:rsidRPr="00A241F5" w:rsidRDefault="001238F2" w:rsidP="00395209">
            <w:pPr>
              <w:widowControl/>
              <w:tabs>
                <w:tab w:val="left" w:pos="720"/>
              </w:tabs>
              <w:spacing w:before="120" w:after="120"/>
              <w:ind w:left="1080" w:right="331" w:hanging="360"/>
              <w:jc w:val="left"/>
              <w:rPr>
                <w:rFonts w:cs="Arial"/>
              </w:rPr>
            </w:pPr>
            <w:r w:rsidRPr="00A241F5">
              <w:rPr>
                <w:rFonts w:cs="Arial"/>
              </w:rPr>
              <w:t xml:space="preserve">Comments from Respondents who opposed </w:t>
            </w:r>
            <w:r w:rsidR="00395209" w:rsidRPr="00A241F5">
              <w:rPr>
                <w:rFonts w:cs="Arial"/>
              </w:rPr>
              <w:t>R</w:t>
            </w:r>
            <w:r w:rsidRPr="00A241F5">
              <w:rPr>
                <w:rFonts w:cs="Arial"/>
              </w:rPr>
              <w:t>ecommendation</w:t>
            </w:r>
            <w:r w:rsidR="00395209" w:rsidRPr="00A241F5">
              <w:rPr>
                <w:rFonts w:cs="Arial"/>
              </w:rPr>
              <w:t xml:space="preserve"> 13(a)</w:t>
            </w:r>
          </w:p>
        </w:tc>
        <w:tc>
          <w:tcPr>
            <w:tcW w:w="1152" w:type="dxa"/>
          </w:tcPr>
          <w:p w14:paraId="1A376EC3" w14:textId="2F541D34" w:rsidR="001238F2" w:rsidRPr="00A241F5" w:rsidRDefault="00ED5458" w:rsidP="00AC7FE5">
            <w:pPr>
              <w:widowControl/>
              <w:spacing w:before="120" w:after="120"/>
              <w:jc w:val="center"/>
            </w:pPr>
            <w:r w:rsidRPr="00A241F5">
              <w:t>74</w:t>
            </w:r>
          </w:p>
        </w:tc>
      </w:tr>
      <w:tr w:rsidR="001238F2" w:rsidRPr="00A241F5" w14:paraId="72D45AFF" w14:textId="77777777" w:rsidTr="00343D09">
        <w:tc>
          <w:tcPr>
            <w:tcW w:w="7228" w:type="dxa"/>
          </w:tcPr>
          <w:p w14:paraId="496708F2" w14:textId="77777777" w:rsidR="001238F2" w:rsidRPr="00A241F5" w:rsidRDefault="001238F2" w:rsidP="00395209">
            <w:pPr>
              <w:widowControl/>
              <w:tabs>
                <w:tab w:val="left" w:pos="720"/>
              </w:tabs>
              <w:spacing w:before="120" w:after="120"/>
              <w:ind w:left="360" w:right="331" w:hanging="360"/>
              <w:jc w:val="left"/>
              <w:rPr>
                <w:rFonts w:cs="Arial"/>
              </w:rPr>
            </w:pPr>
            <w:r w:rsidRPr="00A241F5">
              <w:rPr>
                <w:rFonts w:cs="Arial"/>
              </w:rPr>
              <w:t>Our analysis and response</w:t>
            </w:r>
          </w:p>
        </w:tc>
        <w:tc>
          <w:tcPr>
            <w:tcW w:w="1152" w:type="dxa"/>
          </w:tcPr>
          <w:p w14:paraId="10CF1138" w14:textId="472CFB85" w:rsidR="001238F2" w:rsidRPr="00A241F5" w:rsidRDefault="00ED5458" w:rsidP="00AC7FE5">
            <w:pPr>
              <w:widowControl/>
              <w:spacing w:before="120" w:after="120"/>
              <w:jc w:val="center"/>
            </w:pPr>
            <w:r w:rsidRPr="00A241F5">
              <w:t>74</w:t>
            </w:r>
          </w:p>
        </w:tc>
      </w:tr>
      <w:tr w:rsidR="007B4569" w:rsidRPr="00A241F5" w14:paraId="65617E90" w14:textId="77777777" w:rsidTr="00343D09">
        <w:tc>
          <w:tcPr>
            <w:tcW w:w="7228" w:type="dxa"/>
          </w:tcPr>
          <w:p w14:paraId="727685DC" w14:textId="2C44E424" w:rsidR="007B4569" w:rsidRPr="00A241F5" w:rsidRDefault="007B4569" w:rsidP="002B1F44">
            <w:pPr>
              <w:widowControl/>
              <w:tabs>
                <w:tab w:val="left" w:pos="720"/>
              </w:tabs>
              <w:spacing w:before="120" w:after="120"/>
              <w:ind w:left="360" w:right="331" w:hanging="360"/>
              <w:jc w:val="left"/>
              <w:rPr>
                <w:rFonts w:cs="Arial"/>
              </w:rPr>
            </w:pPr>
            <w:r w:rsidRPr="00A241F5">
              <w:rPr>
                <w:rFonts w:cs="Arial"/>
              </w:rPr>
              <w:t>Responses to the Sub-committee</w:t>
            </w:r>
            <w:r w:rsidR="00C61F4B" w:rsidRPr="00A241F5">
              <w:rPr>
                <w:rFonts w:cs="Arial"/>
              </w:rPr>
              <w:t>'</w:t>
            </w:r>
            <w:r w:rsidRPr="00A241F5">
              <w:rPr>
                <w:rFonts w:cs="Arial"/>
              </w:rPr>
              <w:t>s Recommendation 13(b), (e), (f), (g) and (h)</w:t>
            </w:r>
          </w:p>
        </w:tc>
        <w:tc>
          <w:tcPr>
            <w:tcW w:w="1152" w:type="dxa"/>
          </w:tcPr>
          <w:p w14:paraId="47FA38CA" w14:textId="3E562913" w:rsidR="007B4569" w:rsidRPr="00A241F5" w:rsidRDefault="00ED5458" w:rsidP="002B1F44">
            <w:pPr>
              <w:widowControl/>
              <w:spacing w:before="120" w:after="120"/>
              <w:jc w:val="center"/>
            </w:pPr>
            <w:r w:rsidRPr="00A241F5">
              <w:t>7</w:t>
            </w:r>
            <w:r w:rsidR="00EF4C20" w:rsidRPr="00A241F5">
              <w:t>7</w:t>
            </w:r>
          </w:p>
        </w:tc>
      </w:tr>
      <w:tr w:rsidR="007B4569" w:rsidRPr="00A241F5" w14:paraId="296ACB96" w14:textId="77777777" w:rsidTr="00343D09">
        <w:tc>
          <w:tcPr>
            <w:tcW w:w="7228" w:type="dxa"/>
          </w:tcPr>
          <w:p w14:paraId="68414AB4" w14:textId="711B49C2" w:rsidR="007B4569" w:rsidRPr="00A241F5" w:rsidRDefault="007B4569" w:rsidP="002B1F44">
            <w:pPr>
              <w:widowControl/>
              <w:tabs>
                <w:tab w:val="left" w:pos="720"/>
              </w:tabs>
              <w:spacing w:before="120" w:after="120"/>
              <w:ind w:left="1080" w:right="331" w:hanging="360"/>
              <w:jc w:val="left"/>
              <w:rPr>
                <w:rFonts w:cs="Arial"/>
              </w:rPr>
            </w:pPr>
            <w:r w:rsidRPr="00A241F5">
              <w:rPr>
                <w:rFonts w:cs="Arial"/>
              </w:rPr>
              <w:t>CFAs</w:t>
            </w:r>
          </w:p>
        </w:tc>
        <w:tc>
          <w:tcPr>
            <w:tcW w:w="1152" w:type="dxa"/>
          </w:tcPr>
          <w:p w14:paraId="2BDBC6EA" w14:textId="47FDAC99" w:rsidR="007B4569" w:rsidRPr="00A241F5" w:rsidRDefault="00ED5458" w:rsidP="002B1F44">
            <w:pPr>
              <w:widowControl/>
              <w:spacing w:before="120" w:after="120"/>
              <w:jc w:val="center"/>
            </w:pPr>
            <w:r w:rsidRPr="00A241F5">
              <w:t>77</w:t>
            </w:r>
          </w:p>
        </w:tc>
      </w:tr>
      <w:tr w:rsidR="007B4569" w:rsidRPr="00A241F5" w14:paraId="3DC48BF3" w14:textId="77777777" w:rsidTr="00343D09">
        <w:tc>
          <w:tcPr>
            <w:tcW w:w="7228" w:type="dxa"/>
          </w:tcPr>
          <w:p w14:paraId="01110566" w14:textId="3B7C1CAC" w:rsidR="007B4569" w:rsidRPr="00A241F5" w:rsidRDefault="007B4569" w:rsidP="002B1F44">
            <w:pPr>
              <w:widowControl/>
              <w:tabs>
                <w:tab w:val="left" w:pos="720"/>
              </w:tabs>
              <w:spacing w:before="120" w:after="120"/>
              <w:ind w:left="1080" w:right="331" w:hanging="360"/>
              <w:jc w:val="left"/>
              <w:rPr>
                <w:rFonts w:cs="Arial"/>
              </w:rPr>
            </w:pPr>
            <w:r w:rsidRPr="00A241F5">
              <w:rPr>
                <w:rFonts w:cs="Arial"/>
              </w:rPr>
              <w:t>DBAs</w:t>
            </w:r>
          </w:p>
        </w:tc>
        <w:tc>
          <w:tcPr>
            <w:tcW w:w="1152" w:type="dxa"/>
          </w:tcPr>
          <w:p w14:paraId="0508CD9C" w14:textId="4866FDF9" w:rsidR="007B4569" w:rsidRPr="00A241F5" w:rsidRDefault="00ED5458" w:rsidP="002B1F44">
            <w:pPr>
              <w:widowControl/>
              <w:spacing w:before="120" w:after="120"/>
              <w:jc w:val="center"/>
            </w:pPr>
            <w:r w:rsidRPr="00A241F5">
              <w:t>77</w:t>
            </w:r>
          </w:p>
        </w:tc>
      </w:tr>
      <w:tr w:rsidR="007B4569" w:rsidRPr="00A241F5" w14:paraId="1E9CEDC9" w14:textId="77777777" w:rsidTr="00343D09">
        <w:tc>
          <w:tcPr>
            <w:tcW w:w="7228" w:type="dxa"/>
          </w:tcPr>
          <w:p w14:paraId="75628F33" w14:textId="77777777" w:rsidR="007B4569" w:rsidRPr="00A241F5" w:rsidRDefault="007B4569" w:rsidP="002B1F44">
            <w:pPr>
              <w:widowControl/>
              <w:tabs>
                <w:tab w:val="left" w:pos="720"/>
              </w:tabs>
              <w:spacing w:before="120" w:after="120"/>
              <w:ind w:left="360" w:right="331" w:hanging="360"/>
              <w:jc w:val="left"/>
              <w:rPr>
                <w:rFonts w:cs="Arial"/>
              </w:rPr>
            </w:pPr>
            <w:r w:rsidRPr="00A241F5">
              <w:rPr>
                <w:rFonts w:cs="Arial"/>
              </w:rPr>
              <w:t>Our analysis and response</w:t>
            </w:r>
          </w:p>
        </w:tc>
        <w:tc>
          <w:tcPr>
            <w:tcW w:w="1152" w:type="dxa"/>
          </w:tcPr>
          <w:p w14:paraId="611C8811" w14:textId="3285BC07" w:rsidR="007B4569" w:rsidRPr="00A241F5" w:rsidRDefault="00ED5458" w:rsidP="002B1F44">
            <w:pPr>
              <w:widowControl/>
              <w:spacing w:before="120" w:after="120"/>
              <w:jc w:val="center"/>
            </w:pPr>
            <w:r w:rsidRPr="00A241F5">
              <w:t>78</w:t>
            </w:r>
          </w:p>
        </w:tc>
      </w:tr>
      <w:tr w:rsidR="002B1F44" w:rsidRPr="00A241F5" w14:paraId="162D5053" w14:textId="77777777" w:rsidTr="00343D09">
        <w:tc>
          <w:tcPr>
            <w:tcW w:w="7228" w:type="dxa"/>
          </w:tcPr>
          <w:p w14:paraId="33A5BCF8" w14:textId="2C2D16E1" w:rsidR="002B1F44" w:rsidRPr="00A241F5" w:rsidRDefault="002B1F44" w:rsidP="002B1F44">
            <w:pPr>
              <w:widowControl/>
              <w:tabs>
                <w:tab w:val="left" w:pos="720"/>
              </w:tabs>
              <w:spacing w:before="120" w:after="120"/>
              <w:ind w:left="1080" w:right="331" w:hanging="360"/>
              <w:jc w:val="left"/>
              <w:rPr>
                <w:rFonts w:cs="Arial"/>
              </w:rPr>
            </w:pPr>
            <w:r w:rsidRPr="00A241F5">
              <w:rPr>
                <w:rFonts w:cs="Arial"/>
              </w:rPr>
              <w:t>Recommendation 13(b)</w:t>
            </w:r>
          </w:p>
        </w:tc>
        <w:tc>
          <w:tcPr>
            <w:tcW w:w="1152" w:type="dxa"/>
          </w:tcPr>
          <w:p w14:paraId="784F52ED" w14:textId="73E9D819" w:rsidR="002B1F44" w:rsidRPr="00A241F5" w:rsidRDefault="00ED5458" w:rsidP="002B1F44">
            <w:pPr>
              <w:widowControl/>
              <w:spacing w:before="120" w:after="120"/>
              <w:jc w:val="center"/>
            </w:pPr>
            <w:r w:rsidRPr="00A241F5">
              <w:t>7</w:t>
            </w:r>
            <w:r w:rsidR="00967FF0" w:rsidRPr="00A241F5">
              <w:t>9</w:t>
            </w:r>
          </w:p>
        </w:tc>
      </w:tr>
      <w:tr w:rsidR="002B1F44" w:rsidRPr="00A241F5" w14:paraId="0326AC2D" w14:textId="77777777" w:rsidTr="00343D09">
        <w:tc>
          <w:tcPr>
            <w:tcW w:w="7228" w:type="dxa"/>
          </w:tcPr>
          <w:p w14:paraId="1C37131F" w14:textId="648D9CEA" w:rsidR="002B1F44" w:rsidRPr="00A241F5" w:rsidRDefault="00422B45" w:rsidP="002B1F44">
            <w:pPr>
              <w:widowControl/>
              <w:tabs>
                <w:tab w:val="left" w:pos="720"/>
              </w:tabs>
              <w:spacing w:before="120" w:after="120"/>
              <w:ind w:left="1080" w:right="331" w:hanging="360"/>
              <w:jc w:val="left"/>
              <w:rPr>
                <w:rFonts w:cs="Arial"/>
              </w:rPr>
            </w:pPr>
            <w:r w:rsidRPr="00A241F5">
              <w:rPr>
                <w:rFonts w:cs="Arial"/>
              </w:rPr>
              <w:t>Recommendation</w:t>
            </w:r>
            <w:r w:rsidR="002B1F44" w:rsidRPr="00A241F5">
              <w:rPr>
                <w:rFonts w:cs="Arial"/>
              </w:rPr>
              <w:t xml:space="preserve"> 13(e), (f), (g) and (h)</w:t>
            </w:r>
          </w:p>
        </w:tc>
        <w:tc>
          <w:tcPr>
            <w:tcW w:w="1152" w:type="dxa"/>
          </w:tcPr>
          <w:p w14:paraId="07E54F7A" w14:textId="70ED7837" w:rsidR="002B1F44" w:rsidRPr="00A241F5" w:rsidRDefault="00967FF0" w:rsidP="002B1F44">
            <w:pPr>
              <w:widowControl/>
              <w:spacing w:before="120" w:after="120"/>
              <w:jc w:val="center"/>
            </w:pPr>
            <w:r w:rsidRPr="00A241F5">
              <w:t>80</w:t>
            </w:r>
          </w:p>
        </w:tc>
      </w:tr>
      <w:tr w:rsidR="001238F2" w:rsidRPr="00A241F5" w14:paraId="4B6F1F76" w14:textId="77777777" w:rsidTr="00343D09">
        <w:tc>
          <w:tcPr>
            <w:tcW w:w="7228" w:type="dxa"/>
          </w:tcPr>
          <w:p w14:paraId="57B3D7AE" w14:textId="13BF3C4C" w:rsidR="001238F2" w:rsidRPr="00A241F5" w:rsidRDefault="001238F2" w:rsidP="00243842">
            <w:pPr>
              <w:widowControl/>
              <w:tabs>
                <w:tab w:val="left" w:pos="720"/>
              </w:tabs>
              <w:spacing w:before="120" w:after="120"/>
              <w:ind w:left="360" w:right="331" w:hanging="360"/>
              <w:jc w:val="left"/>
            </w:pPr>
            <w:r w:rsidRPr="00A241F5">
              <w:t>Responses to the Sub-committee</w:t>
            </w:r>
            <w:r w:rsidR="00C61F4B" w:rsidRPr="00A241F5">
              <w:t>'</w:t>
            </w:r>
            <w:r w:rsidRPr="00A241F5">
              <w:t>s Recommendation 13(c) and</w:t>
            </w:r>
            <w:r w:rsidR="00243842">
              <w:t> </w:t>
            </w:r>
            <w:r w:rsidRPr="00A241F5">
              <w:t>(d)</w:t>
            </w:r>
          </w:p>
        </w:tc>
        <w:tc>
          <w:tcPr>
            <w:tcW w:w="1152" w:type="dxa"/>
          </w:tcPr>
          <w:p w14:paraId="29660F8B" w14:textId="06ADAA4A" w:rsidR="001238F2" w:rsidRPr="00A241F5" w:rsidRDefault="00ED5458" w:rsidP="00AC7FE5">
            <w:pPr>
              <w:widowControl/>
              <w:spacing w:before="120" w:after="120"/>
              <w:jc w:val="center"/>
            </w:pPr>
            <w:r w:rsidRPr="00A241F5">
              <w:t>81</w:t>
            </w:r>
          </w:p>
        </w:tc>
      </w:tr>
      <w:tr w:rsidR="001238F2" w:rsidRPr="00A241F5" w14:paraId="117FAF0F" w14:textId="77777777" w:rsidTr="00343D09">
        <w:tc>
          <w:tcPr>
            <w:tcW w:w="7228" w:type="dxa"/>
          </w:tcPr>
          <w:p w14:paraId="2C832326" w14:textId="6C021336" w:rsidR="001238F2" w:rsidRPr="00A241F5" w:rsidRDefault="001238F2">
            <w:pPr>
              <w:widowControl/>
              <w:tabs>
                <w:tab w:val="left" w:pos="720"/>
              </w:tabs>
              <w:spacing w:before="120" w:after="120"/>
              <w:ind w:left="1080" w:right="331" w:hanging="360"/>
              <w:jc w:val="left"/>
              <w:rPr>
                <w:rFonts w:cs="Arial"/>
              </w:rPr>
            </w:pPr>
            <w:r w:rsidRPr="00A241F5">
              <w:rPr>
                <w:rFonts w:cs="Arial"/>
              </w:rPr>
              <w:t xml:space="preserve">Comments from Respondents who supported </w:t>
            </w:r>
            <w:r w:rsidR="00EC6D7B" w:rsidRPr="00A241F5">
              <w:rPr>
                <w:rFonts w:cs="Arial"/>
              </w:rPr>
              <w:t>R</w:t>
            </w:r>
            <w:r w:rsidRPr="00A241F5">
              <w:rPr>
                <w:rFonts w:cs="Arial"/>
              </w:rPr>
              <w:t>ecommendation</w:t>
            </w:r>
            <w:r w:rsidR="00EC6D7B" w:rsidRPr="00A241F5">
              <w:rPr>
                <w:rFonts w:cs="Arial"/>
              </w:rPr>
              <w:t xml:space="preserve"> 13(c)</w:t>
            </w:r>
          </w:p>
        </w:tc>
        <w:tc>
          <w:tcPr>
            <w:tcW w:w="1152" w:type="dxa"/>
          </w:tcPr>
          <w:p w14:paraId="3DE83D2D" w14:textId="14E6FF15" w:rsidR="001238F2" w:rsidRPr="00A241F5" w:rsidRDefault="00ED5458" w:rsidP="00AC7FE5">
            <w:pPr>
              <w:widowControl/>
              <w:spacing w:before="120" w:after="120"/>
              <w:jc w:val="center"/>
            </w:pPr>
            <w:r w:rsidRPr="00A241F5">
              <w:t>8</w:t>
            </w:r>
            <w:r w:rsidR="004E4101" w:rsidRPr="00A241F5">
              <w:t>2</w:t>
            </w:r>
          </w:p>
        </w:tc>
      </w:tr>
      <w:tr w:rsidR="001238F2" w:rsidRPr="00A241F5" w14:paraId="5905B078" w14:textId="77777777" w:rsidTr="00343D09">
        <w:tc>
          <w:tcPr>
            <w:tcW w:w="7228" w:type="dxa"/>
          </w:tcPr>
          <w:p w14:paraId="6A6B7F67" w14:textId="6CF9C126" w:rsidR="001238F2" w:rsidRPr="00A241F5" w:rsidRDefault="001238F2">
            <w:pPr>
              <w:widowControl/>
              <w:tabs>
                <w:tab w:val="left" w:pos="720"/>
              </w:tabs>
              <w:spacing w:before="120" w:after="120"/>
              <w:ind w:left="1080" w:right="331" w:hanging="360"/>
              <w:jc w:val="left"/>
              <w:rPr>
                <w:rFonts w:cs="Arial"/>
              </w:rPr>
            </w:pPr>
            <w:r w:rsidRPr="00A241F5">
              <w:rPr>
                <w:rFonts w:cs="Arial"/>
              </w:rPr>
              <w:t xml:space="preserve">Comments from Respondents who opposed </w:t>
            </w:r>
            <w:r w:rsidR="00EC6D7B" w:rsidRPr="00A241F5">
              <w:rPr>
                <w:rFonts w:cs="Arial"/>
              </w:rPr>
              <w:t>R</w:t>
            </w:r>
            <w:r w:rsidRPr="00A241F5">
              <w:rPr>
                <w:rFonts w:cs="Arial"/>
              </w:rPr>
              <w:t>ecommendation</w:t>
            </w:r>
            <w:r w:rsidR="00422B45" w:rsidRPr="00A241F5">
              <w:rPr>
                <w:rFonts w:cs="Arial"/>
              </w:rPr>
              <w:t xml:space="preserve"> 13(c</w:t>
            </w:r>
            <w:r w:rsidR="00EC6D7B" w:rsidRPr="00A241F5">
              <w:rPr>
                <w:rFonts w:cs="Arial"/>
              </w:rPr>
              <w:t>)</w:t>
            </w:r>
          </w:p>
        </w:tc>
        <w:tc>
          <w:tcPr>
            <w:tcW w:w="1152" w:type="dxa"/>
          </w:tcPr>
          <w:p w14:paraId="39039206" w14:textId="19CE13F9" w:rsidR="001238F2" w:rsidRPr="00A241F5" w:rsidRDefault="00ED5458" w:rsidP="000C48E8">
            <w:pPr>
              <w:widowControl/>
              <w:spacing w:before="120" w:after="120"/>
              <w:jc w:val="center"/>
            </w:pPr>
            <w:r w:rsidRPr="00A241F5">
              <w:t>8</w:t>
            </w:r>
            <w:r w:rsidR="00100FDF">
              <w:t>2</w:t>
            </w:r>
          </w:p>
        </w:tc>
      </w:tr>
      <w:tr w:rsidR="001238F2" w:rsidRPr="00A241F5" w14:paraId="7296408D" w14:textId="77777777" w:rsidTr="00343D09">
        <w:tc>
          <w:tcPr>
            <w:tcW w:w="7228" w:type="dxa"/>
          </w:tcPr>
          <w:p w14:paraId="4A4FBF97" w14:textId="77777777" w:rsidR="001238F2" w:rsidRPr="00A241F5" w:rsidRDefault="001238F2" w:rsidP="00DF3C60">
            <w:pPr>
              <w:widowControl/>
              <w:tabs>
                <w:tab w:val="left" w:pos="720"/>
              </w:tabs>
              <w:spacing w:before="120" w:after="120"/>
              <w:ind w:left="360" w:right="331" w:hanging="360"/>
              <w:jc w:val="left"/>
              <w:rPr>
                <w:rFonts w:cs="Arial"/>
              </w:rPr>
            </w:pPr>
            <w:r w:rsidRPr="00A241F5">
              <w:rPr>
                <w:rFonts w:cs="Arial"/>
              </w:rPr>
              <w:t>Our analysis and response</w:t>
            </w:r>
          </w:p>
        </w:tc>
        <w:tc>
          <w:tcPr>
            <w:tcW w:w="1152" w:type="dxa"/>
          </w:tcPr>
          <w:p w14:paraId="7075CF15" w14:textId="4DA7F897" w:rsidR="001238F2" w:rsidRPr="00A241F5" w:rsidRDefault="00ED5458" w:rsidP="00AC7FE5">
            <w:pPr>
              <w:widowControl/>
              <w:spacing w:before="120" w:after="120"/>
              <w:jc w:val="center"/>
            </w:pPr>
            <w:r w:rsidRPr="00A241F5">
              <w:t>83</w:t>
            </w:r>
          </w:p>
        </w:tc>
      </w:tr>
      <w:tr w:rsidR="001238F2" w:rsidRPr="00A241F5" w14:paraId="7DC627D2" w14:textId="77777777" w:rsidTr="00343D09">
        <w:tc>
          <w:tcPr>
            <w:tcW w:w="7228" w:type="dxa"/>
          </w:tcPr>
          <w:p w14:paraId="09375F08" w14:textId="1232FAB7" w:rsidR="001238F2" w:rsidRPr="00A241F5" w:rsidRDefault="00EC6D7B" w:rsidP="00DF3C60">
            <w:pPr>
              <w:widowControl/>
              <w:tabs>
                <w:tab w:val="left" w:pos="720"/>
              </w:tabs>
              <w:spacing w:before="120" w:after="120"/>
              <w:ind w:left="1080" w:right="331" w:hanging="360"/>
              <w:jc w:val="left"/>
              <w:rPr>
                <w:rFonts w:cs="Arial"/>
              </w:rPr>
            </w:pPr>
            <w:r w:rsidRPr="00A241F5">
              <w:rPr>
                <w:rFonts w:cs="Arial"/>
              </w:rPr>
              <w:t>Comments from Respondents on Recommendation 13(d)</w:t>
            </w:r>
          </w:p>
        </w:tc>
        <w:tc>
          <w:tcPr>
            <w:tcW w:w="1152" w:type="dxa"/>
          </w:tcPr>
          <w:p w14:paraId="2C45687C" w14:textId="3A84516E" w:rsidR="001238F2" w:rsidRPr="00A241F5" w:rsidRDefault="00ED5458" w:rsidP="00AC7FE5">
            <w:pPr>
              <w:widowControl/>
              <w:spacing w:before="120" w:after="120"/>
              <w:jc w:val="center"/>
            </w:pPr>
            <w:r w:rsidRPr="00A241F5">
              <w:t>84</w:t>
            </w:r>
          </w:p>
        </w:tc>
      </w:tr>
      <w:tr w:rsidR="001238F2" w:rsidRPr="00A241F5" w14:paraId="701E8D25" w14:textId="594CD843" w:rsidTr="00343D09">
        <w:tc>
          <w:tcPr>
            <w:tcW w:w="7228" w:type="dxa"/>
          </w:tcPr>
          <w:p w14:paraId="35F2AE22" w14:textId="7E05BDA9" w:rsidR="001238F2" w:rsidRPr="00A241F5" w:rsidRDefault="001238F2" w:rsidP="00DF3C60">
            <w:pPr>
              <w:widowControl/>
              <w:tabs>
                <w:tab w:val="left" w:pos="720"/>
              </w:tabs>
              <w:spacing w:before="120" w:after="120"/>
              <w:ind w:left="360" w:right="331" w:hanging="360"/>
              <w:jc w:val="left"/>
              <w:rPr>
                <w:rFonts w:cs="Arial"/>
              </w:rPr>
            </w:pPr>
            <w:r w:rsidRPr="00A241F5">
              <w:rPr>
                <w:rFonts w:cs="Arial"/>
              </w:rPr>
              <w:lastRenderedPageBreak/>
              <w:t>Our analysis and response</w:t>
            </w:r>
          </w:p>
        </w:tc>
        <w:tc>
          <w:tcPr>
            <w:tcW w:w="1152" w:type="dxa"/>
          </w:tcPr>
          <w:p w14:paraId="3A0F1828" w14:textId="578FAEAF" w:rsidR="001238F2" w:rsidRPr="00A241F5" w:rsidRDefault="00ED5458" w:rsidP="00AC7FE5">
            <w:pPr>
              <w:widowControl/>
              <w:spacing w:before="120" w:after="120"/>
              <w:jc w:val="center"/>
            </w:pPr>
            <w:r w:rsidRPr="00A241F5">
              <w:t>85</w:t>
            </w:r>
          </w:p>
        </w:tc>
      </w:tr>
      <w:tr w:rsidR="001238F2" w:rsidRPr="00A241F5" w14:paraId="73838EBF" w14:textId="77777777" w:rsidTr="00343D09">
        <w:tc>
          <w:tcPr>
            <w:tcW w:w="7228" w:type="dxa"/>
          </w:tcPr>
          <w:p w14:paraId="7125742F" w14:textId="77777777" w:rsidR="001238F2" w:rsidRPr="00A241F5" w:rsidRDefault="001238F2" w:rsidP="00AC7FE5">
            <w:pPr>
              <w:widowControl/>
              <w:tabs>
                <w:tab w:val="left" w:pos="720"/>
              </w:tabs>
              <w:spacing w:before="120" w:after="120"/>
              <w:ind w:left="1080" w:right="331" w:hanging="360"/>
              <w:jc w:val="left"/>
              <w:rPr>
                <w:rFonts w:cs="Arial"/>
              </w:rPr>
            </w:pPr>
          </w:p>
        </w:tc>
        <w:tc>
          <w:tcPr>
            <w:tcW w:w="1152" w:type="dxa"/>
          </w:tcPr>
          <w:p w14:paraId="44E72BAE" w14:textId="77777777" w:rsidR="001238F2" w:rsidRPr="00A241F5" w:rsidRDefault="001238F2" w:rsidP="00AC7FE5">
            <w:pPr>
              <w:widowControl/>
              <w:spacing w:before="120" w:after="120"/>
              <w:jc w:val="center"/>
            </w:pPr>
          </w:p>
        </w:tc>
      </w:tr>
      <w:tr w:rsidR="001238F2" w:rsidRPr="00A241F5" w14:paraId="5EA126E5" w14:textId="77777777" w:rsidTr="00343D09">
        <w:tc>
          <w:tcPr>
            <w:tcW w:w="7228" w:type="dxa"/>
          </w:tcPr>
          <w:p w14:paraId="19081BBE" w14:textId="48C909B5" w:rsidR="001238F2" w:rsidRPr="00A241F5" w:rsidRDefault="00AB3F49">
            <w:pPr>
              <w:widowControl/>
              <w:spacing w:before="120" w:after="120"/>
              <w:ind w:left="720" w:right="331" w:hanging="720"/>
              <w:jc w:val="left"/>
            </w:pPr>
            <w:r w:rsidRPr="00A241F5">
              <w:rPr>
                <w:b/>
              </w:rPr>
              <w:t>15</w:t>
            </w:r>
            <w:r w:rsidR="001238F2" w:rsidRPr="00A241F5">
              <w:rPr>
                <w:rFonts w:hint="eastAsia"/>
                <w:b/>
              </w:rPr>
              <w:t>.</w:t>
            </w:r>
            <w:r w:rsidR="001238F2" w:rsidRPr="00A241F5">
              <w:rPr>
                <w:b/>
              </w:rPr>
              <w:tab/>
            </w:r>
            <w:r w:rsidR="00CF0521" w:rsidRPr="00A241F5">
              <w:rPr>
                <w:b/>
              </w:rPr>
              <w:t>Charge separately for separate aspects of Arbitration</w:t>
            </w:r>
            <w:r w:rsidR="00CF0521" w:rsidRPr="00A241F5" w:rsidDel="00CF0521">
              <w:rPr>
                <w:b/>
              </w:rPr>
              <w:t xml:space="preserve"> </w:t>
            </w:r>
          </w:p>
        </w:tc>
        <w:tc>
          <w:tcPr>
            <w:tcW w:w="1152" w:type="dxa"/>
          </w:tcPr>
          <w:p w14:paraId="671D004B" w14:textId="2E2D0683" w:rsidR="001238F2" w:rsidRPr="00A241F5" w:rsidRDefault="00ED5458" w:rsidP="00AC7FE5">
            <w:pPr>
              <w:widowControl/>
              <w:spacing w:before="120" w:after="120"/>
              <w:jc w:val="center"/>
            </w:pPr>
            <w:r w:rsidRPr="00A241F5">
              <w:t>8</w:t>
            </w:r>
            <w:r w:rsidR="00085D00" w:rsidRPr="00A241F5">
              <w:t>9</w:t>
            </w:r>
          </w:p>
        </w:tc>
      </w:tr>
      <w:tr w:rsidR="001238F2" w:rsidRPr="00A241F5" w14:paraId="5063F9D0" w14:textId="77777777" w:rsidTr="00343D09">
        <w:tc>
          <w:tcPr>
            <w:tcW w:w="7228" w:type="dxa"/>
          </w:tcPr>
          <w:p w14:paraId="675DFD60" w14:textId="384AD903" w:rsidR="001238F2" w:rsidRPr="00A241F5" w:rsidRDefault="001238F2" w:rsidP="00DF3C60">
            <w:pPr>
              <w:widowControl/>
              <w:tabs>
                <w:tab w:val="left" w:pos="720"/>
              </w:tabs>
              <w:spacing w:before="120" w:after="120"/>
              <w:ind w:left="360" w:right="331" w:hanging="360"/>
              <w:jc w:val="left"/>
            </w:pPr>
            <w:r w:rsidRPr="00A241F5">
              <w:t>Responses to the Sub-committee</w:t>
            </w:r>
            <w:r w:rsidR="00C61F4B" w:rsidRPr="00A241F5">
              <w:t>'</w:t>
            </w:r>
            <w:r w:rsidRPr="00A241F5">
              <w:t>s Recommendation 14</w:t>
            </w:r>
          </w:p>
        </w:tc>
        <w:tc>
          <w:tcPr>
            <w:tcW w:w="1152" w:type="dxa"/>
          </w:tcPr>
          <w:p w14:paraId="1BCE3214" w14:textId="150F0652" w:rsidR="001238F2" w:rsidRPr="00A241F5" w:rsidRDefault="00ED5458" w:rsidP="00AC7FE5">
            <w:pPr>
              <w:widowControl/>
              <w:spacing w:before="120" w:after="120"/>
              <w:jc w:val="center"/>
            </w:pPr>
            <w:r w:rsidRPr="00A241F5">
              <w:t>8</w:t>
            </w:r>
            <w:r w:rsidR="00085D00" w:rsidRPr="00A241F5">
              <w:t>9</w:t>
            </w:r>
          </w:p>
        </w:tc>
      </w:tr>
      <w:tr w:rsidR="001238F2" w:rsidRPr="00A241F5" w14:paraId="44D889FC" w14:textId="77777777" w:rsidTr="00343D09">
        <w:tc>
          <w:tcPr>
            <w:tcW w:w="7228" w:type="dxa"/>
          </w:tcPr>
          <w:p w14:paraId="26738485" w14:textId="63864CAD" w:rsidR="001238F2" w:rsidRPr="00A241F5" w:rsidRDefault="001238F2">
            <w:pPr>
              <w:widowControl/>
              <w:tabs>
                <w:tab w:val="left" w:pos="720"/>
              </w:tabs>
              <w:spacing w:before="120" w:after="120"/>
              <w:ind w:left="1080" w:right="331" w:hanging="360"/>
              <w:jc w:val="left"/>
              <w:rPr>
                <w:rFonts w:cs="Arial"/>
              </w:rPr>
            </w:pPr>
            <w:r w:rsidRPr="00A241F5">
              <w:rPr>
                <w:rFonts w:cs="Arial"/>
              </w:rPr>
              <w:t xml:space="preserve">Comments from Respondents who supported </w:t>
            </w:r>
            <w:r w:rsidR="00CF0521" w:rsidRPr="00A241F5">
              <w:rPr>
                <w:rFonts w:cs="Arial"/>
              </w:rPr>
              <w:t>R</w:t>
            </w:r>
            <w:r w:rsidRPr="00A241F5">
              <w:rPr>
                <w:rFonts w:cs="Arial"/>
              </w:rPr>
              <w:t>ecommendation</w:t>
            </w:r>
            <w:r w:rsidR="00CF0521" w:rsidRPr="00A241F5">
              <w:rPr>
                <w:rFonts w:cs="Arial"/>
              </w:rPr>
              <w:t xml:space="preserve"> 14</w:t>
            </w:r>
          </w:p>
        </w:tc>
        <w:tc>
          <w:tcPr>
            <w:tcW w:w="1152" w:type="dxa"/>
          </w:tcPr>
          <w:p w14:paraId="38AFA1A2" w14:textId="6A6E7A1E" w:rsidR="001238F2" w:rsidRPr="00A241F5" w:rsidRDefault="00ED5458" w:rsidP="00AC7FE5">
            <w:pPr>
              <w:widowControl/>
              <w:spacing w:before="120" w:after="120"/>
              <w:jc w:val="center"/>
            </w:pPr>
            <w:r w:rsidRPr="00A241F5">
              <w:t>8</w:t>
            </w:r>
            <w:r w:rsidR="00085D00" w:rsidRPr="00A241F5">
              <w:t>9</w:t>
            </w:r>
          </w:p>
        </w:tc>
      </w:tr>
      <w:tr w:rsidR="001238F2" w:rsidRPr="00A241F5" w14:paraId="4B1732BB" w14:textId="77777777" w:rsidTr="00343D09">
        <w:tc>
          <w:tcPr>
            <w:tcW w:w="7228" w:type="dxa"/>
          </w:tcPr>
          <w:p w14:paraId="423262FC" w14:textId="32388694" w:rsidR="001238F2" w:rsidRPr="00A241F5" w:rsidRDefault="001238F2">
            <w:pPr>
              <w:widowControl/>
              <w:tabs>
                <w:tab w:val="left" w:pos="720"/>
              </w:tabs>
              <w:spacing w:before="120" w:after="120"/>
              <w:ind w:left="1080" w:right="331" w:hanging="360"/>
              <w:jc w:val="left"/>
              <w:rPr>
                <w:rFonts w:cs="Arial"/>
              </w:rPr>
            </w:pPr>
            <w:r w:rsidRPr="00A241F5">
              <w:rPr>
                <w:rFonts w:cs="Arial"/>
              </w:rPr>
              <w:t xml:space="preserve">Comments from Respondents who opposed </w:t>
            </w:r>
            <w:r w:rsidR="00CF0521" w:rsidRPr="00A241F5">
              <w:rPr>
                <w:rFonts w:cs="Arial"/>
              </w:rPr>
              <w:t>R</w:t>
            </w:r>
            <w:r w:rsidRPr="00A241F5">
              <w:rPr>
                <w:rFonts w:cs="Arial"/>
              </w:rPr>
              <w:t>ecommendation</w:t>
            </w:r>
            <w:r w:rsidR="00CF0521" w:rsidRPr="00A241F5">
              <w:rPr>
                <w:rFonts w:cs="Arial"/>
              </w:rPr>
              <w:t xml:space="preserve"> 14</w:t>
            </w:r>
          </w:p>
        </w:tc>
        <w:tc>
          <w:tcPr>
            <w:tcW w:w="1152" w:type="dxa"/>
          </w:tcPr>
          <w:p w14:paraId="220C409B" w14:textId="1A4D899A" w:rsidR="001238F2" w:rsidRPr="00A241F5" w:rsidRDefault="00085D00" w:rsidP="00AC7FE5">
            <w:pPr>
              <w:widowControl/>
              <w:spacing w:before="120" w:after="120"/>
              <w:jc w:val="center"/>
            </w:pPr>
            <w:r w:rsidRPr="00A241F5">
              <w:t>90</w:t>
            </w:r>
          </w:p>
        </w:tc>
      </w:tr>
      <w:tr w:rsidR="001238F2" w:rsidRPr="00A241F5" w14:paraId="6BBDD5E8" w14:textId="77777777" w:rsidTr="00343D09">
        <w:tc>
          <w:tcPr>
            <w:tcW w:w="7228" w:type="dxa"/>
          </w:tcPr>
          <w:p w14:paraId="54020128" w14:textId="77777777" w:rsidR="001238F2" w:rsidRPr="00A241F5" w:rsidRDefault="001238F2" w:rsidP="00DF3C60">
            <w:pPr>
              <w:widowControl/>
              <w:tabs>
                <w:tab w:val="left" w:pos="720"/>
              </w:tabs>
              <w:spacing w:before="120" w:after="120"/>
              <w:ind w:left="360" w:right="331" w:hanging="360"/>
              <w:jc w:val="left"/>
              <w:rPr>
                <w:rFonts w:cs="Arial"/>
              </w:rPr>
            </w:pPr>
            <w:r w:rsidRPr="00A241F5">
              <w:rPr>
                <w:rFonts w:cs="Arial"/>
              </w:rPr>
              <w:t>Our analysis and response</w:t>
            </w:r>
          </w:p>
        </w:tc>
        <w:tc>
          <w:tcPr>
            <w:tcW w:w="1152" w:type="dxa"/>
          </w:tcPr>
          <w:p w14:paraId="6BF33179" w14:textId="121F38B6" w:rsidR="001238F2" w:rsidRPr="00A241F5" w:rsidRDefault="00085D00" w:rsidP="00AC7FE5">
            <w:pPr>
              <w:widowControl/>
              <w:spacing w:before="120" w:after="120"/>
              <w:jc w:val="center"/>
            </w:pPr>
            <w:r w:rsidRPr="00A241F5">
              <w:t>90</w:t>
            </w:r>
          </w:p>
        </w:tc>
      </w:tr>
      <w:tr w:rsidR="001238F2" w:rsidRPr="00A241F5" w14:paraId="63A00ECB" w14:textId="77777777" w:rsidTr="00343D09">
        <w:tc>
          <w:tcPr>
            <w:tcW w:w="7228" w:type="dxa"/>
          </w:tcPr>
          <w:p w14:paraId="6CC4154C" w14:textId="77777777" w:rsidR="001238F2" w:rsidRPr="00A241F5" w:rsidRDefault="001238F2" w:rsidP="00AC7FE5">
            <w:pPr>
              <w:widowControl/>
              <w:tabs>
                <w:tab w:val="left" w:pos="720"/>
              </w:tabs>
              <w:spacing w:before="120" w:after="120"/>
              <w:ind w:left="1080" w:right="331" w:hanging="360"/>
              <w:jc w:val="left"/>
              <w:rPr>
                <w:rFonts w:cs="Arial"/>
              </w:rPr>
            </w:pPr>
          </w:p>
        </w:tc>
        <w:tc>
          <w:tcPr>
            <w:tcW w:w="1152" w:type="dxa"/>
          </w:tcPr>
          <w:p w14:paraId="3971F3BB" w14:textId="77777777" w:rsidR="001238F2" w:rsidRPr="00A241F5" w:rsidRDefault="001238F2" w:rsidP="00AC7FE5">
            <w:pPr>
              <w:widowControl/>
              <w:spacing w:before="120" w:after="120"/>
              <w:jc w:val="center"/>
            </w:pPr>
          </w:p>
        </w:tc>
      </w:tr>
      <w:tr w:rsidR="001238F2" w:rsidRPr="00A241F5" w14:paraId="04666C96" w14:textId="77777777" w:rsidTr="00343D09">
        <w:tc>
          <w:tcPr>
            <w:tcW w:w="7228" w:type="dxa"/>
          </w:tcPr>
          <w:p w14:paraId="0E6474FD" w14:textId="2833B77E" w:rsidR="001238F2" w:rsidRPr="00A241F5" w:rsidRDefault="00AB3F49" w:rsidP="00AC7FE5">
            <w:pPr>
              <w:widowControl/>
              <w:spacing w:before="120" w:after="120"/>
              <w:ind w:left="720" w:right="331" w:hanging="720"/>
              <w:jc w:val="left"/>
              <w:rPr>
                <w:b/>
              </w:rPr>
            </w:pPr>
            <w:r w:rsidRPr="00A241F5">
              <w:rPr>
                <w:b/>
              </w:rPr>
              <w:t>16</w:t>
            </w:r>
            <w:r w:rsidR="001238F2" w:rsidRPr="00A241F5">
              <w:rPr>
                <w:rFonts w:hint="eastAsia"/>
                <w:b/>
              </w:rPr>
              <w:t>.</w:t>
            </w:r>
            <w:r w:rsidR="001238F2" w:rsidRPr="00A241F5">
              <w:rPr>
                <w:b/>
              </w:rPr>
              <w:tab/>
              <w:t>Summary of our Final Recommendations</w:t>
            </w:r>
          </w:p>
        </w:tc>
        <w:tc>
          <w:tcPr>
            <w:tcW w:w="1152" w:type="dxa"/>
          </w:tcPr>
          <w:p w14:paraId="3EE8CF53" w14:textId="53707103" w:rsidR="001238F2" w:rsidRPr="00A241F5" w:rsidRDefault="00051CAB" w:rsidP="00AC7FE5">
            <w:pPr>
              <w:widowControl/>
              <w:spacing w:before="120" w:after="120"/>
              <w:jc w:val="center"/>
            </w:pPr>
            <w:r w:rsidRPr="00A241F5">
              <w:t>9</w:t>
            </w:r>
            <w:r w:rsidR="00085D00" w:rsidRPr="00A241F5">
              <w:t>2</w:t>
            </w:r>
          </w:p>
        </w:tc>
      </w:tr>
      <w:tr w:rsidR="001238F2" w:rsidRPr="00A241F5" w14:paraId="18E58028" w14:textId="77777777" w:rsidTr="00343D09">
        <w:tc>
          <w:tcPr>
            <w:tcW w:w="7228" w:type="dxa"/>
          </w:tcPr>
          <w:p w14:paraId="68606A44" w14:textId="77777777" w:rsidR="001238F2" w:rsidRPr="00A241F5" w:rsidRDefault="001238F2" w:rsidP="00AC7FE5">
            <w:pPr>
              <w:widowControl/>
              <w:spacing w:before="120" w:after="120"/>
              <w:ind w:left="720" w:right="331" w:hanging="720"/>
              <w:jc w:val="left"/>
              <w:rPr>
                <w:b/>
              </w:rPr>
            </w:pPr>
          </w:p>
        </w:tc>
        <w:tc>
          <w:tcPr>
            <w:tcW w:w="1152" w:type="dxa"/>
          </w:tcPr>
          <w:p w14:paraId="55D9A03F" w14:textId="77777777" w:rsidR="001238F2" w:rsidRPr="00A241F5" w:rsidRDefault="001238F2" w:rsidP="00AC7FE5">
            <w:pPr>
              <w:widowControl/>
              <w:spacing w:before="120" w:after="120"/>
              <w:jc w:val="center"/>
            </w:pPr>
          </w:p>
        </w:tc>
      </w:tr>
      <w:tr w:rsidR="001238F2" w:rsidRPr="00A241F5" w14:paraId="4D81E215" w14:textId="77777777" w:rsidTr="00343D09">
        <w:tc>
          <w:tcPr>
            <w:tcW w:w="7228" w:type="dxa"/>
          </w:tcPr>
          <w:p w14:paraId="37724E41" w14:textId="77777777" w:rsidR="001238F2" w:rsidRPr="00A241F5" w:rsidRDefault="001238F2" w:rsidP="00AC7FE5">
            <w:pPr>
              <w:keepNext/>
              <w:keepLines/>
              <w:widowControl/>
              <w:tabs>
                <w:tab w:val="left" w:pos="720"/>
              </w:tabs>
              <w:spacing w:before="120" w:after="120"/>
              <w:ind w:right="331"/>
              <w:jc w:val="left"/>
              <w:rPr>
                <w:b/>
              </w:rPr>
            </w:pPr>
            <w:r w:rsidRPr="00A241F5">
              <w:rPr>
                <w:b/>
              </w:rPr>
              <w:t xml:space="preserve">Annex 1 </w:t>
            </w:r>
          </w:p>
          <w:p w14:paraId="3730F7A5" w14:textId="1E56C728" w:rsidR="001238F2" w:rsidRPr="00A241F5" w:rsidRDefault="00780512" w:rsidP="00AC7FE5">
            <w:pPr>
              <w:keepNext/>
              <w:keepLines/>
              <w:widowControl/>
              <w:tabs>
                <w:tab w:val="left" w:pos="720"/>
              </w:tabs>
              <w:spacing w:before="120" w:after="120"/>
              <w:ind w:right="331"/>
              <w:jc w:val="left"/>
            </w:pPr>
            <w:r w:rsidRPr="00A241F5">
              <w:t>Draft Amendments to Legal Practitioners Ordinance (Cap. 159) and Arbitration Ordinance (Cap. 609)</w:t>
            </w:r>
          </w:p>
        </w:tc>
        <w:tc>
          <w:tcPr>
            <w:tcW w:w="1152" w:type="dxa"/>
          </w:tcPr>
          <w:p w14:paraId="6C993B39" w14:textId="73BDB780" w:rsidR="001238F2" w:rsidRPr="00A241F5" w:rsidRDefault="00D37C11" w:rsidP="00AC7FE5">
            <w:pPr>
              <w:keepNext/>
              <w:keepLines/>
              <w:widowControl/>
              <w:spacing w:before="120" w:after="120"/>
              <w:jc w:val="center"/>
            </w:pPr>
            <w:r w:rsidRPr="00A241F5">
              <w:t>9</w:t>
            </w:r>
            <w:r w:rsidR="00085D00" w:rsidRPr="00A241F5">
              <w:t>8</w:t>
            </w:r>
          </w:p>
        </w:tc>
      </w:tr>
      <w:tr w:rsidR="001238F2" w:rsidRPr="00A241F5" w14:paraId="217AEE90" w14:textId="77777777" w:rsidTr="00343D09">
        <w:tc>
          <w:tcPr>
            <w:tcW w:w="7228" w:type="dxa"/>
          </w:tcPr>
          <w:p w14:paraId="0ACB1A85" w14:textId="77777777" w:rsidR="001238F2" w:rsidRPr="00A241F5" w:rsidRDefault="001238F2" w:rsidP="00AC7FE5">
            <w:pPr>
              <w:keepNext/>
              <w:keepLines/>
              <w:widowControl/>
              <w:tabs>
                <w:tab w:val="left" w:pos="720"/>
              </w:tabs>
              <w:spacing w:before="120" w:after="120"/>
              <w:ind w:right="331"/>
              <w:jc w:val="left"/>
              <w:rPr>
                <w:b/>
              </w:rPr>
            </w:pPr>
          </w:p>
        </w:tc>
        <w:tc>
          <w:tcPr>
            <w:tcW w:w="1152" w:type="dxa"/>
          </w:tcPr>
          <w:p w14:paraId="2CC52075" w14:textId="77777777" w:rsidR="001238F2" w:rsidRPr="00A241F5" w:rsidRDefault="001238F2" w:rsidP="00AC7FE5">
            <w:pPr>
              <w:keepNext/>
              <w:keepLines/>
              <w:widowControl/>
              <w:spacing w:before="120" w:after="120"/>
              <w:jc w:val="center"/>
            </w:pPr>
          </w:p>
        </w:tc>
      </w:tr>
      <w:tr w:rsidR="001238F2" w:rsidRPr="00A241F5" w14:paraId="7850C12B" w14:textId="77777777" w:rsidTr="00343D09">
        <w:tc>
          <w:tcPr>
            <w:tcW w:w="7228" w:type="dxa"/>
          </w:tcPr>
          <w:p w14:paraId="041EDDC9" w14:textId="77777777" w:rsidR="001238F2" w:rsidRPr="00A241F5" w:rsidRDefault="001238F2" w:rsidP="00AC7FE5">
            <w:pPr>
              <w:widowControl/>
              <w:tabs>
                <w:tab w:val="left" w:pos="720"/>
              </w:tabs>
              <w:spacing w:before="120" w:after="120"/>
              <w:ind w:right="331"/>
              <w:jc w:val="left"/>
              <w:rPr>
                <w:b/>
              </w:rPr>
            </w:pPr>
            <w:r w:rsidRPr="00A241F5">
              <w:rPr>
                <w:b/>
              </w:rPr>
              <w:t>Annex 2</w:t>
            </w:r>
          </w:p>
          <w:p w14:paraId="2F2F28D5" w14:textId="77777777" w:rsidR="001238F2" w:rsidRPr="00A241F5" w:rsidRDefault="001238F2" w:rsidP="00AC7FE5">
            <w:pPr>
              <w:widowControl/>
              <w:tabs>
                <w:tab w:val="left" w:pos="720"/>
              </w:tabs>
              <w:ind w:right="331"/>
              <w:jc w:val="left"/>
            </w:pPr>
            <w:r w:rsidRPr="00A241F5">
              <w:t xml:space="preserve">Recommended ORFS safeguards to be included in subsidiary </w:t>
            </w:r>
          </w:p>
          <w:p w14:paraId="3F3E51CA" w14:textId="77777777" w:rsidR="001238F2" w:rsidRPr="00A241F5" w:rsidRDefault="001238F2" w:rsidP="00AC7FE5">
            <w:pPr>
              <w:widowControl/>
              <w:tabs>
                <w:tab w:val="left" w:pos="720"/>
              </w:tabs>
              <w:ind w:right="331"/>
              <w:jc w:val="left"/>
              <w:rPr>
                <w:b/>
              </w:rPr>
            </w:pPr>
            <w:r w:rsidRPr="00A241F5">
              <w:t>legislation</w:t>
            </w:r>
          </w:p>
        </w:tc>
        <w:tc>
          <w:tcPr>
            <w:tcW w:w="1152" w:type="dxa"/>
          </w:tcPr>
          <w:p w14:paraId="54D48720" w14:textId="1CB5BDAA" w:rsidR="001238F2" w:rsidRPr="00A241F5" w:rsidRDefault="00D37C11" w:rsidP="00AC7FE5">
            <w:pPr>
              <w:widowControl/>
              <w:spacing w:before="120" w:after="120"/>
              <w:jc w:val="center"/>
            </w:pPr>
            <w:r w:rsidRPr="00A241F5">
              <w:t>10</w:t>
            </w:r>
            <w:r w:rsidR="00E530CA" w:rsidRPr="00A241F5">
              <w:t>6</w:t>
            </w:r>
          </w:p>
        </w:tc>
      </w:tr>
      <w:tr w:rsidR="00D37C11" w:rsidRPr="00A241F5" w14:paraId="788333D3" w14:textId="77777777" w:rsidTr="00343D09">
        <w:tc>
          <w:tcPr>
            <w:tcW w:w="7228" w:type="dxa"/>
          </w:tcPr>
          <w:p w14:paraId="26D9DE60" w14:textId="77777777" w:rsidR="00D37C11" w:rsidRPr="00A241F5" w:rsidRDefault="00D37C11" w:rsidP="00AC7FE5">
            <w:pPr>
              <w:widowControl/>
              <w:tabs>
                <w:tab w:val="left" w:pos="720"/>
              </w:tabs>
              <w:spacing w:before="120" w:after="120"/>
              <w:ind w:right="331"/>
              <w:jc w:val="left"/>
              <w:rPr>
                <w:b/>
              </w:rPr>
            </w:pPr>
          </w:p>
        </w:tc>
        <w:tc>
          <w:tcPr>
            <w:tcW w:w="1152" w:type="dxa"/>
          </w:tcPr>
          <w:p w14:paraId="0F34D2AF" w14:textId="77777777" w:rsidR="00D37C11" w:rsidRPr="00A241F5" w:rsidRDefault="00D37C11" w:rsidP="00AC7FE5">
            <w:pPr>
              <w:widowControl/>
              <w:spacing w:before="120" w:after="120"/>
              <w:jc w:val="center"/>
            </w:pPr>
          </w:p>
        </w:tc>
      </w:tr>
      <w:tr w:rsidR="001238F2" w:rsidRPr="00A241F5" w14:paraId="149704AC" w14:textId="77777777" w:rsidTr="00343D09">
        <w:tc>
          <w:tcPr>
            <w:tcW w:w="7228" w:type="dxa"/>
          </w:tcPr>
          <w:p w14:paraId="77F64606" w14:textId="77777777" w:rsidR="001238F2" w:rsidRPr="00A241F5" w:rsidRDefault="001238F2" w:rsidP="00AC7FE5">
            <w:pPr>
              <w:widowControl/>
              <w:tabs>
                <w:tab w:val="left" w:pos="720"/>
              </w:tabs>
              <w:spacing w:before="120" w:after="120"/>
              <w:ind w:right="331"/>
              <w:jc w:val="left"/>
              <w:rPr>
                <w:b/>
              </w:rPr>
            </w:pPr>
            <w:r w:rsidRPr="00A241F5">
              <w:rPr>
                <w:b/>
              </w:rPr>
              <w:t>Annex 3</w:t>
            </w:r>
          </w:p>
          <w:p w14:paraId="3DE94F83" w14:textId="77777777" w:rsidR="001238F2" w:rsidRPr="00A241F5" w:rsidRDefault="001238F2" w:rsidP="00AC7FE5">
            <w:pPr>
              <w:widowControl/>
              <w:tabs>
                <w:tab w:val="left" w:pos="720"/>
              </w:tabs>
              <w:spacing w:before="120" w:after="120"/>
              <w:ind w:right="331"/>
              <w:jc w:val="left"/>
            </w:pPr>
            <w:r w:rsidRPr="00A241F5">
              <w:t>List of Respondents to the consultation</w:t>
            </w:r>
          </w:p>
        </w:tc>
        <w:tc>
          <w:tcPr>
            <w:tcW w:w="1152" w:type="dxa"/>
          </w:tcPr>
          <w:p w14:paraId="3A9C2DD5" w14:textId="5B3A2E1F" w:rsidR="001238F2" w:rsidRPr="00A241F5" w:rsidRDefault="00D37C11" w:rsidP="00AC7FE5">
            <w:pPr>
              <w:widowControl/>
              <w:spacing w:before="120" w:after="120"/>
              <w:jc w:val="center"/>
            </w:pPr>
            <w:r w:rsidRPr="00A241F5">
              <w:t>10</w:t>
            </w:r>
            <w:r w:rsidR="00E530CA" w:rsidRPr="00A241F5">
              <w:t>9</w:t>
            </w:r>
          </w:p>
        </w:tc>
      </w:tr>
    </w:tbl>
    <w:p w14:paraId="009AE81F" w14:textId="42DD65D3" w:rsidR="001238F2" w:rsidRPr="00A241F5" w:rsidRDefault="001238F2" w:rsidP="001238F2">
      <w:pPr>
        <w:pStyle w:val="Heading1"/>
        <w:keepNext w:val="0"/>
        <w:widowControl/>
      </w:pPr>
    </w:p>
    <w:p w14:paraId="42983302" w14:textId="70464D45" w:rsidR="00E655A8" w:rsidRPr="00A241F5" w:rsidRDefault="00E655A8" w:rsidP="00E655A8"/>
    <w:p w14:paraId="540F4B66" w14:textId="08FF02B5" w:rsidR="00E655A8" w:rsidRPr="00A241F5" w:rsidRDefault="00E655A8">
      <w:pPr>
        <w:widowControl/>
        <w:tabs>
          <w:tab w:val="clear" w:pos="1418"/>
        </w:tabs>
        <w:adjustRightInd/>
        <w:snapToGrid/>
        <w:jc w:val="left"/>
      </w:pPr>
      <w:r w:rsidRPr="00A241F5">
        <w:br w:type="page"/>
      </w:r>
    </w:p>
    <w:p w14:paraId="56C2DC9B" w14:textId="63B54859" w:rsidR="00E655A8" w:rsidRPr="00A241F5" w:rsidRDefault="00E655A8" w:rsidP="00E655A8">
      <w:pPr>
        <w:sectPr w:rsidR="00E655A8" w:rsidRPr="00A241F5" w:rsidSect="00AC7FE5">
          <w:headerReference w:type="default" r:id="rId12"/>
          <w:footerReference w:type="default" r:id="rId13"/>
          <w:headerReference w:type="first" r:id="rId14"/>
          <w:footnotePr>
            <w:numRestart w:val="eachSect"/>
          </w:footnotePr>
          <w:pgSz w:w="11909" w:h="16834" w:code="9"/>
          <w:pgMar w:top="1440" w:right="1800" w:bottom="1440" w:left="1800" w:header="720" w:footer="720" w:gutter="0"/>
          <w:pgNumType w:fmt="lowerRoman" w:start="1"/>
          <w:cols w:space="425"/>
          <w:docGrid w:linePitch="360"/>
        </w:sectPr>
      </w:pPr>
    </w:p>
    <w:p w14:paraId="51C79220" w14:textId="77777777" w:rsidR="001238F2" w:rsidRPr="00A241F5" w:rsidRDefault="001238F2" w:rsidP="001238F2">
      <w:pPr>
        <w:pStyle w:val="Heading2"/>
        <w:widowControl/>
        <w:rPr>
          <w:sz w:val="32"/>
          <w:szCs w:val="32"/>
        </w:rPr>
      </w:pPr>
      <w:bookmarkStart w:id="2" w:name="Definedterms"/>
      <w:bookmarkStart w:id="3" w:name="_Toc459105976"/>
      <w:bookmarkStart w:id="4" w:name="_Toc460249200"/>
      <w:bookmarkEnd w:id="2"/>
      <w:r w:rsidRPr="00A241F5">
        <w:rPr>
          <w:sz w:val="32"/>
          <w:szCs w:val="32"/>
        </w:rPr>
        <w:lastRenderedPageBreak/>
        <w:t>Defined Terms</w:t>
      </w:r>
      <w:bookmarkEnd w:id="3"/>
      <w:bookmarkEnd w:id="4"/>
    </w:p>
    <w:p w14:paraId="703DBD8D" w14:textId="77777777" w:rsidR="001238F2" w:rsidRPr="00A241F5" w:rsidRDefault="001238F2" w:rsidP="001238F2">
      <w:pPr>
        <w:widowControl/>
      </w:pPr>
    </w:p>
    <w:tbl>
      <w:tblPr>
        <w:tblW w:w="9108" w:type="dxa"/>
        <w:tblLook w:val="04A0" w:firstRow="1" w:lastRow="0" w:firstColumn="1" w:lastColumn="0" w:noHBand="0" w:noVBand="1"/>
      </w:tblPr>
      <w:tblGrid>
        <w:gridCol w:w="3831"/>
        <w:gridCol w:w="5277"/>
      </w:tblGrid>
      <w:tr w:rsidR="001238F2" w:rsidRPr="00A241F5" w14:paraId="3FAEB030" w14:textId="77777777" w:rsidTr="00AC7FE5">
        <w:trPr>
          <w:trHeight w:val="753"/>
        </w:trPr>
        <w:tc>
          <w:tcPr>
            <w:tcW w:w="3831" w:type="dxa"/>
            <w:hideMark/>
          </w:tcPr>
          <w:p w14:paraId="0B9DAD0E" w14:textId="77777777" w:rsidR="001238F2" w:rsidRPr="00A241F5" w:rsidRDefault="001238F2" w:rsidP="002F75DC">
            <w:pPr>
              <w:rPr>
                <w:b/>
                <w:lang w:eastAsia="zh-HK"/>
              </w:rPr>
            </w:pPr>
            <w:r w:rsidRPr="00A241F5">
              <w:rPr>
                <w:b/>
                <w:lang w:eastAsia="zh-HK"/>
              </w:rPr>
              <w:t>Abbreviation</w:t>
            </w:r>
          </w:p>
        </w:tc>
        <w:tc>
          <w:tcPr>
            <w:tcW w:w="5277" w:type="dxa"/>
            <w:hideMark/>
          </w:tcPr>
          <w:p w14:paraId="3B04BC0A" w14:textId="77777777" w:rsidR="001238F2" w:rsidRPr="00A241F5" w:rsidRDefault="001238F2" w:rsidP="00AC7FE5">
            <w:pPr>
              <w:rPr>
                <w:b/>
                <w:lang w:eastAsia="zh-HK"/>
              </w:rPr>
            </w:pPr>
            <w:r w:rsidRPr="00A241F5">
              <w:rPr>
                <w:b/>
                <w:lang w:eastAsia="zh-HK"/>
              </w:rPr>
              <w:t>Definition</w:t>
            </w:r>
          </w:p>
        </w:tc>
      </w:tr>
      <w:tr w:rsidR="001238F2" w:rsidRPr="00A241F5" w14:paraId="6C38CBF5" w14:textId="77777777" w:rsidTr="00AC7FE5">
        <w:trPr>
          <w:trHeight w:val="753"/>
          <w:tblHeader/>
        </w:trPr>
        <w:tc>
          <w:tcPr>
            <w:tcW w:w="3831" w:type="dxa"/>
            <w:hideMark/>
          </w:tcPr>
          <w:p w14:paraId="2BA9F223" w14:textId="77777777" w:rsidR="001238F2" w:rsidRPr="00A241F5" w:rsidRDefault="001238F2" w:rsidP="00AC7FE5">
            <w:pPr>
              <w:spacing w:after="240"/>
              <w:rPr>
                <w:lang w:eastAsia="zh-HK"/>
              </w:rPr>
            </w:pPr>
            <w:r w:rsidRPr="00A241F5">
              <w:rPr>
                <w:lang w:eastAsia="zh-HK"/>
              </w:rPr>
              <w:t>2019 DBA Reform Project</w:t>
            </w:r>
          </w:p>
        </w:tc>
        <w:tc>
          <w:tcPr>
            <w:tcW w:w="5277" w:type="dxa"/>
            <w:hideMark/>
          </w:tcPr>
          <w:p w14:paraId="31BAF43E" w14:textId="5B3B5029" w:rsidR="001238F2" w:rsidRPr="00A241F5" w:rsidRDefault="001238F2" w:rsidP="003D487B">
            <w:pPr>
              <w:spacing w:after="240"/>
              <w:rPr>
                <w:lang w:eastAsia="zh-HK"/>
              </w:rPr>
            </w:pPr>
            <w:r w:rsidRPr="00A241F5">
              <w:rPr>
                <w:lang w:eastAsia="zh-HK"/>
              </w:rPr>
              <w:t xml:space="preserve">An independent review of the Damages-Based Agreements Regulations 2013 in England and Wales by Professor Rachael Mulheron and Mr Nicholas Bacon, QC </w:t>
            </w:r>
            <w:r w:rsidR="003D487B" w:rsidRPr="00A241F5">
              <w:rPr>
                <w:lang w:eastAsia="zh-HK"/>
              </w:rPr>
              <w:t>during 2019 to 2020</w:t>
            </w:r>
            <w:r w:rsidRPr="00A241F5">
              <w:rPr>
                <w:lang w:eastAsia="zh-HK"/>
              </w:rPr>
              <w:t>.</w:t>
            </w:r>
          </w:p>
        </w:tc>
      </w:tr>
      <w:tr w:rsidR="001238F2" w:rsidRPr="00A241F5" w14:paraId="6ECD96E3" w14:textId="77777777" w:rsidTr="00AC7FE5">
        <w:trPr>
          <w:trHeight w:val="753"/>
          <w:tblHeader/>
        </w:trPr>
        <w:tc>
          <w:tcPr>
            <w:tcW w:w="3831" w:type="dxa"/>
            <w:hideMark/>
          </w:tcPr>
          <w:p w14:paraId="59F56340" w14:textId="77777777" w:rsidR="001238F2" w:rsidRPr="00A241F5" w:rsidRDefault="001238F2" w:rsidP="00AC7FE5">
            <w:pPr>
              <w:spacing w:after="240"/>
              <w:rPr>
                <w:lang w:eastAsia="zh-HK"/>
              </w:rPr>
            </w:pPr>
            <w:r w:rsidRPr="00A241F5">
              <w:rPr>
                <w:lang w:eastAsia="zh-HK"/>
              </w:rPr>
              <w:t>Arbitration</w:t>
            </w:r>
          </w:p>
        </w:tc>
        <w:tc>
          <w:tcPr>
            <w:tcW w:w="5277" w:type="dxa"/>
            <w:hideMark/>
          </w:tcPr>
          <w:p w14:paraId="35ED61CC" w14:textId="77777777" w:rsidR="001238F2" w:rsidRPr="00A241F5" w:rsidRDefault="001238F2" w:rsidP="00AC7FE5">
            <w:pPr>
              <w:spacing w:after="240"/>
              <w:rPr>
                <w:lang w:eastAsia="zh-HK"/>
              </w:rPr>
            </w:pPr>
            <w:r w:rsidRPr="00A241F5">
              <w:rPr>
                <w:lang w:eastAsia="zh-HK"/>
              </w:rPr>
              <w:t>Any arbitration, whether or not administered by a permanent arbitral institution, in or outside Hong Kong, including the following proceedings under the Arbitration Ordinance: (i) court proceedings; (ii) proceedings before an emergency arbitrator; and (iii) mediation proceedings.</w:t>
            </w:r>
          </w:p>
        </w:tc>
      </w:tr>
      <w:tr w:rsidR="001238F2" w:rsidRPr="00A241F5" w14:paraId="35A3BF5A" w14:textId="77777777" w:rsidTr="003A6D3A">
        <w:trPr>
          <w:trHeight w:val="396"/>
          <w:tblHeader/>
        </w:trPr>
        <w:tc>
          <w:tcPr>
            <w:tcW w:w="3831" w:type="dxa"/>
            <w:hideMark/>
          </w:tcPr>
          <w:p w14:paraId="6022831D" w14:textId="77777777" w:rsidR="001238F2" w:rsidRPr="00A241F5" w:rsidRDefault="001238F2" w:rsidP="00AC7FE5">
            <w:pPr>
              <w:spacing w:after="240"/>
              <w:rPr>
                <w:lang w:eastAsia="zh-HK"/>
              </w:rPr>
            </w:pPr>
            <w:r w:rsidRPr="00A241F5">
              <w:rPr>
                <w:lang w:eastAsia="zh-HK"/>
              </w:rPr>
              <w:t>Arbitration Ordinance</w:t>
            </w:r>
          </w:p>
        </w:tc>
        <w:tc>
          <w:tcPr>
            <w:tcW w:w="5277" w:type="dxa"/>
            <w:hideMark/>
          </w:tcPr>
          <w:p w14:paraId="270CEB18" w14:textId="77777777" w:rsidR="001238F2" w:rsidRPr="00A241F5" w:rsidRDefault="001238F2" w:rsidP="00AC7FE5">
            <w:pPr>
              <w:spacing w:after="240"/>
              <w:rPr>
                <w:lang w:eastAsia="zh-HK"/>
              </w:rPr>
            </w:pPr>
            <w:r w:rsidRPr="00A241F5">
              <w:rPr>
                <w:lang w:eastAsia="zh-HK"/>
              </w:rPr>
              <w:t>Arbitration Ordinance (Cap 609) of Hong Kong.</w:t>
            </w:r>
          </w:p>
        </w:tc>
      </w:tr>
      <w:tr w:rsidR="001238F2" w:rsidRPr="00A241F5" w14:paraId="6B167EC7" w14:textId="77777777" w:rsidTr="00AC7FE5">
        <w:trPr>
          <w:trHeight w:val="753"/>
          <w:tblHeader/>
        </w:trPr>
        <w:tc>
          <w:tcPr>
            <w:tcW w:w="3831" w:type="dxa"/>
          </w:tcPr>
          <w:p w14:paraId="65F0AC0C" w14:textId="77777777" w:rsidR="001238F2" w:rsidRPr="00A241F5" w:rsidRDefault="001238F2" w:rsidP="00AC7FE5">
            <w:pPr>
              <w:spacing w:after="240"/>
              <w:rPr>
                <w:lang w:eastAsia="zh-HK"/>
              </w:rPr>
            </w:pPr>
            <w:r w:rsidRPr="00A241F5">
              <w:rPr>
                <w:lang w:eastAsia="zh-HK"/>
              </w:rPr>
              <w:t>ATE Insurance</w:t>
            </w:r>
          </w:p>
        </w:tc>
        <w:tc>
          <w:tcPr>
            <w:tcW w:w="5277" w:type="dxa"/>
          </w:tcPr>
          <w:p w14:paraId="5D0525B8" w14:textId="2DF3544E" w:rsidR="001238F2" w:rsidRPr="00A241F5" w:rsidRDefault="001238F2" w:rsidP="00AC7FE5">
            <w:pPr>
              <w:spacing w:after="240"/>
              <w:rPr>
                <w:lang w:eastAsia="zh-HK"/>
              </w:rPr>
            </w:pPr>
            <w:r w:rsidRPr="00A241F5">
              <w:rPr>
                <w:lang w:eastAsia="zh-HK"/>
              </w:rPr>
              <w:t>After-the-</w:t>
            </w:r>
            <w:r w:rsidR="00133E79">
              <w:rPr>
                <w:lang w:eastAsia="zh-HK"/>
              </w:rPr>
              <w:t>E</w:t>
            </w:r>
            <w:r w:rsidRPr="00A241F5">
              <w:rPr>
                <w:lang w:eastAsia="zh-HK"/>
              </w:rPr>
              <w:t xml:space="preserve">vent Insurance. </w:t>
            </w:r>
          </w:p>
          <w:p w14:paraId="2984EA1F" w14:textId="58C8C35E" w:rsidR="001238F2" w:rsidRPr="00A241F5" w:rsidRDefault="001238F2" w:rsidP="00AC7FE5">
            <w:pPr>
              <w:spacing w:after="240"/>
              <w:rPr>
                <w:rFonts w:eastAsiaTheme="minorEastAsia"/>
                <w:b/>
                <w:i/>
                <w:lang w:eastAsia="zh-HK"/>
              </w:rPr>
            </w:pPr>
            <w:r w:rsidRPr="00A241F5">
              <w:rPr>
                <w:lang w:eastAsia="zh-HK"/>
              </w:rPr>
              <w:t>A contract of insurance between client and insurer, taken out after the event giving rise to the Proceedings, that provides reimbursement for a proportion of the client</w:t>
            </w:r>
            <w:r w:rsidR="00C61F4B" w:rsidRPr="00A241F5">
              <w:rPr>
                <w:lang w:eastAsia="zh-HK"/>
              </w:rPr>
              <w:t>'</w:t>
            </w:r>
            <w:r w:rsidRPr="00A241F5">
              <w:rPr>
                <w:lang w:eastAsia="zh-HK"/>
              </w:rPr>
              <w:t>s fees, adverse costs, and disbursements in the event that the client</w:t>
            </w:r>
            <w:r w:rsidR="00C61F4B" w:rsidRPr="00A241F5">
              <w:rPr>
                <w:lang w:eastAsia="zh-HK"/>
              </w:rPr>
              <w:t>'</w:t>
            </w:r>
            <w:r w:rsidRPr="00A241F5">
              <w:rPr>
                <w:lang w:eastAsia="zh-HK"/>
              </w:rPr>
              <w:t>s case is unsuccessful.</w:t>
            </w:r>
          </w:p>
        </w:tc>
      </w:tr>
      <w:tr w:rsidR="001238F2" w:rsidRPr="00A241F5" w14:paraId="3B911943" w14:textId="77777777" w:rsidTr="00AC7FE5">
        <w:trPr>
          <w:trHeight w:val="753"/>
          <w:tblHeader/>
        </w:trPr>
        <w:tc>
          <w:tcPr>
            <w:tcW w:w="3831" w:type="dxa"/>
            <w:hideMark/>
          </w:tcPr>
          <w:p w14:paraId="590A7820" w14:textId="77777777" w:rsidR="001238F2" w:rsidRPr="00A241F5" w:rsidRDefault="001238F2" w:rsidP="00AC7FE5">
            <w:pPr>
              <w:spacing w:after="240"/>
              <w:rPr>
                <w:lang w:eastAsia="zh-HK"/>
              </w:rPr>
            </w:pPr>
            <w:r w:rsidRPr="00A241F5">
              <w:rPr>
                <w:lang w:eastAsia="zh-HK"/>
              </w:rPr>
              <w:t>CFA</w:t>
            </w:r>
          </w:p>
        </w:tc>
        <w:tc>
          <w:tcPr>
            <w:tcW w:w="5277" w:type="dxa"/>
            <w:hideMark/>
          </w:tcPr>
          <w:p w14:paraId="01AF49C2" w14:textId="77777777" w:rsidR="001238F2" w:rsidRPr="00A241F5" w:rsidRDefault="001238F2" w:rsidP="00AC7FE5">
            <w:pPr>
              <w:spacing w:after="240"/>
              <w:rPr>
                <w:lang w:eastAsia="zh-HK"/>
              </w:rPr>
            </w:pPr>
            <w:r w:rsidRPr="00A241F5">
              <w:rPr>
                <w:lang w:eastAsia="zh-HK"/>
              </w:rPr>
              <w:t>Conditional Fee Agreement.</w:t>
            </w:r>
          </w:p>
          <w:p w14:paraId="3CAD3AB2" w14:textId="77777777" w:rsidR="001238F2" w:rsidRPr="00A241F5" w:rsidRDefault="001238F2" w:rsidP="00AC7FE5">
            <w:pPr>
              <w:spacing w:after="240"/>
              <w:rPr>
                <w:b/>
                <w:i/>
                <w:sz w:val="22"/>
                <w:lang w:eastAsia="zh-HK"/>
              </w:rPr>
            </w:pPr>
            <w:r w:rsidRPr="00A241F5">
              <w:rPr>
                <w:lang w:eastAsia="zh-HK"/>
              </w:rPr>
              <w:t xml:space="preserve">An agreement pursuant to which a Lawyer agrees with client to be paid a Success Fee only in the event of a successful outcome for the client in the matter. </w:t>
            </w:r>
          </w:p>
          <w:p w14:paraId="5CB18061" w14:textId="77777777" w:rsidR="001238F2" w:rsidRPr="00A241F5" w:rsidRDefault="001238F2" w:rsidP="00AC7FE5">
            <w:pPr>
              <w:spacing w:after="240"/>
              <w:rPr>
                <w:lang w:eastAsia="zh-HK"/>
              </w:rPr>
            </w:pPr>
            <w:r w:rsidRPr="00A241F5">
              <w:rPr>
                <w:lang w:eastAsia="zh-HK"/>
              </w:rPr>
              <w:t>CFAs include arrangements where:</w:t>
            </w:r>
          </w:p>
          <w:p w14:paraId="2096DF2F" w14:textId="481F9258" w:rsidR="001238F2" w:rsidRPr="00A241F5" w:rsidRDefault="001238F2" w:rsidP="00AC7FE5">
            <w:pPr>
              <w:spacing w:after="240"/>
              <w:ind w:left="720" w:hanging="720"/>
              <w:rPr>
                <w:lang w:eastAsia="zh-HK"/>
              </w:rPr>
            </w:pPr>
            <w:r w:rsidRPr="00A241F5">
              <w:rPr>
                <w:lang w:eastAsia="zh-HK"/>
              </w:rPr>
              <w:t>(a)</w:t>
            </w:r>
            <w:r w:rsidRPr="00A241F5">
              <w:rPr>
                <w:lang w:eastAsia="zh-HK"/>
              </w:rPr>
              <w:tab/>
              <w:t xml:space="preserve">the Lawyer charges no fee during the course of the Proceedings, and is paid only in the event of a successful outcome for the client in the matter (also known as a </w:t>
            </w:r>
            <w:r w:rsidR="00C61F4B" w:rsidRPr="00A241F5">
              <w:rPr>
                <w:lang w:eastAsia="zh-HK"/>
              </w:rPr>
              <w:t>"</w:t>
            </w:r>
            <w:r w:rsidRPr="00A241F5">
              <w:rPr>
                <w:lang w:eastAsia="zh-HK"/>
              </w:rPr>
              <w:t>no win, no fee</w:t>
            </w:r>
            <w:r w:rsidR="00C61F4B" w:rsidRPr="00A241F5">
              <w:rPr>
                <w:lang w:eastAsia="zh-HK"/>
              </w:rPr>
              <w:t>"</w:t>
            </w:r>
            <w:r w:rsidRPr="00A241F5">
              <w:rPr>
                <w:lang w:eastAsia="zh-HK"/>
              </w:rPr>
              <w:t xml:space="preserve"> agreement); or</w:t>
            </w:r>
          </w:p>
          <w:p w14:paraId="56FCCEA9" w14:textId="4DBC3D51" w:rsidR="001238F2" w:rsidRPr="00A241F5" w:rsidRDefault="001238F2" w:rsidP="00AC7FE5">
            <w:pPr>
              <w:widowControl/>
              <w:spacing w:after="240"/>
              <w:ind w:left="720" w:hanging="720"/>
              <w:rPr>
                <w:lang w:eastAsia="zh-HK"/>
              </w:rPr>
            </w:pPr>
            <w:r w:rsidRPr="00A241F5">
              <w:rPr>
                <w:lang w:eastAsia="zh-HK"/>
              </w:rPr>
              <w:t>(b)</w:t>
            </w:r>
            <w:r w:rsidRPr="00A241F5">
              <w:rPr>
                <w:lang w:eastAsia="zh-HK"/>
              </w:rPr>
              <w:tab/>
              <w:t xml:space="preserve">the Lawyer charges a fee during the course of the Proceedings, either at the usual rate or at a discounted rate, plus the Success Fee only in the event of a successful outcome for the client in the </w:t>
            </w:r>
            <w:r w:rsidRPr="00A241F5">
              <w:rPr>
                <w:lang w:eastAsia="zh-HK"/>
              </w:rPr>
              <w:lastRenderedPageBreak/>
              <w:t xml:space="preserve">matter (also known as a </w:t>
            </w:r>
            <w:r w:rsidR="00C61F4B" w:rsidRPr="00A241F5">
              <w:rPr>
                <w:lang w:eastAsia="zh-HK"/>
              </w:rPr>
              <w:t>"</w:t>
            </w:r>
            <w:r w:rsidRPr="00A241F5">
              <w:rPr>
                <w:lang w:eastAsia="zh-HK"/>
              </w:rPr>
              <w:t>no win, low fee</w:t>
            </w:r>
            <w:r w:rsidR="00C61F4B" w:rsidRPr="00A241F5">
              <w:rPr>
                <w:lang w:eastAsia="zh-HK"/>
              </w:rPr>
              <w:t>"</w:t>
            </w:r>
            <w:r w:rsidRPr="00A241F5">
              <w:rPr>
                <w:lang w:eastAsia="zh-HK"/>
              </w:rPr>
              <w:t xml:space="preserve"> agreement).</w:t>
            </w:r>
            <w:r w:rsidRPr="00A241F5">
              <w:rPr>
                <w:b/>
                <w:i/>
                <w:sz w:val="22"/>
                <w:lang w:eastAsia="zh-HK"/>
              </w:rPr>
              <w:t xml:space="preserve"> </w:t>
            </w:r>
          </w:p>
        </w:tc>
      </w:tr>
      <w:tr w:rsidR="001238F2" w:rsidRPr="00A241F5" w14:paraId="0EA14764" w14:textId="77777777" w:rsidTr="00AC7FE5">
        <w:trPr>
          <w:trHeight w:val="753"/>
          <w:tblHeader/>
        </w:trPr>
        <w:tc>
          <w:tcPr>
            <w:tcW w:w="3831" w:type="dxa"/>
            <w:hideMark/>
          </w:tcPr>
          <w:p w14:paraId="48830072" w14:textId="77777777" w:rsidR="001238F2" w:rsidRPr="00A241F5" w:rsidRDefault="001238F2" w:rsidP="00AC7FE5">
            <w:pPr>
              <w:spacing w:after="240"/>
              <w:rPr>
                <w:lang w:eastAsia="zh-HK"/>
              </w:rPr>
            </w:pPr>
            <w:r w:rsidRPr="00A241F5">
              <w:rPr>
                <w:lang w:eastAsia="zh-HK"/>
              </w:rPr>
              <w:lastRenderedPageBreak/>
              <w:t>Consultation Paper</w:t>
            </w:r>
          </w:p>
        </w:tc>
        <w:tc>
          <w:tcPr>
            <w:tcW w:w="5277" w:type="dxa"/>
            <w:hideMark/>
          </w:tcPr>
          <w:p w14:paraId="64B4FED6" w14:textId="5D41BA8C" w:rsidR="001238F2" w:rsidRPr="00A241F5" w:rsidRDefault="001238F2" w:rsidP="00352C5C">
            <w:pPr>
              <w:spacing w:after="240"/>
              <w:rPr>
                <w:lang w:eastAsia="zh-HK"/>
              </w:rPr>
            </w:pPr>
            <w:r w:rsidRPr="00A241F5">
              <w:rPr>
                <w:lang w:eastAsia="zh-HK"/>
              </w:rPr>
              <w:t>The Consultation Paper on Outcome Related Fee Structures for Arbitration issued by the Sub-committee on 17 December 2020.</w:t>
            </w:r>
          </w:p>
        </w:tc>
      </w:tr>
      <w:tr w:rsidR="001238F2" w:rsidRPr="00A241F5" w14:paraId="6AD58CB8" w14:textId="77777777" w:rsidTr="00AC7FE5">
        <w:trPr>
          <w:trHeight w:val="753"/>
          <w:tblHeader/>
        </w:trPr>
        <w:tc>
          <w:tcPr>
            <w:tcW w:w="3831" w:type="dxa"/>
            <w:hideMark/>
          </w:tcPr>
          <w:p w14:paraId="5C3C6D2A" w14:textId="77777777" w:rsidR="001238F2" w:rsidRPr="00A241F5" w:rsidRDefault="001238F2" w:rsidP="00AC7FE5">
            <w:pPr>
              <w:spacing w:after="240"/>
              <w:rPr>
                <w:lang w:eastAsia="zh-HK"/>
              </w:rPr>
            </w:pPr>
            <w:r w:rsidRPr="00A241F5">
              <w:rPr>
                <w:lang w:eastAsia="zh-HK"/>
              </w:rPr>
              <w:t>DBA</w:t>
            </w:r>
          </w:p>
        </w:tc>
        <w:tc>
          <w:tcPr>
            <w:tcW w:w="5277" w:type="dxa"/>
            <w:hideMark/>
          </w:tcPr>
          <w:p w14:paraId="1534DA0C" w14:textId="77777777" w:rsidR="001238F2" w:rsidRPr="00A241F5" w:rsidRDefault="001238F2" w:rsidP="00AC7FE5">
            <w:pPr>
              <w:spacing w:after="240"/>
              <w:rPr>
                <w:lang w:eastAsia="zh-HK"/>
              </w:rPr>
            </w:pPr>
            <w:r w:rsidRPr="00A241F5">
              <w:rPr>
                <w:lang w:eastAsia="zh-HK"/>
              </w:rPr>
              <w:t xml:space="preserve">Damages-based Agreement. </w:t>
            </w:r>
          </w:p>
          <w:p w14:paraId="279DC684" w14:textId="01EAD2EC" w:rsidR="001238F2" w:rsidRPr="00A241F5" w:rsidRDefault="001238F2" w:rsidP="00AC7FE5">
            <w:pPr>
              <w:spacing w:after="240"/>
              <w:rPr>
                <w:lang w:eastAsia="zh-HK"/>
              </w:rPr>
            </w:pPr>
            <w:r w:rsidRPr="00A241F5">
              <w:rPr>
                <w:lang w:eastAsia="zh-HK"/>
              </w:rPr>
              <w:t xml:space="preserve">An agreement between a Lawyer and client whereby the Lawyer receives payment only if the client obtains a Financial Benefit in the matter, and where the payment is calculated by reference to the Financial Benefit that is obtained, ie a percentage of the Financial Benefit.  Also known as a </w:t>
            </w:r>
            <w:r w:rsidR="00C61F4B" w:rsidRPr="00A241F5">
              <w:rPr>
                <w:lang w:eastAsia="zh-HK"/>
              </w:rPr>
              <w:t>"</w:t>
            </w:r>
            <w:r w:rsidRPr="00A241F5">
              <w:rPr>
                <w:lang w:eastAsia="zh-HK"/>
              </w:rPr>
              <w:t>contingency fee</w:t>
            </w:r>
            <w:r w:rsidR="00C61F4B" w:rsidRPr="00A241F5">
              <w:rPr>
                <w:lang w:eastAsia="zh-HK"/>
              </w:rPr>
              <w:t>"</w:t>
            </w:r>
            <w:r w:rsidRPr="00A241F5">
              <w:rPr>
                <w:lang w:eastAsia="zh-HK"/>
              </w:rPr>
              <w:t xml:space="preserve">, </w:t>
            </w:r>
            <w:r w:rsidR="00C61F4B" w:rsidRPr="00A241F5">
              <w:rPr>
                <w:lang w:eastAsia="zh-HK"/>
              </w:rPr>
              <w:t>"</w:t>
            </w:r>
            <w:r w:rsidRPr="00A241F5">
              <w:rPr>
                <w:lang w:eastAsia="zh-HK"/>
              </w:rPr>
              <w:t>percentage fee</w:t>
            </w:r>
            <w:r w:rsidR="00C61F4B" w:rsidRPr="00A241F5">
              <w:rPr>
                <w:lang w:eastAsia="zh-HK"/>
              </w:rPr>
              <w:t>"</w:t>
            </w:r>
            <w:r w:rsidRPr="00A241F5">
              <w:rPr>
                <w:lang w:eastAsia="zh-HK"/>
              </w:rPr>
              <w:t xml:space="preserve">, or </w:t>
            </w:r>
            <w:r w:rsidR="00C61F4B" w:rsidRPr="00A241F5">
              <w:rPr>
                <w:lang w:eastAsia="zh-HK"/>
              </w:rPr>
              <w:t>"</w:t>
            </w:r>
            <w:r w:rsidRPr="00A241F5">
              <w:rPr>
                <w:lang w:eastAsia="zh-HK"/>
              </w:rPr>
              <w:t>no win, no fee</w:t>
            </w:r>
            <w:r w:rsidR="00C61F4B" w:rsidRPr="00A241F5">
              <w:rPr>
                <w:lang w:eastAsia="zh-HK"/>
              </w:rPr>
              <w:t>"</w:t>
            </w:r>
            <w:r w:rsidRPr="00A241F5">
              <w:rPr>
                <w:lang w:eastAsia="zh-HK"/>
              </w:rPr>
              <w:t xml:space="preserve"> arrangement.</w:t>
            </w:r>
          </w:p>
        </w:tc>
      </w:tr>
      <w:tr w:rsidR="001238F2" w:rsidRPr="00A241F5" w14:paraId="4C90C0FA" w14:textId="77777777" w:rsidTr="00AC7FE5">
        <w:trPr>
          <w:trHeight w:val="753"/>
          <w:tblHeader/>
        </w:trPr>
        <w:tc>
          <w:tcPr>
            <w:tcW w:w="3831" w:type="dxa"/>
            <w:hideMark/>
          </w:tcPr>
          <w:p w14:paraId="1D8455B9" w14:textId="77777777" w:rsidR="001238F2" w:rsidRPr="00A241F5" w:rsidRDefault="001238F2" w:rsidP="00AC7FE5">
            <w:pPr>
              <w:spacing w:after="240"/>
              <w:rPr>
                <w:lang w:eastAsia="zh-HK"/>
              </w:rPr>
            </w:pPr>
            <w:r w:rsidRPr="00A241F5">
              <w:rPr>
                <w:lang w:eastAsia="zh-HK"/>
              </w:rPr>
              <w:t>DBA Payment</w:t>
            </w:r>
          </w:p>
        </w:tc>
        <w:tc>
          <w:tcPr>
            <w:tcW w:w="5277" w:type="dxa"/>
            <w:hideMark/>
          </w:tcPr>
          <w:p w14:paraId="78D95CD1" w14:textId="77777777" w:rsidR="001238F2" w:rsidRPr="00A241F5" w:rsidRDefault="001238F2" w:rsidP="00AC7FE5">
            <w:pPr>
              <w:spacing w:after="240"/>
              <w:rPr>
                <w:lang w:eastAsia="zh-HK"/>
              </w:rPr>
            </w:pPr>
            <w:r w:rsidRPr="00A241F5">
              <w:rPr>
                <w:lang w:eastAsia="zh-HK"/>
              </w:rPr>
              <w:t>Damages-based Agreement Payment.</w:t>
            </w:r>
          </w:p>
          <w:p w14:paraId="45CAAA1F" w14:textId="77777777" w:rsidR="001238F2" w:rsidRPr="00A241F5" w:rsidRDefault="001238F2" w:rsidP="00AC7FE5">
            <w:pPr>
              <w:spacing w:after="240"/>
              <w:rPr>
                <w:lang w:eastAsia="zh-HK"/>
              </w:rPr>
            </w:pPr>
            <w:r w:rsidRPr="00A241F5">
              <w:rPr>
                <w:lang w:eastAsia="zh-HK"/>
              </w:rPr>
              <w:t>The part of the Financial Benefit obtained in respect of the outcome of the claim or Proceedings that the client agrees to pay the Lawyer in accordance with a DBA or a Hybrid DBA.</w:t>
            </w:r>
          </w:p>
          <w:p w14:paraId="0AED4C32" w14:textId="15BBD858" w:rsidR="001238F2" w:rsidRPr="00A241F5" w:rsidRDefault="001238F2" w:rsidP="00AC7FE5">
            <w:pPr>
              <w:spacing w:after="240"/>
              <w:rPr>
                <w:lang w:eastAsia="zh-HK"/>
              </w:rPr>
            </w:pPr>
            <w:r w:rsidRPr="00A241F5">
              <w:rPr>
                <w:lang w:eastAsia="zh-HK"/>
              </w:rPr>
              <w:t xml:space="preserve">Also known as a </w:t>
            </w:r>
            <w:r w:rsidR="00C61F4B" w:rsidRPr="00A241F5">
              <w:rPr>
                <w:lang w:eastAsia="zh-HK"/>
              </w:rPr>
              <w:t>"</w:t>
            </w:r>
            <w:r w:rsidRPr="00A241F5">
              <w:rPr>
                <w:lang w:eastAsia="zh-HK"/>
              </w:rPr>
              <w:t>contingency fee</w:t>
            </w:r>
            <w:r w:rsidR="00C61F4B" w:rsidRPr="00A241F5">
              <w:rPr>
                <w:lang w:eastAsia="zh-HK"/>
              </w:rPr>
              <w:t>"</w:t>
            </w:r>
            <w:r w:rsidRPr="00A241F5">
              <w:rPr>
                <w:lang w:eastAsia="zh-HK"/>
              </w:rPr>
              <w:t xml:space="preserve"> or a </w:t>
            </w:r>
            <w:r w:rsidR="00C61F4B" w:rsidRPr="00A241F5">
              <w:rPr>
                <w:lang w:eastAsia="zh-HK"/>
              </w:rPr>
              <w:t>"</w:t>
            </w:r>
            <w:r w:rsidRPr="00A241F5">
              <w:rPr>
                <w:lang w:eastAsia="zh-HK"/>
              </w:rPr>
              <w:t>damages-based fee</w:t>
            </w:r>
            <w:r w:rsidR="00C61F4B" w:rsidRPr="00A241F5">
              <w:rPr>
                <w:lang w:eastAsia="zh-HK"/>
              </w:rPr>
              <w:t>"</w:t>
            </w:r>
            <w:r w:rsidRPr="00A241F5">
              <w:rPr>
                <w:lang w:eastAsia="zh-HK"/>
              </w:rPr>
              <w:t>.</w:t>
            </w:r>
          </w:p>
        </w:tc>
      </w:tr>
      <w:tr w:rsidR="001238F2" w:rsidRPr="00A241F5" w14:paraId="76746D88" w14:textId="77777777" w:rsidTr="00AC7FE5">
        <w:trPr>
          <w:trHeight w:val="753"/>
          <w:tblHeader/>
        </w:trPr>
        <w:tc>
          <w:tcPr>
            <w:tcW w:w="3831" w:type="dxa"/>
          </w:tcPr>
          <w:p w14:paraId="6848141B" w14:textId="77777777" w:rsidR="001238F2" w:rsidRPr="00A241F5" w:rsidRDefault="001238F2" w:rsidP="00AC7FE5">
            <w:pPr>
              <w:spacing w:after="240"/>
              <w:rPr>
                <w:lang w:eastAsia="zh-HK"/>
              </w:rPr>
            </w:pPr>
            <w:r w:rsidRPr="00A241F5">
              <w:rPr>
                <w:lang w:eastAsia="zh-HK"/>
              </w:rPr>
              <w:t>Financial Benefit</w:t>
            </w:r>
          </w:p>
        </w:tc>
        <w:tc>
          <w:tcPr>
            <w:tcW w:w="5277" w:type="dxa"/>
          </w:tcPr>
          <w:p w14:paraId="30382F1E" w14:textId="1FDF3CD9" w:rsidR="001238F2" w:rsidRPr="00A241F5" w:rsidRDefault="001238F2" w:rsidP="00AC7FE5">
            <w:pPr>
              <w:spacing w:after="240"/>
              <w:rPr>
                <w:lang w:eastAsia="zh-HK"/>
              </w:rPr>
            </w:pPr>
            <w:r w:rsidRPr="00A241F5">
              <w:rPr>
                <w:lang w:eastAsia="zh-HK"/>
              </w:rPr>
              <w:t>Money or money</w:t>
            </w:r>
            <w:r w:rsidR="00C61F4B" w:rsidRPr="00A241F5">
              <w:rPr>
                <w:lang w:eastAsia="zh-HK"/>
              </w:rPr>
              <w:t>'</w:t>
            </w:r>
            <w:r w:rsidRPr="00A241F5">
              <w:rPr>
                <w:lang w:eastAsia="zh-HK"/>
              </w:rPr>
              <w:t>s worth, but does not include any sum awarded in respect of recoverable Lawyer</w:t>
            </w:r>
            <w:r w:rsidR="00C61F4B" w:rsidRPr="00A241F5">
              <w:rPr>
                <w:lang w:eastAsia="zh-HK"/>
              </w:rPr>
              <w:t>'</w:t>
            </w:r>
            <w:r w:rsidRPr="00A241F5">
              <w:rPr>
                <w:lang w:eastAsia="zh-HK"/>
              </w:rPr>
              <w:t>s costs or recoverable expenses.</w:t>
            </w:r>
          </w:p>
        </w:tc>
      </w:tr>
      <w:tr w:rsidR="001238F2" w:rsidRPr="00A241F5" w14:paraId="129342FA" w14:textId="77777777" w:rsidTr="00AC7FE5">
        <w:trPr>
          <w:trHeight w:val="753"/>
          <w:tblHeader/>
        </w:trPr>
        <w:tc>
          <w:tcPr>
            <w:tcW w:w="3831" w:type="dxa"/>
          </w:tcPr>
          <w:p w14:paraId="6B9B003A" w14:textId="77777777" w:rsidR="001238F2" w:rsidRPr="00A241F5" w:rsidRDefault="001238F2" w:rsidP="00AC7FE5">
            <w:pPr>
              <w:spacing w:after="240"/>
              <w:rPr>
                <w:lang w:eastAsia="zh-HK"/>
              </w:rPr>
            </w:pPr>
            <w:r w:rsidRPr="00A241F5">
              <w:rPr>
                <w:lang w:eastAsia="zh-HK"/>
              </w:rPr>
              <w:t>HKBA</w:t>
            </w:r>
          </w:p>
        </w:tc>
        <w:tc>
          <w:tcPr>
            <w:tcW w:w="5277" w:type="dxa"/>
          </w:tcPr>
          <w:p w14:paraId="34649ACC" w14:textId="77777777" w:rsidR="001238F2" w:rsidRPr="00A241F5" w:rsidRDefault="001238F2" w:rsidP="00AC7FE5">
            <w:pPr>
              <w:spacing w:after="240"/>
              <w:rPr>
                <w:lang w:eastAsia="zh-HK"/>
              </w:rPr>
            </w:pPr>
            <w:r w:rsidRPr="00A241F5">
              <w:rPr>
                <w:lang w:eastAsia="zh-HK"/>
              </w:rPr>
              <w:t>Hong Kong Bar Association.</w:t>
            </w:r>
          </w:p>
        </w:tc>
      </w:tr>
      <w:tr w:rsidR="001238F2" w:rsidRPr="00A241F5" w14:paraId="046C205B" w14:textId="77777777" w:rsidTr="00AC7FE5">
        <w:trPr>
          <w:trHeight w:val="753"/>
          <w:tblHeader/>
        </w:trPr>
        <w:tc>
          <w:tcPr>
            <w:tcW w:w="3831" w:type="dxa"/>
            <w:hideMark/>
          </w:tcPr>
          <w:p w14:paraId="367D3382" w14:textId="77777777" w:rsidR="001238F2" w:rsidRPr="00A241F5" w:rsidRDefault="001238F2" w:rsidP="00AC7FE5">
            <w:pPr>
              <w:spacing w:after="240"/>
              <w:rPr>
                <w:lang w:eastAsia="zh-HK"/>
              </w:rPr>
            </w:pPr>
            <w:r w:rsidRPr="00A241F5">
              <w:rPr>
                <w:lang w:eastAsia="zh-HK"/>
              </w:rPr>
              <w:t>Hong Kong</w:t>
            </w:r>
          </w:p>
        </w:tc>
        <w:tc>
          <w:tcPr>
            <w:tcW w:w="5277" w:type="dxa"/>
            <w:hideMark/>
          </w:tcPr>
          <w:p w14:paraId="7C2DCF06" w14:textId="77777777" w:rsidR="001238F2" w:rsidRPr="00A241F5" w:rsidRDefault="001238F2" w:rsidP="00AC7FE5">
            <w:pPr>
              <w:spacing w:after="240"/>
              <w:rPr>
                <w:lang w:eastAsia="zh-HK"/>
              </w:rPr>
            </w:pPr>
            <w:r w:rsidRPr="00A241F5">
              <w:rPr>
                <w:lang w:eastAsia="zh-HK"/>
              </w:rPr>
              <w:t>Hong Kong Special Administrative Region of the PRC.</w:t>
            </w:r>
          </w:p>
        </w:tc>
      </w:tr>
      <w:tr w:rsidR="001238F2" w:rsidRPr="00A241F5" w14:paraId="47D5BB08" w14:textId="77777777" w:rsidTr="00AC7FE5">
        <w:trPr>
          <w:trHeight w:val="753"/>
          <w:tblHeader/>
        </w:trPr>
        <w:tc>
          <w:tcPr>
            <w:tcW w:w="3831" w:type="dxa"/>
            <w:hideMark/>
          </w:tcPr>
          <w:p w14:paraId="4321EA3F" w14:textId="77777777" w:rsidR="001238F2" w:rsidRPr="00A241F5" w:rsidRDefault="001238F2" w:rsidP="00AC7FE5">
            <w:pPr>
              <w:spacing w:after="240"/>
              <w:rPr>
                <w:lang w:eastAsia="zh-HK"/>
              </w:rPr>
            </w:pPr>
            <w:r w:rsidRPr="00A241F5">
              <w:rPr>
                <w:lang w:eastAsia="zh-HK"/>
              </w:rPr>
              <w:t>Hybrid DBA</w:t>
            </w:r>
          </w:p>
        </w:tc>
        <w:tc>
          <w:tcPr>
            <w:tcW w:w="5277" w:type="dxa"/>
            <w:hideMark/>
          </w:tcPr>
          <w:p w14:paraId="07244CA8" w14:textId="77777777" w:rsidR="001238F2" w:rsidRPr="00A241F5" w:rsidRDefault="001238F2" w:rsidP="00AC7FE5">
            <w:pPr>
              <w:spacing w:after="240"/>
              <w:rPr>
                <w:lang w:eastAsia="zh-HK"/>
              </w:rPr>
            </w:pPr>
            <w:r w:rsidRPr="00A241F5">
              <w:rPr>
                <w:lang w:eastAsia="zh-HK"/>
              </w:rPr>
              <w:t>Hybrid Damages-based Agreement.</w:t>
            </w:r>
          </w:p>
          <w:p w14:paraId="169D6D60" w14:textId="3D065042" w:rsidR="001238F2" w:rsidRPr="00A241F5" w:rsidRDefault="001238F2" w:rsidP="00AC7FE5">
            <w:pPr>
              <w:spacing w:after="240"/>
              <w:rPr>
                <w:lang w:eastAsia="zh-HK"/>
              </w:rPr>
            </w:pPr>
            <w:r w:rsidRPr="00A241F5">
              <w:rPr>
                <w:lang w:eastAsia="zh-HK"/>
              </w:rPr>
              <w:t xml:space="preserve">An agreement between a Lawyer and client whereby the Lawyer agrees with the client to be paid a DBA Payment only in the event the client obtains a Financial Benefit in the matter and </w:t>
            </w:r>
            <w:r w:rsidR="00E624E9" w:rsidRPr="00A241F5">
              <w:rPr>
                <w:rFonts w:cs="Arial"/>
              </w:rPr>
              <w:t>also fees</w:t>
            </w:r>
            <w:r w:rsidR="00B36CC8" w:rsidRPr="00A241F5">
              <w:rPr>
                <w:rFonts w:cs="Arial"/>
              </w:rPr>
              <w:t xml:space="preserve"> (typically discounted) for legal services rendered during the course of the matter</w:t>
            </w:r>
            <w:r w:rsidRPr="00A241F5">
              <w:rPr>
                <w:lang w:eastAsia="zh-HK"/>
              </w:rPr>
              <w:t>.</w:t>
            </w:r>
            <w:r w:rsidR="00AB0D57" w:rsidRPr="00A241F5">
              <w:rPr>
                <w:lang w:eastAsia="zh-HK"/>
              </w:rPr>
              <w:t xml:space="preserve">  </w:t>
            </w:r>
            <w:r w:rsidRPr="00A241F5">
              <w:rPr>
                <w:lang w:eastAsia="zh-HK"/>
              </w:rPr>
              <w:t xml:space="preserve"> </w:t>
            </w:r>
          </w:p>
          <w:p w14:paraId="3079B306" w14:textId="73CB7FCF" w:rsidR="001238F2" w:rsidRPr="00A241F5" w:rsidRDefault="001238F2" w:rsidP="00AC7FE5">
            <w:pPr>
              <w:spacing w:after="240"/>
              <w:rPr>
                <w:lang w:eastAsia="zh-HK"/>
              </w:rPr>
            </w:pPr>
            <w:r w:rsidRPr="00A241F5">
              <w:rPr>
                <w:lang w:eastAsia="zh-HK"/>
              </w:rPr>
              <w:t xml:space="preserve">Also known as a </w:t>
            </w:r>
            <w:r w:rsidR="00C61F4B" w:rsidRPr="00A241F5">
              <w:rPr>
                <w:lang w:eastAsia="zh-HK"/>
              </w:rPr>
              <w:t>"</w:t>
            </w:r>
            <w:r w:rsidRPr="00A241F5">
              <w:rPr>
                <w:lang w:eastAsia="zh-HK"/>
              </w:rPr>
              <w:t>no win, low fee</w:t>
            </w:r>
            <w:r w:rsidR="00C61F4B" w:rsidRPr="00A241F5">
              <w:rPr>
                <w:lang w:eastAsia="zh-HK"/>
              </w:rPr>
              <w:t>"</w:t>
            </w:r>
            <w:r w:rsidRPr="00A241F5">
              <w:rPr>
                <w:lang w:eastAsia="zh-HK"/>
              </w:rPr>
              <w:t xml:space="preserve"> arrangement.</w:t>
            </w:r>
          </w:p>
        </w:tc>
      </w:tr>
      <w:tr w:rsidR="001238F2" w:rsidRPr="00A241F5" w14:paraId="7642E654" w14:textId="77777777" w:rsidTr="003A6D3A">
        <w:trPr>
          <w:trHeight w:val="540"/>
          <w:tblHeader/>
        </w:trPr>
        <w:tc>
          <w:tcPr>
            <w:tcW w:w="3831" w:type="dxa"/>
          </w:tcPr>
          <w:p w14:paraId="6D74F12E" w14:textId="77777777" w:rsidR="001238F2" w:rsidRPr="00A241F5" w:rsidRDefault="001238F2" w:rsidP="00AC7FE5">
            <w:pPr>
              <w:spacing w:after="240"/>
              <w:rPr>
                <w:lang w:eastAsia="zh-HK"/>
              </w:rPr>
            </w:pPr>
            <w:r w:rsidRPr="00A241F5">
              <w:rPr>
                <w:lang w:eastAsia="zh-HK"/>
              </w:rPr>
              <w:lastRenderedPageBreak/>
              <w:t>Law Society</w:t>
            </w:r>
          </w:p>
        </w:tc>
        <w:tc>
          <w:tcPr>
            <w:tcW w:w="5277" w:type="dxa"/>
          </w:tcPr>
          <w:p w14:paraId="3A55524B" w14:textId="77777777" w:rsidR="001238F2" w:rsidRPr="00A241F5" w:rsidRDefault="001238F2" w:rsidP="00AC7FE5">
            <w:pPr>
              <w:spacing w:after="240"/>
              <w:rPr>
                <w:lang w:eastAsia="zh-HK"/>
              </w:rPr>
            </w:pPr>
            <w:r w:rsidRPr="00A241F5">
              <w:rPr>
                <w:lang w:eastAsia="zh-HK"/>
              </w:rPr>
              <w:t>The Law Society of Hong Kong.</w:t>
            </w:r>
          </w:p>
        </w:tc>
      </w:tr>
      <w:tr w:rsidR="001238F2" w:rsidRPr="00A241F5" w14:paraId="5954BF4C" w14:textId="77777777" w:rsidTr="00AC7FE5">
        <w:trPr>
          <w:trHeight w:val="753"/>
          <w:tblHeader/>
        </w:trPr>
        <w:tc>
          <w:tcPr>
            <w:tcW w:w="3831" w:type="dxa"/>
            <w:hideMark/>
          </w:tcPr>
          <w:p w14:paraId="7F8B119C" w14:textId="77777777" w:rsidR="001238F2" w:rsidRPr="00A241F5" w:rsidRDefault="001238F2" w:rsidP="00AC7FE5">
            <w:pPr>
              <w:spacing w:after="240"/>
              <w:rPr>
                <w:lang w:eastAsia="zh-HK"/>
              </w:rPr>
            </w:pPr>
            <w:r w:rsidRPr="00A241F5">
              <w:rPr>
                <w:lang w:eastAsia="zh-HK"/>
              </w:rPr>
              <w:t>Lawyer</w:t>
            </w:r>
          </w:p>
        </w:tc>
        <w:tc>
          <w:tcPr>
            <w:tcW w:w="5277" w:type="dxa"/>
            <w:hideMark/>
          </w:tcPr>
          <w:p w14:paraId="152F797F" w14:textId="63E4797E" w:rsidR="001238F2" w:rsidRPr="00A241F5" w:rsidRDefault="001238F2" w:rsidP="00AC7FE5">
            <w:pPr>
              <w:spacing w:after="240"/>
              <w:rPr>
                <w:lang w:eastAsia="zh-HK"/>
              </w:rPr>
            </w:pPr>
            <w:r w:rsidRPr="00A241F5">
              <w:rPr>
                <w:lang w:eastAsia="zh-HK"/>
              </w:rPr>
              <w:t xml:space="preserve">A person who is qualified to practise the law of any jurisdiction, including Hong Kong.  For the purposes of this Report, </w:t>
            </w:r>
            <w:r w:rsidR="00C61F4B" w:rsidRPr="00A241F5">
              <w:rPr>
                <w:lang w:eastAsia="zh-HK"/>
              </w:rPr>
              <w:t>"</w:t>
            </w:r>
            <w:r w:rsidRPr="00A241F5">
              <w:rPr>
                <w:lang w:eastAsia="zh-HK"/>
              </w:rPr>
              <w:t>Lawyer</w:t>
            </w:r>
            <w:r w:rsidR="00C61F4B" w:rsidRPr="00A241F5">
              <w:rPr>
                <w:lang w:eastAsia="zh-HK"/>
              </w:rPr>
              <w:t>"</w:t>
            </w:r>
            <w:r w:rsidRPr="00A241F5">
              <w:rPr>
                <w:lang w:eastAsia="zh-HK"/>
              </w:rPr>
              <w:t xml:space="preserve"> includes (but is not limited to) Hong Kong barristers, solicitors and Registered foreign lawyers.</w:t>
            </w:r>
          </w:p>
        </w:tc>
      </w:tr>
      <w:tr w:rsidR="001238F2" w:rsidRPr="00A241F5" w14:paraId="4ECC8E32" w14:textId="77777777" w:rsidTr="00AC7FE5">
        <w:trPr>
          <w:trHeight w:val="753"/>
          <w:tblHeader/>
        </w:trPr>
        <w:tc>
          <w:tcPr>
            <w:tcW w:w="3831" w:type="dxa"/>
          </w:tcPr>
          <w:p w14:paraId="233BAF5C" w14:textId="77777777" w:rsidR="001238F2" w:rsidRPr="00A241F5" w:rsidRDefault="001238F2" w:rsidP="00AC7FE5">
            <w:pPr>
              <w:spacing w:after="240"/>
              <w:rPr>
                <w:lang w:eastAsia="zh-HK"/>
              </w:rPr>
            </w:pPr>
            <w:r w:rsidRPr="00A241F5">
              <w:rPr>
                <w:rFonts w:eastAsia="DengXian"/>
                <w:lang w:eastAsia="zh-CN"/>
              </w:rPr>
              <w:t>Legal Expense Insurance</w:t>
            </w:r>
          </w:p>
        </w:tc>
        <w:tc>
          <w:tcPr>
            <w:tcW w:w="5277" w:type="dxa"/>
          </w:tcPr>
          <w:p w14:paraId="43C333B7" w14:textId="77777777" w:rsidR="001238F2" w:rsidRPr="00A241F5" w:rsidRDefault="001238F2" w:rsidP="00AC7FE5">
            <w:pPr>
              <w:spacing w:after="240"/>
              <w:rPr>
                <w:rFonts w:eastAsia="DengXian" w:cs="Arial"/>
                <w:lang w:eastAsia="zh-CN"/>
              </w:rPr>
            </w:pPr>
            <w:r w:rsidRPr="00A241F5">
              <w:rPr>
                <w:rFonts w:eastAsia="細明體" w:cs="Arial"/>
                <w:bCs/>
                <w:iCs/>
                <w:lang w:eastAsia="zh-CN"/>
              </w:rPr>
              <w:t>A contract of insurance that provides reimbursement to a client or a lawyer for some or all of the legal fees, adverse costs or disbursements incurred in respect of a matter.</w:t>
            </w:r>
          </w:p>
          <w:p w14:paraId="32A3BE69" w14:textId="77777777" w:rsidR="001238F2" w:rsidRPr="00A241F5" w:rsidRDefault="001238F2" w:rsidP="00AC7FE5">
            <w:pPr>
              <w:spacing w:after="240"/>
              <w:rPr>
                <w:lang w:eastAsia="zh-HK"/>
              </w:rPr>
            </w:pPr>
            <w:r w:rsidRPr="00A241F5">
              <w:rPr>
                <w:rFonts w:eastAsia="DengXian"/>
                <w:lang w:eastAsia="zh-CN"/>
              </w:rPr>
              <w:t xml:space="preserve">Legal Expense Insurance includes ATE Insurance. </w:t>
            </w:r>
          </w:p>
        </w:tc>
      </w:tr>
      <w:tr w:rsidR="001238F2" w:rsidRPr="00A241F5" w14:paraId="3BE38237" w14:textId="77777777" w:rsidTr="00AC7FE5">
        <w:trPr>
          <w:trHeight w:val="753"/>
          <w:tblHeader/>
        </w:trPr>
        <w:tc>
          <w:tcPr>
            <w:tcW w:w="3831" w:type="dxa"/>
          </w:tcPr>
          <w:p w14:paraId="1877FC04" w14:textId="77777777" w:rsidR="001238F2" w:rsidRPr="00A241F5" w:rsidRDefault="001238F2" w:rsidP="00AC7FE5">
            <w:pPr>
              <w:spacing w:after="240"/>
              <w:rPr>
                <w:rFonts w:eastAsia="DengXian"/>
                <w:lang w:eastAsia="zh-CN"/>
              </w:rPr>
            </w:pPr>
            <w:r w:rsidRPr="00A241F5">
              <w:rPr>
                <w:rFonts w:eastAsia="DengXian"/>
                <w:lang w:eastAsia="zh-CN"/>
              </w:rPr>
              <w:t>Legal Practitioners Ordinance</w:t>
            </w:r>
          </w:p>
        </w:tc>
        <w:tc>
          <w:tcPr>
            <w:tcW w:w="5277" w:type="dxa"/>
          </w:tcPr>
          <w:p w14:paraId="4E0BF5DA" w14:textId="77777777" w:rsidR="001238F2" w:rsidRPr="00A241F5" w:rsidRDefault="001238F2" w:rsidP="00AC7FE5">
            <w:pPr>
              <w:spacing w:after="240"/>
              <w:rPr>
                <w:rFonts w:eastAsia="細明體" w:cs="Arial"/>
                <w:bCs/>
                <w:iCs/>
                <w:lang w:eastAsia="zh-CN"/>
              </w:rPr>
            </w:pPr>
            <w:r w:rsidRPr="00A241F5">
              <w:rPr>
                <w:lang w:eastAsia="zh-HK"/>
              </w:rPr>
              <w:t>Legal Practitioners Ordinance (Cap 159) of Hong Kong.</w:t>
            </w:r>
          </w:p>
        </w:tc>
      </w:tr>
      <w:tr w:rsidR="001238F2" w:rsidRPr="00A241F5" w14:paraId="7F8CE76E" w14:textId="77777777" w:rsidTr="00AC7FE5">
        <w:trPr>
          <w:trHeight w:val="753"/>
          <w:tblHeader/>
        </w:trPr>
        <w:tc>
          <w:tcPr>
            <w:tcW w:w="3831" w:type="dxa"/>
            <w:hideMark/>
          </w:tcPr>
          <w:p w14:paraId="22073F8A" w14:textId="77777777" w:rsidR="001238F2" w:rsidRPr="00A241F5" w:rsidRDefault="001238F2" w:rsidP="00AC7FE5">
            <w:pPr>
              <w:spacing w:after="240"/>
              <w:rPr>
                <w:lang w:eastAsia="zh-HK"/>
              </w:rPr>
            </w:pPr>
            <w:r w:rsidRPr="00A241F5">
              <w:rPr>
                <w:lang w:eastAsia="zh-HK"/>
              </w:rPr>
              <w:t>Lord Justice Jackson</w:t>
            </w:r>
          </w:p>
        </w:tc>
        <w:tc>
          <w:tcPr>
            <w:tcW w:w="5277" w:type="dxa"/>
            <w:hideMark/>
          </w:tcPr>
          <w:p w14:paraId="0B1D5685" w14:textId="77777777" w:rsidR="001238F2" w:rsidRPr="00A241F5" w:rsidRDefault="001238F2" w:rsidP="00AC7FE5">
            <w:pPr>
              <w:spacing w:after="240"/>
              <w:rPr>
                <w:lang w:eastAsia="zh-HK"/>
              </w:rPr>
            </w:pPr>
            <w:r w:rsidRPr="00A241F5">
              <w:rPr>
                <w:lang w:eastAsia="zh-HK"/>
              </w:rPr>
              <w:t>Sir Rupert Jackson, Lord Justice of Appeal of England and Wales from 2008 to 2018.</w:t>
            </w:r>
          </w:p>
        </w:tc>
      </w:tr>
      <w:tr w:rsidR="001238F2" w:rsidRPr="00A241F5" w14:paraId="2B7D2740" w14:textId="77777777" w:rsidTr="003A6D3A">
        <w:trPr>
          <w:trHeight w:val="513"/>
          <w:tblHeader/>
        </w:trPr>
        <w:tc>
          <w:tcPr>
            <w:tcW w:w="3831" w:type="dxa"/>
            <w:hideMark/>
          </w:tcPr>
          <w:p w14:paraId="5B97733A" w14:textId="77777777" w:rsidR="001238F2" w:rsidRPr="00A241F5" w:rsidRDefault="001238F2" w:rsidP="00AC7FE5">
            <w:pPr>
              <w:spacing w:after="240"/>
              <w:rPr>
                <w:lang w:eastAsia="zh-HK"/>
              </w:rPr>
            </w:pPr>
            <w:r w:rsidRPr="00A241F5">
              <w:rPr>
                <w:lang w:eastAsia="zh-HK"/>
              </w:rPr>
              <w:t>LRC</w:t>
            </w:r>
          </w:p>
        </w:tc>
        <w:tc>
          <w:tcPr>
            <w:tcW w:w="5277" w:type="dxa"/>
            <w:hideMark/>
          </w:tcPr>
          <w:p w14:paraId="5C2C531B" w14:textId="77777777" w:rsidR="001238F2" w:rsidRPr="00A241F5" w:rsidRDefault="001238F2" w:rsidP="00AC7FE5">
            <w:pPr>
              <w:spacing w:after="240"/>
              <w:rPr>
                <w:lang w:eastAsia="zh-HK"/>
              </w:rPr>
            </w:pPr>
            <w:r w:rsidRPr="00A241F5">
              <w:rPr>
                <w:lang w:eastAsia="zh-HK"/>
              </w:rPr>
              <w:t>The Law Reform Commission of Hong Kong.</w:t>
            </w:r>
          </w:p>
        </w:tc>
      </w:tr>
      <w:tr w:rsidR="001238F2" w:rsidRPr="00A241F5" w14:paraId="292562D3" w14:textId="77777777" w:rsidTr="00AC7FE5">
        <w:trPr>
          <w:trHeight w:val="753"/>
          <w:tblHeader/>
        </w:trPr>
        <w:tc>
          <w:tcPr>
            <w:tcW w:w="3831" w:type="dxa"/>
            <w:hideMark/>
          </w:tcPr>
          <w:p w14:paraId="7B578010" w14:textId="77777777" w:rsidR="001238F2" w:rsidRPr="00A241F5" w:rsidRDefault="001238F2" w:rsidP="00AC7FE5">
            <w:pPr>
              <w:spacing w:after="240"/>
              <w:rPr>
                <w:lang w:eastAsia="zh-HK"/>
              </w:rPr>
            </w:pPr>
            <w:r w:rsidRPr="00A241F5">
              <w:rPr>
                <w:lang w:eastAsia="zh-HK"/>
              </w:rPr>
              <w:t>Mainland China</w:t>
            </w:r>
          </w:p>
        </w:tc>
        <w:tc>
          <w:tcPr>
            <w:tcW w:w="5277" w:type="dxa"/>
            <w:hideMark/>
          </w:tcPr>
          <w:p w14:paraId="66D8E065" w14:textId="3D9E8472" w:rsidR="001238F2" w:rsidRPr="00A241F5" w:rsidRDefault="001238F2" w:rsidP="00352C5C">
            <w:pPr>
              <w:spacing w:after="240"/>
              <w:rPr>
                <w:lang w:eastAsia="zh-HK"/>
              </w:rPr>
            </w:pPr>
            <w:r w:rsidRPr="00A241F5">
              <w:rPr>
                <w:lang w:eastAsia="zh-HK"/>
              </w:rPr>
              <w:t xml:space="preserve">The PRC (for the purposes of this </w:t>
            </w:r>
            <w:r w:rsidR="00352C5C" w:rsidRPr="00A241F5">
              <w:rPr>
                <w:lang w:eastAsia="zh-HK"/>
              </w:rPr>
              <w:t>Report</w:t>
            </w:r>
            <w:r w:rsidRPr="00A241F5">
              <w:rPr>
                <w:lang w:eastAsia="zh-HK"/>
              </w:rPr>
              <w:t>) excluding Hong Kong, Macao Special Administrative Region and Taiwan.</w:t>
            </w:r>
          </w:p>
        </w:tc>
      </w:tr>
      <w:tr w:rsidR="001238F2" w:rsidRPr="00A241F5" w14:paraId="0D549B4B" w14:textId="77777777" w:rsidTr="00AC7FE5">
        <w:trPr>
          <w:trHeight w:val="753"/>
          <w:tblHeader/>
        </w:trPr>
        <w:tc>
          <w:tcPr>
            <w:tcW w:w="3831" w:type="dxa"/>
          </w:tcPr>
          <w:p w14:paraId="1A4D1438" w14:textId="4D7BB8EF" w:rsidR="001238F2" w:rsidRPr="00A241F5" w:rsidRDefault="001238F2" w:rsidP="00AC7FE5">
            <w:pPr>
              <w:spacing w:after="240"/>
              <w:rPr>
                <w:lang w:eastAsia="zh-HK"/>
              </w:rPr>
            </w:pPr>
            <w:r w:rsidRPr="00A241F5">
              <w:rPr>
                <w:lang w:eastAsia="zh-HK"/>
              </w:rPr>
              <w:t>Money or money</w:t>
            </w:r>
            <w:r w:rsidR="00C61F4B" w:rsidRPr="00A241F5">
              <w:rPr>
                <w:lang w:eastAsia="zh-HK"/>
              </w:rPr>
              <w:t>'</w:t>
            </w:r>
            <w:r w:rsidRPr="00A241F5">
              <w:rPr>
                <w:lang w:eastAsia="zh-HK"/>
              </w:rPr>
              <w:t>s worth</w:t>
            </w:r>
          </w:p>
        </w:tc>
        <w:tc>
          <w:tcPr>
            <w:tcW w:w="5277" w:type="dxa"/>
          </w:tcPr>
          <w:p w14:paraId="1A0D5A79" w14:textId="77777777" w:rsidR="001238F2" w:rsidRPr="00A241F5" w:rsidRDefault="001238F2" w:rsidP="00AC7FE5">
            <w:pPr>
              <w:spacing w:after="240"/>
              <w:rPr>
                <w:lang w:eastAsia="zh-HK"/>
              </w:rPr>
            </w:pPr>
            <w:r w:rsidRPr="00A241F5">
              <w:rPr>
                <w:lang w:eastAsia="zh-HK"/>
              </w:rPr>
              <w:t>Money, assets, security, tangible or intangible property, services, any amount owed under an award, settlement agreement or otherwise, and any other consideration reducible to a monetary value, including any avoidance or reduction of a potential liability.</w:t>
            </w:r>
          </w:p>
        </w:tc>
      </w:tr>
      <w:tr w:rsidR="001238F2" w:rsidRPr="00A241F5" w14:paraId="79D29544" w14:textId="77777777" w:rsidTr="00AC7FE5">
        <w:trPr>
          <w:trHeight w:val="753"/>
          <w:tblHeader/>
        </w:trPr>
        <w:tc>
          <w:tcPr>
            <w:tcW w:w="3831" w:type="dxa"/>
            <w:hideMark/>
          </w:tcPr>
          <w:p w14:paraId="01D63CBB" w14:textId="77777777" w:rsidR="001238F2" w:rsidRPr="00A241F5" w:rsidRDefault="001238F2" w:rsidP="00AC7FE5">
            <w:pPr>
              <w:spacing w:after="240"/>
              <w:rPr>
                <w:lang w:eastAsia="zh-HK"/>
              </w:rPr>
            </w:pPr>
            <w:r w:rsidRPr="00A241F5">
              <w:rPr>
                <w:lang w:eastAsia="zh-HK"/>
              </w:rPr>
              <w:t>Ontario model</w:t>
            </w:r>
          </w:p>
        </w:tc>
        <w:tc>
          <w:tcPr>
            <w:tcW w:w="5277" w:type="dxa"/>
            <w:hideMark/>
          </w:tcPr>
          <w:p w14:paraId="12E4730E" w14:textId="77777777" w:rsidR="001238F2" w:rsidRPr="00A241F5" w:rsidRDefault="001238F2" w:rsidP="00AC7FE5">
            <w:pPr>
              <w:spacing w:after="240"/>
              <w:rPr>
                <w:lang w:eastAsia="zh-HK"/>
              </w:rPr>
            </w:pPr>
            <w:r w:rsidRPr="00A241F5">
              <w:rPr>
                <w:lang w:eastAsia="zh-HK"/>
              </w:rPr>
              <w:t>The damages-based fee regime which operates in Ontario, Canada, whereby:</w:t>
            </w:r>
          </w:p>
          <w:p w14:paraId="611E9E80" w14:textId="77777777" w:rsidR="001238F2" w:rsidRPr="00A241F5" w:rsidRDefault="001238F2" w:rsidP="00022BC8">
            <w:pPr>
              <w:numPr>
                <w:ilvl w:val="0"/>
                <w:numId w:val="10"/>
              </w:numPr>
              <w:spacing w:after="240"/>
              <w:ind w:left="720" w:hanging="720"/>
              <w:rPr>
                <w:lang w:eastAsia="zh-HK"/>
              </w:rPr>
            </w:pPr>
            <w:r w:rsidRPr="00A241F5">
              <w:rPr>
                <w:lang w:eastAsia="zh-HK"/>
              </w:rPr>
              <w:t>the recoverable costs of the claimants will be assessed in the conventional way, and</w:t>
            </w:r>
          </w:p>
          <w:p w14:paraId="6EB3911A" w14:textId="77777777" w:rsidR="001238F2" w:rsidRPr="00A241F5" w:rsidRDefault="001238F2" w:rsidP="00022BC8">
            <w:pPr>
              <w:numPr>
                <w:ilvl w:val="0"/>
                <w:numId w:val="10"/>
              </w:numPr>
              <w:spacing w:after="240"/>
              <w:ind w:left="720" w:hanging="720"/>
              <w:rPr>
                <w:lang w:eastAsia="zh-HK"/>
              </w:rPr>
            </w:pPr>
            <w:r w:rsidRPr="00A241F5">
              <w:rPr>
                <w:lang w:eastAsia="zh-HK"/>
              </w:rPr>
              <w:t xml:space="preserve">if the DBA Payment agreed between the lawyer and the claimant is higher than the figure assessed in the conventional way, the claimant must pay the shortfall out of the damages awarded. </w:t>
            </w:r>
          </w:p>
        </w:tc>
      </w:tr>
      <w:tr w:rsidR="001238F2" w:rsidRPr="00A241F5" w14:paraId="3E2BD68C" w14:textId="77777777" w:rsidTr="003A6D3A">
        <w:trPr>
          <w:trHeight w:val="3150"/>
          <w:tblHeader/>
        </w:trPr>
        <w:tc>
          <w:tcPr>
            <w:tcW w:w="3831" w:type="dxa"/>
            <w:hideMark/>
          </w:tcPr>
          <w:p w14:paraId="1EB5579A" w14:textId="77777777" w:rsidR="001238F2" w:rsidRPr="00A241F5" w:rsidRDefault="001238F2" w:rsidP="00AC7FE5">
            <w:pPr>
              <w:keepNext/>
              <w:keepLines/>
              <w:spacing w:after="240"/>
              <w:rPr>
                <w:lang w:eastAsia="zh-HK"/>
              </w:rPr>
            </w:pPr>
            <w:r w:rsidRPr="00A241F5">
              <w:rPr>
                <w:lang w:eastAsia="zh-HK"/>
              </w:rPr>
              <w:lastRenderedPageBreak/>
              <w:t>ORFS</w:t>
            </w:r>
          </w:p>
        </w:tc>
        <w:tc>
          <w:tcPr>
            <w:tcW w:w="5277" w:type="dxa"/>
            <w:hideMark/>
          </w:tcPr>
          <w:p w14:paraId="2DEE7933" w14:textId="77777777" w:rsidR="001238F2" w:rsidRPr="00A241F5" w:rsidRDefault="001238F2" w:rsidP="00AC7FE5">
            <w:pPr>
              <w:keepNext/>
              <w:keepLines/>
              <w:spacing w:after="240"/>
              <w:rPr>
                <w:lang w:eastAsia="zh-HK"/>
              </w:rPr>
            </w:pPr>
            <w:r w:rsidRPr="00A241F5">
              <w:rPr>
                <w:lang w:eastAsia="zh-HK"/>
              </w:rPr>
              <w:t>Outcome Related Fee Structure.</w:t>
            </w:r>
          </w:p>
          <w:p w14:paraId="30AC7398" w14:textId="5F9426FB" w:rsidR="001238F2" w:rsidRPr="00A241F5" w:rsidRDefault="001238F2" w:rsidP="00AC7FE5">
            <w:pPr>
              <w:keepNext/>
              <w:keepLines/>
              <w:spacing w:after="240"/>
              <w:rPr>
                <w:lang w:eastAsia="zh-HK"/>
              </w:rPr>
            </w:pPr>
            <w:r w:rsidRPr="00A241F5">
              <w:rPr>
                <w:lang w:eastAsia="zh-HK"/>
              </w:rPr>
              <w:t xml:space="preserve">For the purposes of this Report, </w:t>
            </w:r>
            <w:r w:rsidR="00C61F4B" w:rsidRPr="00A241F5">
              <w:rPr>
                <w:lang w:eastAsia="zh-HK"/>
              </w:rPr>
              <w:t>"</w:t>
            </w:r>
            <w:r w:rsidRPr="00A241F5">
              <w:rPr>
                <w:lang w:eastAsia="zh-HK"/>
              </w:rPr>
              <w:t>ORFS</w:t>
            </w:r>
            <w:r w:rsidR="00C61F4B" w:rsidRPr="00A241F5">
              <w:rPr>
                <w:lang w:eastAsia="zh-HK"/>
              </w:rPr>
              <w:t>"</w:t>
            </w:r>
            <w:r w:rsidRPr="00A241F5">
              <w:rPr>
                <w:lang w:eastAsia="zh-HK"/>
              </w:rPr>
              <w:t xml:space="preserve"> means any of the following agreements made between a Lawyer and client:</w:t>
            </w:r>
          </w:p>
          <w:p w14:paraId="62DB4E6E" w14:textId="77777777" w:rsidR="001238F2" w:rsidRPr="00A241F5" w:rsidRDefault="001238F2" w:rsidP="009162DC">
            <w:pPr>
              <w:keepNext/>
              <w:keepLines/>
              <w:tabs>
                <w:tab w:val="clear" w:pos="1418"/>
                <w:tab w:val="left" w:pos="833"/>
              </w:tabs>
              <w:spacing w:after="240"/>
              <w:rPr>
                <w:lang w:eastAsia="zh-HK"/>
              </w:rPr>
            </w:pPr>
            <w:r w:rsidRPr="00A241F5">
              <w:rPr>
                <w:lang w:eastAsia="zh-HK"/>
              </w:rPr>
              <w:t>(a)</w:t>
            </w:r>
            <w:r w:rsidRPr="00A241F5">
              <w:rPr>
                <w:lang w:eastAsia="zh-HK"/>
              </w:rPr>
              <w:tab/>
              <w:t>CFAs;</w:t>
            </w:r>
          </w:p>
          <w:p w14:paraId="125CC55B" w14:textId="77777777" w:rsidR="001238F2" w:rsidRPr="00A241F5" w:rsidRDefault="001238F2" w:rsidP="009162DC">
            <w:pPr>
              <w:keepNext/>
              <w:keepLines/>
              <w:tabs>
                <w:tab w:val="clear" w:pos="1418"/>
                <w:tab w:val="left" w:pos="833"/>
              </w:tabs>
              <w:spacing w:after="240"/>
              <w:rPr>
                <w:lang w:eastAsia="zh-HK"/>
              </w:rPr>
            </w:pPr>
            <w:r w:rsidRPr="00A241F5">
              <w:rPr>
                <w:lang w:eastAsia="zh-HK"/>
              </w:rPr>
              <w:t>(b)</w:t>
            </w:r>
            <w:r w:rsidRPr="00A241F5">
              <w:rPr>
                <w:lang w:eastAsia="zh-HK"/>
              </w:rPr>
              <w:tab/>
              <w:t xml:space="preserve">DBAs; </w:t>
            </w:r>
          </w:p>
          <w:p w14:paraId="0C0BDD0C" w14:textId="64FEB1F5" w:rsidR="0006612A" w:rsidRPr="00A241F5" w:rsidRDefault="001238F2" w:rsidP="003A6D3A">
            <w:pPr>
              <w:keepNext/>
              <w:keepLines/>
              <w:tabs>
                <w:tab w:val="clear" w:pos="1418"/>
                <w:tab w:val="left" w:pos="833"/>
              </w:tabs>
              <w:spacing w:after="240"/>
              <w:rPr>
                <w:rFonts w:eastAsiaTheme="minorEastAsia"/>
                <w:lang w:eastAsia="zh-HK"/>
              </w:rPr>
            </w:pPr>
            <w:r w:rsidRPr="00A241F5">
              <w:rPr>
                <w:lang w:eastAsia="zh-HK"/>
              </w:rPr>
              <w:t>(c)</w:t>
            </w:r>
            <w:r w:rsidRPr="00A241F5">
              <w:rPr>
                <w:lang w:eastAsia="zh-HK"/>
              </w:rPr>
              <w:tab/>
              <w:t>Hybrid DBAs.</w:t>
            </w:r>
          </w:p>
        </w:tc>
      </w:tr>
      <w:tr w:rsidR="001238F2" w:rsidRPr="00A241F5" w14:paraId="2DDEACE3" w14:textId="77777777" w:rsidTr="003A6D3A">
        <w:trPr>
          <w:trHeight w:val="468"/>
          <w:tblHeader/>
        </w:trPr>
        <w:tc>
          <w:tcPr>
            <w:tcW w:w="3831" w:type="dxa"/>
            <w:hideMark/>
          </w:tcPr>
          <w:p w14:paraId="32D293C0" w14:textId="77777777" w:rsidR="001238F2" w:rsidRPr="00A241F5" w:rsidRDefault="001238F2" w:rsidP="00AC7FE5">
            <w:pPr>
              <w:spacing w:after="240"/>
              <w:rPr>
                <w:lang w:eastAsia="zh-HK"/>
              </w:rPr>
            </w:pPr>
            <w:r w:rsidRPr="00A241F5">
              <w:rPr>
                <w:lang w:eastAsia="zh-HK"/>
              </w:rPr>
              <w:t>PRC</w:t>
            </w:r>
          </w:p>
        </w:tc>
        <w:tc>
          <w:tcPr>
            <w:tcW w:w="5277" w:type="dxa"/>
            <w:hideMark/>
          </w:tcPr>
          <w:p w14:paraId="537AECE3" w14:textId="2D3BE0B4" w:rsidR="001238F2" w:rsidRPr="00A241F5" w:rsidRDefault="001238F2" w:rsidP="00AC7FE5">
            <w:pPr>
              <w:spacing w:after="240"/>
              <w:rPr>
                <w:lang w:eastAsia="zh-HK"/>
              </w:rPr>
            </w:pPr>
            <w:r w:rsidRPr="00A241F5">
              <w:rPr>
                <w:lang w:eastAsia="zh-HK"/>
              </w:rPr>
              <w:t>The People</w:t>
            </w:r>
            <w:r w:rsidR="00C61F4B" w:rsidRPr="00A241F5">
              <w:rPr>
                <w:lang w:eastAsia="zh-HK"/>
              </w:rPr>
              <w:t>'</w:t>
            </w:r>
            <w:r w:rsidRPr="00A241F5">
              <w:rPr>
                <w:lang w:eastAsia="zh-HK"/>
              </w:rPr>
              <w:t>s Republic of China.</w:t>
            </w:r>
          </w:p>
        </w:tc>
      </w:tr>
      <w:tr w:rsidR="001238F2" w:rsidRPr="00A241F5" w14:paraId="2C4AE169" w14:textId="77777777" w:rsidTr="003A6D3A">
        <w:trPr>
          <w:trHeight w:val="396"/>
          <w:tblHeader/>
        </w:trPr>
        <w:tc>
          <w:tcPr>
            <w:tcW w:w="3831" w:type="dxa"/>
            <w:hideMark/>
          </w:tcPr>
          <w:p w14:paraId="529B53EF" w14:textId="77777777" w:rsidR="001238F2" w:rsidRPr="00A241F5" w:rsidRDefault="001238F2" w:rsidP="00AC7FE5">
            <w:pPr>
              <w:spacing w:after="240"/>
              <w:rPr>
                <w:lang w:eastAsia="zh-HK"/>
              </w:rPr>
            </w:pPr>
            <w:r w:rsidRPr="00A241F5">
              <w:rPr>
                <w:lang w:eastAsia="zh-HK"/>
              </w:rPr>
              <w:t>Proceedings</w:t>
            </w:r>
          </w:p>
        </w:tc>
        <w:tc>
          <w:tcPr>
            <w:tcW w:w="5277" w:type="dxa"/>
            <w:hideMark/>
          </w:tcPr>
          <w:p w14:paraId="2BEFDF01" w14:textId="77777777" w:rsidR="001238F2" w:rsidRPr="00A241F5" w:rsidRDefault="001238F2" w:rsidP="00AC7FE5">
            <w:pPr>
              <w:spacing w:after="240"/>
              <w:rPr>
                <w:lang w:eastAsia="zh-HK"/>
              </w:rPr>
            </w:pPr>
            <w:r w:rsidRPr="00A241F5">
              <w:rPr>
                <w:lang w:eastAsia="zh-HK"/>
              </w:rPr>
              <w:t>Litigation or arbitration proceedings.</w:t>
            </w:r>
          </w:p>
        </w:tc>
      </w:tr>
      <w:tr w:rsidR="001238F2" w:rsidRPr="00A241F5" w14:paraId="128FA02C" w14:textId="77777777" w:rsidTr="00AC7FE5">
        <w:trPr>
          <w:trHeight w:val="753"/>
          <w:tblHeader/>
        </w:trPr>
        <w:tc>
          <w:tcPr>
            <w:tcW w:w="3831" w:type="dxa"/>
            <w:hideMark/>
          </w:tcPr>
          <w:p w14:paraId="4FB64DE3" w14:textId="77777777" w:rsidR="001238F2" w:rsidRPr="00A241F5" w:rsidRDefault="001238F2" w:rsidP="00AC7FE5">
            <w:pPr>
              <w:spacing w:after="240"/>
              <w:rPr>
                <w:lang w:eastAsia="zh-HK"/>
              </w:rPr>
            </w:pPr>
            <w:r w:rsidRPr="00A241F5">
              <w:rPr>
                <w:lang w:eastAsia="zh-HK"/>
              </w:rPr>
              <w:t>Registered foreign lawyer</w:t>
            </w:r>
          </w:p>
        </w:tc>
        <w:tc>
          <w:tcPr>
            <w:tcW w:w="5277" w:type="dxa"/>
            <w:hideMark/>
          </w:tcPr>
          <w:p w14:paraId="1FD6E804" w14:textId="77777777" w:rsidR="001238F2" w:rsidRPr="00A241F5" w:rsidRDefault="001238F2" w:rsidP="00AC7FE5">
            <w:pPr>
              <w:spacing w:after="240"/>
              <w:rPr>
                <w:lang w:eastAsia="zh-HK"/>
              </w:rPr>
            </w:pPr>
            <w:r w:rsidRPr="00A241F5">
              <w:rPr>
                <w:lang w:eastAsia="zh-HK"/>
              </w:rPr>
              <w:t>A person registered as a foreign lawyer under Part IIIA of the Legal Practitioners Ordinance.</w:t>
            </w:r>
          </w:p>
        </w:tc>
      </w:tr>
      <w:tr w:rsidR="001238F2" w:rsidRPr="00A241F5" w14:paraId="363612AA" w14:textId="77777777" w:rsidTr="00AC7FE5">
        <w:trPr>
          <w:trHeight w:val="753"/>
          <w:tblHeader/>
        </w:trPr>
        <w:tc>
          <w:tcPr>
            <w:tcW w:w="3831" w:type="dxa"/>
          </w:tcPr>
          <w:p w14:paraId="2B006CBC" w14:textId="77777777" w:rsidR="001238F2" w:rsidRPr="00A241F5" w:rsidRDefault="001238F2" w:rsidP="00AC7FE5">
            <w:pPr>
              <w:spacing w:after="240"/>
              <w:rPr>
                <w:lang w:eastAsia="zh-HK"/>
              </w:rPr>
            </w:pPr>
            <w:r w:rsidRPr="00A241F5">
              <w:rPr>
                <w:lang w:eastAsia="zh-HK"/>
              </w:rPr>
              <w:t>Redrafted 2019 DBA Regulations</w:t>
            </w:r>
          </w:p>
        </w:tc>
        <w:tc>
          <w:tcPr>
            <w:tcW w:w="5277" w:type="dxa"/>
          </w:tcPr>
          <w:p w14:paraId="4A583D57" w14:textId="77777777" w:rsidR="001238F2" w:rsidRPr="00A241F5" w:rsidRDefault="001238F2" w:rsidP="00AC7FE5">
            <w:pPr>
              <w:spacing w:after="240"/>
              <w:rPr>
                <w:lang w:eastAsia="zh-HK"/>
              </w:rPr>
            </w:pPr>
            <w:r w:rsidRPr="00A241F5">
              <w:t xml:space="preserve">The redrafted Damages-Based Agreements Regulations 2019 proposed in the </w:t>
            </w:r>
            <w:r w:rsidRPr="00A241F5">
              <w:rPr>
                <w:lang w:eastAsia="zh-HK"/>
              </w:rPr>
              <w:t>2019 DBA Reform Project.</w:t>
            </w:r>
          </w:p>
        </w:tc>
      </w:tr>
      <w:tr w:rsidR="001238F2" w:rsidRPr="00A241F5" w14:paraId="4AA88AA8" w14:textId="77777777" w:rsidTr="00AC7FE5">
        <w:trPr>
          <w:trHeight w:val="753"/>
          <w:tblHeader/>
        </w:trPr>
        <w:tc>
          <w:tcPr>
            <w:tcW w:w="3831" w:type="dxa"/>
          </w:tcPr>
          <w:p w14:paraId="5376D85A" w14:textId="77777777" w:rsidR="001238F2" w:rsidRPr="00A241F5" w:rsidRDefault="001238F2" w:rsidP="00AC7FE5">
            <w:pPr>
              <w:spacing w:after="240"/>
              <w:rPr>
                <w:lang w:eastAsia="zh-HK"/>
              </w:rPr>
            </w:pPr>
            <w:r w:rsidRPr="00A241F5">
              <w:rPr>
                <w:lang w:eastAsia="zh-HK"/>
              </w:rPr>
              <w:t>Report</w:t>
            </w:r>
          </w:p>
        </w:tc>
        <w:tc>
          <w:tcPr>
            <w:tcW w:w="5277" w:type="dxa"/>
          </w:tcPr>
          <w:p w14:paraId="1156D14F" w14:textId="77777777" w:rsidR="001238F2" w:rsidRPr="00A241F5" w:rsidRDefault="001238F2" w:rsidP="00AC7FE5">
            <w:pPr>
              <w:spacing w:after="240"/>
              <w:rPr>
                <w:lang w:eastAsia="zh-HK"/>
              </w:rPr>
            </w:pPr>
            <w:r w:rsidRPr="00A241F5">
              <w:rPr>
                <w:lang w:eastAsia="zh-HK"/>
              </w:rPr>
              <w:t>The Report on Outcome Related Fee Structures for Arbitration issued by the Sub-committee.</w:t>
            </w:r>
          </w:p>
        </w:tc>
      </w:tr>
      <w:tr w:rsidR="001238F2" w:rsidRPr="00A241F5" w14:paraId="182B2C33" w14:textId="77777777" w:rsidTr="00AC7FE5">
        <w:trPr>
          <w:trHeight w:val="753"/>
          <w:tblHeader/>
        </w:trPr>
        <w:tc>
          <w:tcPr>
            <w:tcW w:w="3831" w:type="dxa"/>
            <w:hideMark/>
          </w:tcPr>
          <w:p w14:paraId="3EDC2965" w14:textId="77777777" w:rsidR="001238F2" w:rsidRPr="00A241F5" w:rsidRDefault="001238F2" w:rsidP="00AC7FE5">
            <w:pPr>
              <w:spacing w:after="240"/>
              <w:rPr>
                <w:lang w:eastAsia="zh-HK"/>
              </w:rPr>
            </w:pPr>
            <w:r w:rsidRPr="00A241F5">
              <w:rPr>
                <w:lang w:eastAsia="zh-HK"/>
              </w:rPr>
              <w:t>Sub-committee</w:t>
            </w:r>
          </w:p>
        </w:tc>
        <w:tc>
          <w:tcPr>
            <w:tcW w:w="5277" w:type="dxa"/>
            <w:hideMark/>
          </w:tcPr>
          <w:p w14:paraId="1F2CE3C8" w14:textId="77777777" w:rsidR="001238F2" w:rsidRPr="00A241F5" w:rsidRDefault="001238F2" w:rsidP="00AC7FE5">
            <w:pPr>
              <w:spacing w:after="240"/>
              <w:rPr>
                <w:lang w:eastAsia="zh-HK"/>
              </w:rPr>
            </w:pPr>
            <w:r w:rsidRPr="00A241F5">
              <w:rPr>
                <w:lang w:eastAsia="zh-HK"/>
              </w:rPr>
              <w:t>Outcome Related Fee Structures for Arbitration Sub-committee of the LRC.</w:t>
            </w:r>
          </w:p>
        </w:tc>
      </w:tr>
      <w:tr w:rsidR="001238F2" w:rsidRPr="00A241F5" w14:paraId="7DF4771A" w14:textId="77777777" w:rsidTr="00AC7FE5">
        <w:trPr>
          <w:trHeight w:val="753"/>
          <w:tblHeader/>
        </w:trPr>
        <w:tc>
          <w:tcPr>
            <w:tcW w:w="3831" w:type="dxa"/>
            <w:hideMark/>
          </w:tcPr>
          <w:p w14:paraId="4B4B7160" w14:textId="77777777" w:rsidR="001238F2" w:rsidRPr="00A241F5" w:rsidRDefault="001238F2" w:rsidP="00AC7FE5">
            <w:pPr>
              <w:spacing w:after="240"/>
              <w:rPr>
                <w:lang w:eastAsia="zh-HK"/>
              </w:rPr>
            </w:pPr>
            <w:r w:rsidRPr="00A241F5">
              <w:rPr>
                <w:lang w:eastAsia="zh-HK"/>
              </w:rPr>
              <w:t>Success Fee</w:t>
            </w:r>
          </w:p>
        </w:tc>
        <w:tc>
          <w:tcPr>
            <w:tcW w:w="5277" w:type="dxa"/>
            <w:hideMark/>
          </w:tcPr>
          <w:p w14:paraId="28494957" w14:textId="77777777" w:rsidR="001238F2" w:rsidRPr="00A241F5" w:rsidRDefault="001238F2" w:rsidP="00AC7FE5">
            <w:pPr>
              <w:spacing w:after="240"/>
              <w:rPr>
                <w:lang w:eastAsia="zh-HK"/>
              </w:rPr>
            </w:pPr>
            <w:r w:rsidRPr="00A241F5">
              <w:rPr>
                <w:lang w:eastAsia="zh-HK"/>
              </w:rPr>
              <w:t>Additional fee in respect of the claim or Proceedings that the client agrees to pay the Lawyer in accordance with a CFA only in the event of a successful outcome for the client in the matter.</w:t>
            </w:r>
          </w:p>
          <w:p w14:paraId="1E8F63CD" w14:textId="41CDF7C2" w:rsidR="001238F2" w:rsidRPr="00A241F5" w:rsidRDefault="001238F2" w:rsidP="00DC7906">
            <w:pPr>
              <w:spacing w:after="240"/>
              <w:rPr>
                <w:rFonts w:eastAsiaTheme="minorEastAsia"/>
                <w:lang w:eastAsia="zh-HK"/>
              </w:rPr>
            </w:pPr>
            <w:r w:rsidRPr="00A241F5">
              <w:rPr>
                <w:lang w:eastAsia="zh-HK"/>
              </w:rPr>
              <w:t xml:space="preserve">The Success Fee can be an agreed flat fee, or calculated as a percentage </w:t>
            </w:r>
            <w:r w:rsidR="00C61F4B" w:rsidRPr="00A241F5">
              <w:rPr>
                <w:lang w:eastAsia="zh-HK"/>
              </w:rPr>
              <w:t>"</w:t>
            </w:r>
            <w:r w:rsidRPr="00A241F5">
              <w:rPr>
                <w:lang w:eastAsia="zh-HK"/>
              </w:rPr>
              <w:t>uplift</w:t>
            </w:r>
            <w:r w:rsidR="00C61F4B" w:rsidRPr="00A241F5">
              <w:rPr>
                <w:lang w:eastAsia="zh-HK"/>
              </w:rPr>
              <w:t>"</w:t>
            </w:r>
            <w:r w:rsidRPr="00A241F5">
              <w:rPr>
                <w:lang w:eastAsia="zh-HK"/>
              </w:rPr>
              <w:t xml:space="preserve"> on the fee that the Lawyer would have charged if there were no ORFS in place during the course of the Proceedings.</w:t>
            </w:r>
          </w:p>
        </w:tc>
      </w:tr>
      <w:tr w:rsidR="001238F2" w:rsidRPr="00A241F5" w14:paraId="22BD28C3" w14:textId="77777777" w:rsidTr="00AC7FE5">
        <w:trPr>
          <w:trHeight w:val="753"/>
          <w:tblHeader/>
        </w:trPr>
        <w:tc>
          <w:tcPr>
            <w:tcW w:w="3831" w:type="dxa"/>
            <w:hideMark/>
          </w:tcPr>
          <w:p w14:paraId="268A132A" w14:textId="77777777" w:rsidR="001238F2" w:rsidRPr="00A241F5" w:rsidRDefault="001238F2" w:rsidP="00AC7FE5">
            <w:pPr>
              <w:spacing w:after="240"/>
              <w:rPr>
                <w:lang w:eastAsia="zh-HK"/>
              </w:rPr>
            </w:pPr>
            <w:r w:rsidRPr="00A241F5">
              <w:rPr>
                <w:lang w:eastAsia="zh-HK"/>
              </w:rPr>
              <w:t>Success fee model</w:t>
            </w:r>
          </w:p>
        </w:tc>
        <w:tc>
          <w:tcPr>
            <w:tcW w:w="5277" w:type="dxa"/>
            <w:hideMark/>
          </w:tcPr>
          <w:p w14:paraId="1A0DE955" w14:textId="77777777" w:rsidR="001238F2" w:rsidRPr="00A241F5" w:rsidRDefault="001238F2" w:rsidP="00AC7FE5">
            <w:pPr>
              <w:spacing w:after="240"/>
              <w:rPr>
                <w:lang w:eastAsia="zh-HK"/>
              </w:rPr>
            </w:pPr>
            <w:r w:rsidRPr="00A241F5">
              <w:rPr>
                <w:lang w:eastAsia="zh-HK"/>
              </w:rPr>
              <w:t xml:space="preserve">The damages-based fee regime proposed in the 2019 DBA Reform Project in England and Wales, whereby costs recovered from the opponent are outside of, and additional to, the DBA Payment. </w:t>
            </w:r>
          </w:p>
        </w:tc>
      </w:tr>
      <w:tr w:rsidR="001238F2" w:rsidRPr="00A241F5" w14:paraId="70C3E2E4" w14:textId="77777777" w:rsidTr="00AC7FE5">
        <w:trPr>
          <w:trHeight w:val="753"/>
          <w:tblHeader/>
        </w:trPr>
        <w:tc>
          <w:tcPr>
            <w:tcW w:w="3831" w:type="dxa"/>
          </w:tcPr>
          <w:p w14:paraId="4DD1943C" w14:textId="77777777" w:rsidR="001238F2" w:rsidRPr="00A241F5" w:rsidRDefault="001238F2" w:rsidP="00AC7FE5">
            <w:pPr>
              <w:spacing w:after="240"/>
              <w:rPr>
                <w:lang w:eastAsia="zh-HK"/>
              </w:rPr>
            </w:pPr>
            <w:r w:rsidRPr="00A241F5">
              <w:rPr>
                <w:lang w:eastAsia="zh-HK"/>
              </w:rPr>
              <w:t>Success Fee premium</w:t>
            </w:r>
          </w:p>
        </w:tc>
        <w:tc>
          <w:tcPr>
            <w:tcW w:w="5277" w:type="dxa"/>
          </w:tcPr>
          <w:p w14:paraId="7C30A200" w14:textId="4C061AB0" w:rsidR="001238F2" w:rsidRPr="00A241F5" w:rsidRDefault="001238F2" w:rsidP="00DC7906">
            <w:pPr>
              <w:spacing w:after="240"/>
              <w:rPr>
                <w:lang w:eastAsia="zh-HK"/>
              </w:rPr>
            </w:pPr>
            <w:r w:rsidRPr="00A241F5">
              <w:rPr>
                <w:lang w:eastAsia="zh-HK"/>
              </w:rPr>
              <w:t>Portion of the Success Fee which exceeds the amount of fees which would be payable to the Lawyer if there were no ORFS in place.</w:t>
            </w:r>
          </w:p>
        </w:tc>
      </w:tr>
      <w:tr w:rsidR="001238F2" w:rsidRPr="00A241F5" w14:paraId="4232BFE6" w14:textId="77777777" w:rsidTr="003A6D3A">
        <w:trPr>
          <w:trHeight w:val="450"/>
          <w:tblHeader/>
        </w:trPr>
        <w:tc>
          <w:tcPr>
            <w:tcW w:w="3831" w:type="dxa"/>
            <w:hideMark/>
          </w:tcPr>
          <w:p w14:paraId="25E43FA3" w14:textId="77777777" w:rsidR="001238F2" w:rsidRPr="00A241F5" w:rsidRDefault="001238F2" w:rsidP="00AC7FE5">
            <w:pPr>
              <w:spacing w:after="240"/>
              <w:rPr>
                <w:lang w:eastAsia="zh-HK"/>
              </w:rPr>
            </w:pPr>
            <w:r w:rsidRPr="00A241F5">
              <w:rPr>
                <w:lang w:eastAsia="zh-HK"/>
              </w:rPr>
              <w:lastRenderedPageBreak/>
              <w:t>Third Party Funder</w:t>
            </w:r>
          </w:p>
        </w:tc>
        <w:tc>
          <w:tcPr>
            <w:tcW w:w="5277" w:type="dxa"/>
            <w:hideMark/>
          </w:tcPr>
          <w:p w14:paraId="406A1EF7" w14:textId="77777777" w:rsidR="001238F2" w:rsidRPr="00A241F5" w:rsidRDefault="001238F2" w:rsidP="00AC7FE5">
            <w:pPr>
              <w:spacing w:after="240"/>
              <w:rPr>
                <w:lang w:eastAsia="zh-HK"/>
              </w:rPr>
            </w:pPr>
            <w:r w:rsidRPr="00A241F5">
              <w:rPr>
                <w:lang w:eastAsia="zh-HK"/>
              </w:rPr>
              <w:t>A provider of Third Party Funding.</w:t>
            </w:r>
          </w:p>
        </w:tc>
      </w:tr>
      <w:tr w:rsidR="001238F2" w:rsidRPr="00A241F5" w14:paraId="42C07D5A" w14:textId="77777777" w:rsidTr="00AC7FE5">
        <w:trPr>
          <w:trHeight w:val="753"/>
          <w:tblHeader/>
        </w:trPr>
        <w:tc>
          <w:tcPr>
            <w:tcW w:w="3831" w:type="dxa"/>
            <w:hideMark/>
          </w:tcPr>
          <w:p w14:paraId="2FF8B00D" w14:textId="77777777" w:rsidR="001238F2" w:rsidRPr="00A241F5" w:rsidRDefault="001238F2" w:rsidP="00AC7FE5">
            <w:pPr>
              <w:spacing w:after="240"/>
              <w:rPr>
                <w:lang w:eastAsia="zh-HK"/>
              </w:rPr>
            </w:pPr>
            <w:r w:rsidRPr="00A241F5">
              <w:rPr>
                <w:lang w:eastAsia="zh-HK"/>
              </w:rPr>
              <w:t xml:space="preserve">Third Party Funding </w:t>
            </w:r>
          </w:p>
        </w:tc>
        <w:tc>
          <w:tcPr>
            <w:tcW w:w="5277" w:type="dxa"/>
            <w:hideMark/>
          </w:tcPr>
          <w:p w14:paraId="72869FDD" w14:textId="77777777" w:rsidR="001238F2" w:rsidRPr="00A241F5" w:rsidRDefault="001238F2" w:rsidP="00AC7FE5">
            <w:pPr>
              <w:spacing w:after="240"/>
              <w:rPr>
                <w:lang w:eastAsia="zh-HK"/>
              </w:rPr>
            </w:pPr>
            <w:r w:rsidRPr="00A241F5">
              <w:rPr>
                <w:lang w:eastAsia="zh-HK"/>
              </w:rPr>
              <w:t xml:space="preserve">The provision of funding for an Arbitration within the meaning of section 98G of the Arbitration Ordinance, ie: </w:t>
            </w:r>
          </w:p>
          <w:p w14:paraId="31AFC384" w14:textId="77777777" w:rsidR="001238F2" w:rsidRPr="00A241F5" w:rsidRDefault="001238F2" w:rsidP="00590977">
            <w:pPr>
              <w:tabs>
                <w:tab w:val="clear" w:pos="1418"/>
                <w:tab w:val="left" w:pos="833"/>
              </w:tabs>
              <w:spacing w:after="240"/>
              <w:rPr>
                <w:lang w:eastAsia="zh-HK"/>
              </w:rPr>
            </w:pPr>
            <w:r w:rsidRPr="00A241F5">
              <w:rPr>
                <w:lang w:eastAsia="zh-HK"/>
              </w:rPr>
              <w:t xml:space="preserve">(a)  </w:t>
            </w:r>
            <w:r w:rsidRPr="00A241F5">
              <w:rPr>
                <w:lang w:eastAsia="zh-HK"/>
              </w:rPr>
              <w:tab/>
              <w:t>under a funding agreement;</w:t>
            </w:r>
          </w:p>
          <w:p w14:paraId="3EEC7DE3" w14:textId="77777777" w:rsidR="001238F2" w:rsidRPr="00A241F5" w:rsidRDefault="001238F2" w:rsidP="00590977">
            <w:pPr>
              <w:tabs>
                <w:tab w:val="clear" w:pos="1418"/>
                <w:tab w:val="left" w:pos="833"/>
              </w:tabs>
              <w:spacing w:after="240"/>
              <w:rPr>
                <w:lang w:eastAsia="zh-HK"/>
              </w:rPr>
            </w:pPr>
            <w:r w:rsidRPr="00A241F5">
              <w:rPr>
                <w:lang w:eastAsia="zh-HK"/>
              </w:rPr>
              <w:t xml:space="preserve">(b)  </w:t>
            </w:r>
            <w:r w:rsidRPr="00A241F5">
              <w:rPr>
                <w:lang w:eastAsia="zh-HK"/>
              </w:rPr>
              <w:tab/>
              <w:t>to a funded party;</w:t>
            </w:r>
          </w:p>
          <w:p w14:paraId="11A64CA0" w14:textId="77777777" w:rsidR="001238F2" w:rsidRPr="00A241F5" w:rsidRDefault="001238F2" w:rsidP="00590977">
            <w:pPr>
              <w:tabs>
                <w:tab w:val="clear" w:pos="1418"/>
                <w:tab w:val="left" w:pos="833"/>
              </w:tabs>
              <w:spacing w:after="240"/>
              <w:rPr>
                <w:lang w:eastAsia="zh-HK"/>
              </w:rPr>
            </w:pPr>
            <w:r w:rsidRPr="00A241F5">
              <w:rPr>
                <w:lang w:eastAsia="zh-HK"/>
              </w:rPr>
              <w:t xml:space="preserve">(c)  </w:t>
            </w:r>
            <w:r w:rsidRPr="00A241F5">
              <w:rPr>
                <w:lang w:eastAsia="zh-HK"/>
              </w:rPr>
              <w:tab/>
              <w:t>by a Third Party Funder; and</w:t>
            </w:r>
          </w:p>
          <w:p w14:paraId="33D663D4" w14:textId="213ABA2A" w:rsidR="001238F2" w:rsidRPr="00A241F5" w:rsidRDefault="001238F2" w:rsidP="00590977">
            <w:pPr>
              <w:tabs>
                <w:tab w:val="clear" w:pos="1418"/>
                <w:tab w:val="left" w:pos="833"/>
              </w:tabs>
              <w:spacing w:after="240"/>
              <w:ind w:left="833" w:hanging="833"/>
              <w:rPr>
                <w:lang w:eastAsia="zh-HK"/>
              </w:rPr>
            </w:pPr>
            <w:r w:rsidRPr="00A241F5">
              <w:rPr>
                <w:lang w:eastAsia="zh-HK"/>
              </w:rPr>
              <w:t xml:space="preserve">(d) </w:t>
            </w:r>
            <w:r w:rsidR="00161845" w:rsidRPr="00A241F5">
              <w:rPr>
                <w:lang w:eastAsia="zh-HK"/>
              </w:rPr>
              <w:t xml:space="preserve"> </w:t>
            </w:r>
            <w:r w:rsidR="00161845" w:rsidRPr="00A241F5">
              <w:rPr>
                <w:lang w:eastAsia="zh-HK"/>
              </w:rPr>
              <w:tab/>
            </w:r>
            <w:r w:rsidRPr="00A241F5">
              <w:rPr>
                <w:lang w:eastAsia="zh-HK"/>
              </w:rPr>
              <w:t xml:space="preserve">in return for the Third Party Funder receiving a financial benefit only if the Arbitration is successful within the meaning of the funding agreement in circumstances where the Third Party Funder has no other interest in the Arbitration. </w:t>
            </w:r>
          </w:p>
        </w:tc>
      </w:tr>
      <w:tr w:rsidR="001238F2" w:rsidRPr="00A241F5" w14:paraId="2A09CEB9" w14:textId="77777777" w:rsidTr="00AC7FE5">
        <w:trPr>
          <w:trHeight w:val="753"/>
          <w:tblHeader/>
        </w:trPr>
        <w:tc>
          <w:tcPr>
            <w:tcW w:w="3831" w:type="dxa"/>
            <w:hideMark/>
          </w:tcPr>
          <w:p w14:paraId="6D95CE84" w14:textId="77777777" w:rsidR="001238F2" w:rsidRPr="00A241F5" w:rsidRDefault="001238F2" w:rsidP="00AC7FE5">
            <w:pPr>
              <w:spacing w:after="240"/>
              <w:rPr>
                <w:lang w:eastAsia="zh-HK"/>
              </w:rPr>
            </w:pPr>
            <w:r w:rsidRPr="00A241F5">
              <w:rPr>
                <w:lang w:eastAsia="zh-HK"/>
              </w:rPr>
              <w:t>Tribunal</w:t>
            </w:r>
          </w:p>
        </w:tc>
        <w:tc>
          <w:tcPr>
            <w:tcW w:w="5277" w:type="dxa"/>
            <w:hideMark/>
          </w:tcPr>
          <w:p w14:paraId="2720A294" w14:textId="1CEB031E" w:rsidR="001238F2" w:rsidRPr="00A241F5" w:rsidRDefault="001238F2" w:rsidP="003B7E65">
            <w:pPr>
              <w:tabs>
                <w:tab w:val="clear" w:pos="1418"/>
              </w:tabs>
              <w:spacing w:after="240"/>
              <w:rPr>
                <w:lang w:eastAsia="zh-HK"/>
              </w:rPr>
            </w:pPr>
            <w:r w:rsidRPr="00A241F5">
              <w:rPr>
                <w:lang w:eastAsia="zh-HK"/>
              </w:rPr>
              <w:t>An arbitral tribunal, consisting of a sole arbitrator or a panel of arbitrator(s)</w:t>
            </w:r>
            <w:r w:rsidR="003B7E65" w:rsidRPr="00A241F5">
              <w:rPr>
                <w:lang w:eastAsia="zh-HK"/>
              </w:rPr>
              <w:t>,</w:t>
            </w:r>
            <w:r w:rsidRPr="00A241F5">
              <w:rPr>
                <w:lang w:eastAsia="zh-HK"/>
              </w:rPr>
              <w:t xml:space="preserve"> </w:t>
            </w:r>
            <w:r w:rsidR="003B7E65" w:rsidRPr="00A241F5">
              <w:rPr>
                <w:lang w:eastAsia="zh-HK"/>
              </w:rPr>
              <w:t xml:space="preserve">and </w:t>
            </w:r>
            <w:r w:rsidRPr="00A241F5">
              <w:rPr>
                <w:lang w:eastAsia="zh-HK"/>
              </w:rPr>
              <w:t xml:space="preserve">includes an umpire, established by the agreement of the parties to finally resolve disputes or differences by arbitration. </w:t>
            </w:r>
          </w:p>
        </w:tc>
      </w:tr>
    </w:tbl>
    <w:p w14:paraId="554C6992" w14:textId="77777777" w:rsidR="001238F2" w:rsidRPr="00A241F5" w:rsidRDefault="001238F2" w:rsidP="001238F2"/>
    <w:p w14:paraId="6F7AE220" w14:textId="77777777" w:rsidR="001238F2" w:rsidRPr="00A241F5" w:rsidRDefault="001238F2" w:rsidP="001238F2">
      <w:pPr>
        <w:widowControl/>
        <w:spacing w:after="240"/>
        <w:ind w:left="3240" w:hanging="3240"/>
        <w:sectPr w:rsidR="001238F2" w:rsidRPr="00A241F5" w:rsidSect="00AC7FE5">
          <w:footerReference w:type="default" r:id="rId15"/>
          <w:footnotePr>
            <w:numRestart w:val="eachSect"/>
          </w:footnotePr>
          <w:pgSz w:w="11909" w:h="16834" w:code="9"/>
          <w:pgMar w:top="1440" w:right="1800" w:bottom="1440" w:left="1800" w:header="720" w:footer="720" w:gutter="0"/>
          <w:pgNumType w:start="1"/>
          <w:cols w:space="425"/>
          <w:docGrid w:linePitch="360"/>
        </w:sectPr>
      </w:pPr>
    </w:p>
    <w:p w14:paraId="5841C887" w14:textId="77777777" w:rsidR="001238F2" w:rsidRPr="00A241F5" w:rsidRDefault="001238F2" w:rsidP="001238F2">
      <w:pPr>
        <w:pStyle w:val="Heading1"/>
        <w:widowControl/>
        <w:rPr>
          <w:sz w:val="32"/>
          <w:szCs w:val="32"/>
        </w:rPr>
      </w:pPr>
      <w:bookmarkStart w:id="5" w:name="Chapter01"/>
      <w:bookmarkStart w:id="6" w:name="_Toc459105977"/>
      <w:bookmarkStart w:id="7" w:name="_Toc460249201"/>
      <w:bookmarkEnd w:id="5"/>
      <w:r w:rsidRPr="00A241F5">
        <w:rPr>
          <w:sz w:val="32"/>
          <w:szCs w:val="32"/>
        </w:rPr>
        <w:lastRenderedPageBreak/>
        <w:t>Chapter 1</w:t>
      </w:r>
    </w:p>
    <w:p w14:paraId="6EB6DA40" w14:textId="77777777" w:rsidR="001238F2" w:rsidRPr="00A241F5" w:rsidRDefault="001238F2" w:rsidP="001238F2"/>
    <w:bookmarkEnd w:id="6"/>
    <w:bookmarkEnd w:id="7"/>
    <w:p w14:paraId="77DFC913" w14:textId="77777777" w:rsidR="001238F2" w:rsidRPr="00A241F5" w:rsidRDefault="001238F2" w:rsidP="001238F2">
      <w:pPr>
        <w:pStyle w:val="Heading1"/>
        <w:widowControl/>
        <w:rPr>
          <w:sz w:val="32"/>
          <w:szCs w:val="32"/>
        </w:rPr>
      </w:pPr>
      <w:r w:rsidRPr="00A241F5">
        <w:rPr>
          <w:sz w:val="32"/>
          <w:szCs w:val="32"/>
        </w:rPr>
        <w:t>Introduction</w:t>
      </w:r>
    </w:p>
    <w:p w14:paraId="5F31D99B" w14:textId="77777777" w:rsidR="001238F2" w:rsidRPr="00A241F5" w:rsidRDefault="001238F2" w:rsidP="001238F2">
      <w:r w:rsidRPr="00A241F5">
        <w:t>______________</w:t>
      </w:r>
    </w:p>
    <w:p w14:paraId="16760B51" w14:textId="77777777" w:rsidR="001238F2" w:rsidRPr="00A241F5" w:rsidRDefault="001238F2" w:rsidP="001238F2"/>
    <w:p w14:paraId="499CED81" w14:textId="77777777" w:rsidR="001238F2" w:rsidRPr="00A241F5" w:rsidRDefault="001238F2" w:rsidP="001238F2"/>
    <w:p w14:paraId="245047DB" w14:textId="77777777" w:rsidR="001238F2" w:rsidRPr="00A241F5" w:rsidRDefault="001238F2" w:rsidP="001238F2"/>
    <w:p w14:paraId="36E155CE" w14:textId="37459282" w:rsidR="001238F2" w:rsidRPr="00A241F5" w:rsidRDefault="001238F2" w:rsidP="001238F2">
      <w:pPr>
        <w:widowControl/>
      </w:pPr>
      <w:r w:rsidRPr="00A241F5">
        <w:t>1.1</w:t>
      </w:r>
      <w:r w:rsidRPr="00A241F5">
        <w:tab/>
        <w:t>This report (</w:t>
      </w:r>
      <w:r w:rsidR="00C61F4B" w:rsidRPr="00A241F5">
        <w:t>"</w:t>
      </w:r>
      <w:r w:rsidRPr="00A241F5">
        <w:rPr>
          <w:b/>
        </w:rPr>
        <w:t>Report</w:t>
      </w:r>
      <w:r w:rsidR="00C61F4B" w:rsidRPr="00A241F5">
        <w:t>"</w:t>
      </w:r>
      <w:r w:rsidRPr="00A241F5">
        <w:t>) discusses the responses received to the consultation paper issued by the Law Reform Commission</w:t>
      </w:r>
      <w:r w:rsidR="00C61F4B" w:rsidRPr="00A241F5">
        <w:t>'</w:t>
      </w:r>
      <w:r w:rsidRPr="00A241F5">
        <w:t>s Outcome Related Fee Structures for Arbitration Sub-committee (</w:t>
      </w:r>
      <w:r w:rsidR="00C61F4B" w:rsidRPr="00A241F5">
        <w:t>"</w:t>
      </w:r>
      <w:r w:rsidRPr="00A241F5">
        <w:rPr>
          <w:b/>
        </w:rPr>
        <w:t>Sub-committee</w:t>
      </w:r>
      <w:r w:rsidR="00C61F4B" w:rsidRPr="00A241F5">
        <w:t>"</w:t>
      </w:r>
      <w:r w:rsidRPr="00A241F5">
        <w:t>) in December 2020 (</w:t>
      </w:r>
      <w:r w:rsidR="00C61F4B" w:rsidRPr="00A241F5">
        <w:t>"</w:t>
      </w:r>
      <w:r w:rsidRPr="00A241F5">
        <w:rPr>
          <w:b/>
        </w:rPr>
        <w:t>Consultation Pape</w:t>
      </w:r>
      <w:r w:rsidRPr="00A241F5">
        <w:t>r</w:t>
      </w:r>
      <w:r w:rsidR="00C61F4B" w:rsidRPr="00A241F5">
        <w:t>"</w:t>
      </w:r>
      <w:r w:rsidRPr="00A241F5">
        <w:t>),</w:t>
      </w:r>
      <w:r w:rsidRPr="00A241F5">
        <w:rPr>
          <w:rStyle w:val="FootnoteReference"/>
          <w:sz w:val="24"/>
        </w:rPr>
        <w:footnoteReference w:id="1"/>
      </w:r>
      <w:r w:rsidRPr="00A241F5">
        <w:t xml:space="preserve"> and sets out our analysis and final recommendations on </w:t>
      </w:r>
      <w:r w:rsidR="00E13EAD" w:rsidRPr="00A241F5">
        <w:t>o</w:t>
      </w:r>
      <w:r w:rsidRPr="00A241F5">
        <w:t xml:space="preserve">utcome </w:t>
      </w:r>
      <w:r w:rsidR="00E13EAD" w:rsidRPr="00A241F5">
        <w:t>r</w:t>
      </w:r>
      <w:r w:rsidRPr="00A241F5">
        <w:t xml:space="preserve">elated </w:t>
      </w:r>
      <w:r w:rsidR="00E13EAD" w:rsidRPr="00A241F5">
        <w:t>f</w:t>
      </w:r>
      <w:r w:rsidRPr="00A241F5">
        <w:t xml:space="preserve">ee </w:t>
      </w:r>
      <w:r w:rsidR="00E13EAD" w:rsidRPr="00A241F5">
        <w:t>s</w:t>
      </w:r>
      <w:r w:rsidRPr="00A241F5">
        <w:t>tructures for Arbitration</w:t>
      </w:r>
      <w:r w:rsidR="00E13EAD" w:rsidRPr="00A241F5">
        <w:rPr>
          <w:rStyle w:val="FootnoteReference"/>
          <w:sz w:val="24"/>
        </w:rPr>
        <w:footnoteReference w:id="2"/>
      </w:r>
      <w:r w:rsidRPr="00A241F5">
        <w:t xml:space="preserve"> and related matters.  </w:t>
      </w:r>
    </w:p>
    <w:p w14:paraId="7DA590FB" w14:textId="77777777" w:rsidR="001238F2" w:rsidRPr="00A241F5" w:rsidRDefault="001238F2" w:rsidP="001238F2">
      <w:pPr>
        <w:widowControl/>
      </w:pPr>
    </w:p>
    <w:p w14:paraId="53B7E285" w14:textId="6EB53BB1" w:rsidR="001238F2" w:rsidRPr="00A241F5" w:rsidRDefault="001238F2" w:rsidP="001238F2">
      <w:pPr>
        <w:widowControl/>
      </w:pPr>
      <w:r w:rsidRPr="00A241F5">
        <w:t>1.2</w:t>
      </w:r>
      <w:r w:rsidRPr="00A241F5">
        <w:tab/>
        <w:t xml:space="preserve">The Report includes a set of draft provisions to amend the </w:t>
      </w:r>
      <w:r w:rsidR="00C10E10" w:rsidRPr="00A241F5">
        <w:t>Legal Practitioners Ordinance (Cap 159) (</w:t>
      </w:r>
      <w:r w:rsidR="00C61F4B" w:rsidRPr="00A241F5">
        <w:t>"</w:t>
      </w:r>
      <w:r w:rsidR="00C10E10" w:rsidRPr="00A241F5">
        <w:rPr>
          <w:b/>
        </w:rPr>
        <w:t>Legal Practitioners Ordinance</w:t>
      </w:r>
      <w:r w:rsidR="00C61F4B" w:rsidRPr="00A241F5">
        <w:t>"</w:t>
      </w:r>
      <w:r w:rsidR="00C10E10" w:rsidRPr="00A241F5">
        <w:t xml:space="preserve">) </w:t>
      </w:r>
      <w:r w:rsidRPr="00A241F5">
        <w:t xml:space="preserve">and the </w:t>
      </w:r>
      <w:r w:rsidR="00C10E10" w:rsidRPr="00A241F5">
        <w:t>Arbitration Ordinance (Cap 609) (</w:t>
      </w:r>
      <w:r w:rsidR="00C61F4B" w:rsidRPr="00A241F5">
        <w:t>"</w:t>
      </w:r>
      <w:r w:rsidR="00C10E10" w:rsidRPr="00A241F5">
        <w:rPr>
          <w:b/>
        </w:rPr>
        <w:t>Arbitration Ordinance</w:t>
      </w:r>
      <w:r w:rsidR="00C61F4B" w:rsidRPr="00A241F5">
        <w:t>"</w:t>
      </w:r>
      <w:r w:rsidR="00C10E10" w:rsidRPr="00A241F5">
        <w:t xml:space="preserve">) </w:t>
      </w:r>
      <w:r w:rsidRPr="00A241F5">
        <w:t>of Hong Kong, as well as recommended safeguards to be included in related subsidiary legislation.  These are attached respectively at Annexes 1 and 2 to the Report.</w:t>
      </w:r>
      <w:r w:rsidRPr="00A241F5">
        <w:rPr>
          <w:vertAlign w:val="superscript"/>
        </w:rPr>
        <w:footnoteReference w:id="3"/>
      </w:r>
    </w:p>
    <w:p w14:paraId="5079F38A" w14:textId="77777777" w:rsidR="001238F2" w:rsidRPr="00A241F5" w:rsidRDefault="001238F2" w:rsidP="001238F2">
      <w:pPr>
        <w:widowControl/>
        <w:rPr>
          <w:lang w:eastAsia="x-none"/>
        </w:rPr>
      </w:pPr>
    </w:p>
    <w:p w14:paraId="4BB820A8" w14:textId="77777777" w:rsidR="00C10E10" w:rsidRPr="00A241F5" w:rsidRDefault="00C10E10" w:rsidP="001238F2">
      <w:pPr>
        <w:widowControl/>
        <w:rPr>
          <w:lang w:eastAsia="x-none"/>
        </w:rPr>
      </w:pPr>
    </w:p>
    <w:p w14:paraId="75269CE9" w14:textId="77777777" w:rsidR="001238F2" w:rsidRPr="00A241F5" w:rsidRDefault="001238F2" w:rsidP="001238F2">
      <w:pPr>
        <w:widowControl/>
        <w:rPr>
          <w:b/>
          <w:sz w:val="28"/>
          <w:szCs w:val="28"/>
          <w:lang w:eastAsia="x-none"/>
        </w:rPr>
      </w:pPr>
      <w:r w:rsidRPr="00A241F5">
        <w:rPr>
          <w:b/>
          <w:sz w:val="28"/>
          <w:szCs w:val="28"/>
          <w:lang w:eastAsia="x-none"/>
        </w:rPr>
        <w:t>Background</w:t>
      </w:r>
    </w:p>
    <w:p w14:paraId="655E957F" w14:textId="77777777" w:rsidR="001238F2" w:rsidRPr="00A241F5" w:rsidRDefault="001238F2" w:rsidP="001238F2">
      <w:pPr>
        <w:widowControl/>
        <w:rPr>
          <w:lang w:eastAsia="x-none"/>
        </w:rPr>
      </w:pPr>
    </w:p>
    <w:p w14:paraId="789A16E7" w14:textId="77777777" w:rsidR="001238F2" w:rsidRPr="00A241F5" w:rsidRDefault="001238F2" w:rsidP="001238F2">
      <w:pPr>
        <w:widowControl/>
        <w:rPr>
          <w:b/>
          <w:i/>
          <w:lang w:eastAsia="x-none"/>
        </w:rPr>
      </w:pPr>
      <w:r w:rsidRPr="00A241F5">
        <w:rPr>
          <w:b/>
          <w:i/>
          <w:lang w:eastAsia="x-none"/>
        </w:rPr>
        <w:t>What are Outcome Related Fee Structures?</w:t>
      </w:r>
    </w:p>
    <w:p w14:paraId="4A6DA017" w14:textId="77777777" w:rsidR="001238F2" w:rsidRPr="00A241F5" w:rsidRDefault="001238F2" w:rsidP="001238F2">
      <w:pPr>
        <w:widowControl/>
        <w:rPr>
          <w:b/>
          <w:i/>
          <w:lang w:eastAsia="x-none"/>
        </w:rPr>
      </w:pPr>
    </w:p>
    <w:p w14:paraId="6AA37C14" w14:textId="5DDBCFB0" w:rsidR="001238F2" w:rsidRPr="00A241F5" w:rsidRDefault="001238F2" w:rsidP="001238F2">
      <w:pPr>
        <w:widowControl/>
        <w:tabs>
          <w:tab w:val="clear" w:pos="1418"/>
          <w:tab w:val="left" w:pos="1440"/>
        </w:tabs>
      </w:pPr>
      <w:r w:rsidRPr="00A241F5">
        <w:t>1.3</w:t>
      </w:r>
      <w:r w:rsidRPr="00A241F5">
        <w:tab/>
        <w:t>For the purposes of this Report, an outcome related fee structure (</w:t>
      </w:r>
      <w:r w:rsidR="00C61F4B" w:rsidRPr="00A241F5">
        <w:t>"</w:t>
      </w:r>
      <w:r w:rsidRPr="00A241F5">
        <w:rPr>
          <w:b/>
        </w:rPr>
        <w:t>ORFS</w:t>
      </w:r>
      <w:r w:rsidR="00C61F4B" w:rsidRPr="00A241F5">
        <w:t>"</w:t>
      </w:r>
      <w:r w:rsidRPr="00A241F5">
        <w:t>) means any of the following agreements made between a Lawyer</w:t>
      </w:r>
      <w:r w:rsidRPr="00A241F5">
        <w:rPr>
          <w:rStyle w:val="FootnoteReference"/>
          <w:sz w:val="24"/>
        </w:rPr>
        <w:footnoteReference w:id="4"/>
      </w:r>
      <w:r w:rsidRPr="00A241F5">
        <w:t xml:space="preserve"> and client: conditional fee agreements (</w:t>
      </w:r>
      <w:r w:rsidR="00C61F4B" w:rsidRPr="00A241F5">
        <w:t>"</w:t>
      </w:r>
      <w:r w:rsidRPr="00A241F5">
        <w:rPr>
          <w:b/>
        </w:rPr>
        <w:t>CFAs</w:t>
      </w:r>
      <w:r w:rsidR="00C61F4B" w:rsidRPr="00A241F5">
        <w:t>"</w:t>
      </w:r>
      <w:r w:rsidRPr="00A241F5">
        <w:t>), damages-based agreements (</w:t>
      </w:r>
      <w:r w:rsidR="00C61F4B" w:rsidRPr="00A241F5">
        <w:t>"</w:t>
      </w:r>
      <w:r w:rsidRPr="00A241F5">
        <w:rPr>
          <w:b/>
        </w:rPr>
        <w:t>DBAs</w:t>
      </w:r>
      <w:r w:rsidR="00C61F4B" w:rsidRPr="00A241F5">
        <w:t>"</w:t>
      </w:r>
      <w:r w:rsidRPr="00A241F5">
        <w:t>) and hybrid damages-based agreements (</w:t>
      </w:r>
      <w:r w:rsidR="00C61F4B" w:rsidRPr="00A241F5">
        <w:t>"</w:t>
      </w:r>
      <w:r w:rsidRPr="00A241F5">
        <w:rPr>
          <w:b/>
        </w:rPr>
        <w:t>Hybrid DBAs</w:t>
      </w:r>
      <w:r w:rsidR="00C61F4B" w:rsidRPr="00A241F5">
        <w:t>"</w:t>
      </w:r>
      <w:r w:rsidRPr="00A241F5">
        <w:t xml:space="preserve">).  </w:t>
      </w:r>
    </w:p>
    <w:p w14:paraId="1CDBF06C" w14:textId="77777777" w:rsidR="001238F2" w:rsidRPr="00A241F5" w:rsidRDefault="001238F2" w:rsidP="001238F2">
      <w:pPr>
        <w:widowControl/>
        <w:tabs>
          <w:tab w:val="clear" w:pos="1418"/>
          <w:tab w:val="left" w:pos="1440"/>
        </w:tabs>
      </w:pPr>
    </w:p>
    <w:p w14:paraId="3CA31AF4" w14:textId="2B135495" w:rsidR="001238F2" w:rsidRPr="00A241F5" w:rsidRDefault="001238F2" w:rsidP="001238F2">
      <w:pPr>
        <w:widowControl/>
        <w:tabs>
          <w:tab w:val="clear" w:pos="1418"/>
          <w:tab w:val="left" w:pos="1440"/>
        </w:tabs>
      </w:pPr>
      <w:r w:rsidRPr="00A241F5">
        <w:t>1.4</w:t>
      </w:r>
      <w:r w:rsidRPr="00A241F5">
        <w:tab/>
        <w:t xml:space="preserve">A CFA is an agreement pursuant to which a Lawyer agrees with </w:t>
      </w:r>
      <w:r w:rsidR="00352C5C" w:rsidRPr="00A241F5">
        <w:t xml:space="preserve">the </w:t>
      </w:r>
      <w:r w:rsidRPr="00A241F5">
        <w:t xml:space="preserve">client to be paid a Success Fee which is an additional fee to be paid </w:t>
      </w:r>
      <w:r w:rsidRPr="00A241F5">
        <w:rPr>
          <w:lang w:eastAsia="zh-HK"/>
        </w:rPr>
        <w:t xml:space="preserve">only in the event of a successful outcome for the client in the matter.  </w:t>
      </w:r>
      <w:r w:rsidRPr="00A241F5">
        <w:t xml:space="preserve">Relevantly, the Success Fee is not calculated as a proportion of the amount awarded to or recovered by the client.  Instead, the client agrees to pay an additional fee which is an agreed flat fee or is pegged to the </w:t>
      </w:r>
      <w:r w:rsidR="00C61F4B" w:rsidRPr="00A241F5">
        <w:t>"</w:t>
      </w:r>
      <w:r w:rsidRPr="00A241F5">
        <w:t>benchmark</w:t>
      </w:r>
      <w:r w:rsidR="00C61F4B" w:rsidRPr="00A241F5">
        <w:t>"</w:t>
      </w:r>
      <w:r w:rsidRPr="00A241F5">
        <w:t xml:space="preserve"> rates or fees that the Lawyer would have charged, if there were no ORFS in place during the course of the litigation or arbitration proceedings (</w:t>
      </w:r>
      <w:r w:rsidR="00C61F4B" w:rsidRPr="00A241F5">
        <w:t>"</w:t>
      </w:r>
      <w:r w:rsidRPr="00A241F5">
        <w:rPr>
          <w:b/>
        </w:rPr>
        <w:t>Proceedings</w:t>
      </w:r>
      <w:r w:rsidR="00C61F4B" w:rsidRPr="00A241F5">
        <w:t>"</w:t>
      </w:r>
      <w:r w:rsidRPr="00A241F5">
        <w:t xml:space="preserve">). </w:t>
      </w:r>
    </w:p>
    <w:p w14:paraId="584DD390" w14:textId="77777777" w:rsidR="001238F2" w:rsidRPr="00A241F5" w:rsidRDefault="001238F2" w:rsidP="001238F2">
      <w:pPr>
        <w:widowControl/>
        <w:tabs>
          <w:tab w:val="clear" w:pos="1418"/>
          <w:tab w:val="left" w:pos="1440"/>
        </w:tabs>
      </w:pPr>
    </w:p>
    <w:p w14:paraId="3CBA1BBF" w14:textId="662BC08D" w:rsidR="001238F2" w:rsidRPr="00A241F5" w:rsidRDefault="001238F2" w:rsidP="001238F2">
      <w:pPr>
        <w:widowControl/>
        <w:tabs>
          <w:tab w:val="clear" w:pos="1418"/>
          <w:tab w:val="left" w:pos="1440"/>
        </w:tabs>
      </w:pPr>
      <w:r w:rsidRPr="00A241F5">
        <w:t>1.5</w:t>
      </w:r>
      <w:r w:rsidRPr="00A241F5">
        <w:tab/>
        <w:t xml:space="preserve">One form of CFA is commonly known as a </w:t>
      </w:r>
      <w:r w:rsidR="00C61F4B" w:rsidRPr="00A241F5">
        <w:t>"</w:t>
      </w:r>
      <w:r w:rsidRPr="00A241F5">
        <w:t>no win, low fee</w:t>
      </w:r>
      <w:r w:rsidR="00C61F4B" w:rsidRPr="00A241F5">
        <w:t>"</w:t>
      </w:r>
      <w:r w:rsidRPr="00A241F5">
        <w:t xml:space="preserve"> arrangement.  This is where the Lawyer charges at </w:t>
      </w:r>
      <w:r w:rsidR="00C61F4B" w:rsidRPr="00A241F5">
        <w:t>"</w:t>
      </w:r>
      <w:r w:rsidRPr="00A241F5">
        <w:t>benchmark</w:t>
      </w:r>
      <w:r w:rsidR="00C61F4B" w:rsidRPr="00A241F5">
        <w:t>"</w:t>
      </w:r>
      <w:r w:rsidRPr="00A241F5">
        <w:t xml:space="preserve"> rates or, more commonly, at a discounted rate during the course of the Proceedings, and then charges a Success Fee on top </w:t>
      </w:r>
      <w:r w:rsidRPr="00A241F5">
        <w:rPr>
          <w:lang w:eastAsia="zh-HK"/>
        </w:rPr>
        <w:t>in the event of a successful outcome for the client in the matter</w:t>
      </w:r>
      <w:r w:rsidRPr="00A241F5">
        <w:t xml:space="preserve">. </w:t>
      </w:r>
    </w:p>
    <w:p w14:paraId="4AC73F75" w14:textId="77777777" w:rsidR="001238F2" w:rsidRPr="00A241F5" w:rsidRDefault="001238F2" w:rsidP="001238F2">
      <w:pPr>
        <w:widowControl/>
        <w:tabs>
          <w:tab w:val="clear" w:pos="1418"/>
          <w:tab w:val="left" w:pos="1440"/>
        </w:tabs>
      </w:pPr>
    </w:p>
    <w:p w14:paraId="58DA59DF" w14:textId="1F74DAF1" w:rsidR="001238F2" w:rsidRPr="00A241F5" w:rsidRDefault="001238F2" w:rsidP="001238F2">
      <w:pPr>
        <w:widowControl/>
        <w:tabs>
          <w:tab w:val="clear" w:pos="1418"/>
          <w:tab w:val="left" w:pos="1440"/>
        </w:tabs>
      </w:pPr>
      <w:r w:rsidRPr="00A241F5">
        <w:t>1.6</w:t>
      </w:r>
      <w:r w:rsidRPr="00A241F5">
        <w:tab/>
        <w:t xml:space="preserve">Another form is commonly known as a </w:t>
      </w:r>
      <w:r w:rsidR="00C61F4B" w:rsidRPr="00A241F5">
        <w:t>"</w:t>
      </w:r>
      <w:r w:rsidRPr="00A241F5">
        <w:t>no win, no fee</w:t>
      </w:r>
      <w:r w:rsidR="00C61F4B" w:rsidRPr="00A241F5">
        <w:t>"</w:t>
      </w:r>
      <w:r w:rsidRPr="00A241F5">
        <w:t xml:space="preserve"> arrangement.  This is where the Lawyer charges </w:t>
      </w:r>
      <w:r w:rsidRPr="00A241F5">
        <w:rPr>
          <w:i/>
        </w:rPr>
        <w:t>no fee</w:t>
      </w:r>
      <w:r w:rsidRPr="00A241F5">
        <w:t xml:space="preserve"> during the course of the Proceedings, and charges a Success Fee, namely </w:t>
      </w:r>
      <w:r w:rsidR="00C61F4B" w:rsidRPr="00A241F5">
        <w:t>"</w:t>
      </w:r>
      <w:r w:rsidRPr="00A241F5">
        <w:t>benchmark</w:t>
      </w:r>
      <w:r w:rsidR="00C61F4B" w:rsidRPr="00A241F5">
        <w:t>"</w:t>
      </w:r>
      <w:r w:rsidRPr="00A241F5">
        <w:t xml:space="preserve"> fees </w:t>
      </w:r>
      <w:r w:rsidRPr="00A241F5">
        <w:rPr>
          <w:i/>
        </w:rPr>
        <w:t>plus</w:t>
      </w:r>
      <w:r w:rsidRPr="00A241F5">
        <w:t xml:space="preserve"> an uplift, </w:t>
      </w:r>
      <w:r w:rsidRPr="00A241F5">
        <w:rPr>
          <w:lang w:eastAsia="zh-HK"/>
        </w:rPr>
        <w:t>in the event of a successful outcome for the client in the matter</w:t>
      </w:r>
      <w:r w:rsidRPr="00A241F5">
        <w:t xml:space="preserve">.  </w:t>
      </w:r>
    </w:p>
    <w:p w14:paraId="4BB6AF34" w14:textId="77777777" w:rsidR="001238F2" w:rsidRPr="00A241F5" w:rsidRDefault="001238F2" w:rsidP="001238F2">
      <w:pPr>
        <w:widowControl/>
        <w:tabs>
          <w:tab w:val="clear" w:pos="1418"/>
          <w:tab w:val="left" w:pos="1440"/>
        </w:tabs>
      </w:pPr>
    </w:p>
    <w:p w14:paraId="3A6C4D03" w14:textId="13A3375C" w:rsidR="001238F2" w:rsidRPr="00A241F5" w:rsidRDefault="001238F2" w:rsidP="001238F2">
      <w:pPr>
        <w:widowControl/>
        <w:tabs>
          <w:tab w:val="clear" w:pos="1418"/>
          <w:tab w:val="left" w:pos="1440"/>
        </w:tabs>
      </w:pPr>
      <w:r w:rsidRPr="00A241F5">
        <w:t>1.7</w:t>
      </w:r>
      <w:r w:rsidRPr="00A241F5">
        <w:tab/>
        <w:t xml:space="preserve">In either scenario, the Success Fee can be an agreed flat fee, or calculated as a percentage </w:t>
      </w:r>
      <w:r w:rsidR="00C61F4B" w:rsidRPr="00A241F5">
        <w:t>"</w:t>
      </w:r>
      <w:r w:rsidRPr="00A241F5">
        <w:t>uplift</w:t>
      </w:r>
      <w:r w:rsidR="00C61F4B" w:rsidRPr="00A241F5">
        <w:t>"</w:t>
      </w:r>
      <w:r w:rsidRPr="00A241F5">
        <w:t xml:space="preserve"> on </w:t>
      </w:r>
      <w:r w:rsidR="00C61F4B" w:rsidRPr="00A241F5">
        <w:t>"</w:t>
      </w:r>
      <w:r w:rsidRPr="00A241F5">
        <w:t>benchmark</w:t>
      </w:r>
      <w:r w:rsidR="00C61F4B" w:rsidRPr="00A241F5">
        <w:t>"</w:t>
      </w:r>
      <w:r w:rsidRPr="00A241F5">
        <w:t xml:space="preserve"> fees or rates that the Lawyer would have charged, if there were no ORFS in place during the course of the Proceedings.  In each case, the Success Fee includes a Success Fee premium</w:t>
      </w:r>
      <w:r w:rsidRPr="00A241F5">
        <w:rPr>
          <w:rStyle w:val="FootnoteReference"/>
          <w:sz w:val="24"/>
        </w:rPr>
        <w:footnoteReference w:id="5"/>
      </w:r>
      <w:r w:rsidRPr="00A241F5">
        <w:t xml:space="preserve"> paid by the client over and above </w:t>
      </w:r>
      <w:r w:rsidR="00C61F4B" w:rsidRPr="00A241F5">
        <w:t>"</w:t>
      </w:r>
      <w:r w:rsidRPr="00A241F5">
        <w:t>benchmark</w:t>
      </w:r>
      <w:r w:rsidR="00C61F4B" w:rsidRPr="00A241F5">
        <w:t>"</w:t>
      </w:r>
      <w:r w:rsidRPr="00A241F5">
        <w:t xml:space="preserve"> fees.  This is illustrated in the following </w:t>
      </w:r>
      <w:r w:rsidR="00C61F4B" w:rsidRPr="00A241F5">
        <w:t>"</w:t>
      </w:r>
      <w:r w:rsidRPr="00A241F5">
        <w:t>no win, low fee</w:t>
      </w:r>
      <w:r w:rsidR="00C61F4B" w:rsidRPr="00A241F5">
        <w:t>"</w:t>
      </w:r>
      <w:r w:rsidRPr="00A241F5">
        <w:t xml:space="preserve"> worked example:</w:t>
      </w:r>
      <w:r w:rsidRPr="00A241F5">
        <w:rPr>
          <w:rStyle w:val="FootnoteReference"/>
          <w:sz w:val="24"/>
        </w:rPr>
        <w:footnoteReference w:id="6"/>
      </w:r>
      <w:r w:rsidRPr="00A241F5">
        <w:t xml:space="preserve"> </w:t>
      </w:r>
    </w:p>
    <w:p w14:paraId="67D32DE0" w14:textId="77777777" w:rsidR="001238F2" w:rsidRPr="00A241F5" w:rsidRDefault="001238F2" w:rsidP="001238F2">
      <w:pPr>
        <w:widowControl/>
        <w:tabs>
          <w:tab w:val="clear" w:pos="1418"/>
          <w:tab w:val="left" w:pos="1440"/>
        </w:tabs>
      </w:pPr>
    </w:p>
    <w:p w14:paraId="2B93D6A6" w14:textId="1F6EF6F7" w:rsidR="001238F2" w:rsidRPr="00A241F5" w:rsidRDefault="001238F2" w:rsidP="00022BC8">
      <w:pPr>
        <w:widowControl/>
        <w:numPr>
          <w:ilvl w:val="0"/>
          <w:numId w:val="11"/>
        </w:numPr>
        <w:tabs>
          <w:tab w:val="clear" w:pos="1418"/>
          <w:tab w:val="left" w:pos="1440"/>
        </w:tabs>
        <w:ind w:left="1440" w:hanging="720"/>
      </w:pPr>
      <w:r w:rsidRPr="00A241F5">
        <w:t xml:space="preserve">Client and Lawyer agree that client will only pay 70% of </w:t>
      </w:r>
      <w:r w:rsidR="00C61F4B" w:rsidRPr="00A241F5">
        <w:t>"</w:t>
      </w:r>
      <w:r w:rsidRPr="00A241F5">
        <w:t>benchmark</w:t>
      </w:r>
      <w:r w:rsidR="00C61F4B" w:rsidRPr="00A241F5">
        <w:t>"</w:t>
      </w:r>
      <w:r w:rsidRPr="00A241F5">
        <w:t xml:space="preserve"> hourly rates during the course of the Proceedings.</w:t>
      </w:r>
    </w:p>
    <w:p w14:paraId="619E63D6" w14:textId="77777777" w:rsidR="001238F2" w:rsidRPr="00A241F5" w:rsidRDefault="001238F2" w:rsidP="00C22562">
      <w:pPr>
        <w:widowControl/>
        <w:tabs>
          <w:tab w:val="clear" w:pos="1418"/>
          <w:tab w:val="left" w:pos="1440"/>
        </w:tabs>
        <w:ind w:left="720"/>
      </w:pPr>
      <w:r w:rsidRPr="00A241F5">
        <w:t xml:space="preserve">  </w:t>
      </w:r>
    </w:p>
    <w:p w14:paraId="1468F82A" w14:textId="72A2E493" w:rsidR="001238F2" w:rsidRPr="00A241F5" w:rsidRDefault="001238F2" w:rsidP="00022BC8">
      <w:pPr>
        <w:widowControl/>
        <w:numPr>
          <w:ilvl w:val="0"/>
          <w:numId w:val="11"/>
        </w:numPr>
        <w:tabs>
          <w:tab w:val="clear" w:pos="1418"/>
          <w:tab w:val="left" w:pos="1440"/>
        </w:tabs>
        <w:ind w:left="1440" w:hanging="720"/>
      </w:pPr>
      <w:r w:rsidRPr="00A241F5">
        <w:t xml:space="preserve">However, in the event of success, the client will pay 120% of </w:t>
      </w:r>
      <w:r w:rsidR="00C61F4B" w:rsidRPr="00A241F5">
        <w:t>"</w:t>
      </w:r>
      <w:r w:rsidRPr="00A241F5">
        <w:t>benchmark</w:t>
      </w:r>
      <w:r w:rsidR="00C61F4B" w:rsidRPr="00A241F5">
        <w:t>"</w:t>
      </w:r>
      <w:r w:rsidRPr="00A241F5">
        <w:t xml:space="preserve"> hourly rates.  The Success Fee therefore represents the 50% paid on top of the 70% of </w:t>
      </w:r>
      <w:r w:rsidR="00C61F4B" w:rsidRPr="00A241F5">
        <w:t>"</w:t>
      </w:r>
      <w:r w:rsidRPr="00A241F5">
        <w:t>benchmark</w:t>
      </w:r>
      <w:r w:rsidR="00C61F4B" w:rsidRPr="00A241F5">
        <w:t>"</w:t>
      </w:r>
      <w:r w:rsidRPr="00A241F5">
        <w:t xml:space="preserve"> hourly rates charged during the course of the Proceedings.</w:t>
      </w:r>
    </w:p>
    <w:p w14:paraId="1A051A8F" w14:textId="77777777" w:rsidR="001238F2" w:rsidRPr="00A241F5" w:rsidRDefault="001238F2" w:rsidP="00C22562">
      <w:pPr>
        <w:widowControl/>
        <w:tabs>
          <w:tab w:val="clear" w:pos="1418"/>
          <w:tab w:val="left" w:pos="1440"/>
        </w:tabs>
        <w:ind w:left="720"/>
      </w:pPr>
    </w:p>
    <w:p w14:paraId="50D8955F" w14:textId="611C043F" w:rsidR="001238F2" w:rsidRPr="00A241F5" w:rsidRDefault="001238F2" w:rsidP="00022BC8">
      <w:pPr>
        <w:widowControl/>
        <w:numPr>
          <w:ilvl w:val="0"/>
          <w:numId w:val="11"/>
        </w:numPr>
        <w:tabs>
          <w:tab w:val="clear" w:pos="1418"/>
          <w:tab w:val="left" w:pos="1440"/>
        </w:tabs>
        <w:ind w:left="1440" w:hanging="720"/>
      </w:pPr>
      <w:r w:rsidRPr="00A241F5">
        <w:t xml:space="preserve">The Success Fee premium in this scenario is the 20% uplift on 100% </w:t>
      </w:r>
      <w:r w:rsidR="00C61F4B" w:rsidRPr="00A241F5">
        <w:t>"</w:t>
      </w:r>
      <w:r w:rsidRPr="00A241F5">
        <w:t>benchmark</w:t>
      </w:r>
      <w:r w:rsidR="00C61F4B" w:rsidRPr="00A241F5">
        <w:t>"</w:t>
      </w:r>
      <w:r w:rsidRPr="00A241F5">
        <w:t xml:space="preserve"> hourly rates.  The distinction between the 50% Success Fee and the 20% premium is particularly relevant in the context of Final Recommendation 2, discussed below.         </w:t>
      </w:r>
    </w:p>
    <w:p w14:paraId="1FE74AE9" w14:textId="77777777" w:rsidR="001238F2" w:rsidRPr="00A241F5" w:rsidRDefault="001238F2" w:rsidP="001238F2">
      <w:pPr>
        <w:widowControl/>
        <w:tabs>
          <w:tab w:val="clear" w:pos="1418"/>
          <w:tab w:val="left" w:pos="1440"/>
        </w:tabs>
      </w:pPr>
    </w:p>
    <w:p w14:paraId="0731879E" w14:textId="0B8CF138" w:rsidR="001238F2" w:rsidRPr="00A241F5" w:rsidRDefault="001238F2" w:rsidP="001238F2">
      <w:pPr>
        <w:widowControl/>
        <w:tabs>
          <w:tab w:val="clear" w:pos="1418"/>
          <w:tab w:val="left" w:pos="1440"/>
        </w:tabs>
      </w:pPr>
      <w:r w:rsidRPr="00A241F5">
        <w:t>1.8</w:t>
      </w:r>
      <w:r w:rsidRPr="00A241F5">
        <w:tab/>
        <w:t xml:space="preserve">A DBA is another form of, commonly known as, </w:t>
      </w:r>
      <w:r w:rsidR="00C61F4B" w:rsidRPr="00A241F5">
        <w:t>"</w:t>
      </w:r>
      <w:r w:rsidRPr="00A241F5">
        <w:t>no win, no fee</w:t>
      </w:r>
      <w:r w:rsidR="00C61F4B" w:rsidRPr="00A241F5">
        <w:t>"</w:t>
      </w:r>
      <w:r w:rsidRPr="00A241F5">
        <w:t xml:space="preserve"> arrangement.  If the client does not obtain a Financial Benefit</w:t>
      </w:r>
      <w:r w:rsidRPr="00A241F5">
        <w:rPr>
          <w:rStyle w:val="FootnoteReference"/>
          <w:sz w:val="24"/>
        </w:rPr>
        <w:footnoteReference w:id="7"/>
      </w:r>
      <w:r w:rsidRPr="00A241F5">
        <w:t xml:space="preserve"> in the matter, the Lawyer charges no fee.  However, in contrast with a CFA, the Lawyers</w:t>
      </w:r>
      <w:r w:rsidR="00C61F4B" w:rsidRPr="00A241F5">
        <w:t>'</w:t>
      </w:r>
      <w:r w:rsidRPr="00A241F5">
        <w:t xml:space="preserve"> fee is calculated by reference to the Financial Benefit that is obtained </w:t>
      </w:r>
      <w:r w:rsidRPr="00A241F5">
        <w:rPr>
          <w:lang w:eastAsia="zh-HK"/>
        </w:rPr>
        <w:t>in respect of the outcome of the claim or Proceedings that the client agrees to pay the Lawyer in accordance with a DBA or a Hybrid DBA</w:t>
      </w:r>
      <w:r w:rsidRPr="00A241F5" w:rsidDel="00103C45">
        <w:t xml:space="preserve"> </w:t>
      </w:r>
      <w:r w:rsidRPr="00A241F5">
        <w:t>(</w:t>
      </w:r>
      <w:r w:rsidR="00C61F4B" w:rsidRPr="00A241F5">
        <w:t>"</w:t>
      </w:r>
      <w:r w:rsidRPr="00A241F5">
        <w:rPr>
          <w:b/>
        </w:rPr>
        <w:t>DBA Payment</w:t>
      </w:r>
      <w:r w:rsidR="00C61F4B" w:rsidRPr="00A241F5">
        <w:t>"</w:t>
      </w:r>
      <w:r w:rsidRPr="00A241F5">
        <w:t>).  For example, this could be a percentage of the amount that is obtained.  It could also be calculated by reference to a respondent</w:t>
      </w:r>
      <w:r w:rsidR="00C61F4B" w:rsidRPr="00A241F5">
        <w:t>'</w:t>
      </w:r>
      <w:r w:rsidRPr="00A241F5">
        <w:t>s success in dismissing or reducing a claim for damages.  As discussed further in the context of Final Recommendation 13 below, we agree with the responses received on this issue, and have recommended that Financial Benefit</w:t>
      </w:r>
      <w:r w:rsidR="005F0BA6" w:rsidRPr="00A241F5">
        <w:t xml:space="preserve"> </w:t>
      </w:r>
      <w:r w:rsidRPr="00A241F5">
        <w:t>be defined in broad terms, in order to give clients and Lawyers as much flexibility as possible to define success and determine when and how a DBA Payment is to be paid.</w:t>
      </w:r>
    </w:p>
    <w:p w14:paraId="122C6A01" w14:textId="77777777" w:rsidR="001238F2" w:rsidRPr="00A241F5" w:rsidRDefault="001238F2" w:rsidP="001238F2">
      <w:pPr>
        <w:widowControl/>
        <w:tabs>
          <w:tab w:val="clear" w:pos="1418"/>
          <w:tab w:val="left" w:pos="1440"/>
        </w:tabs>
      </w:pPr>
    </w:p>
    <w:p w14:paraId="4CEB6548" w14:textId="4E3A513C" w:rsidR="001238F2" w:rsidRPr="00A241F5" w:rsidRDefault="001238F2" w:rsidP="001238F2">
      <w:pPr>
        <w:widowControl/>
        <w:tabs>
          <w:tab w:val="clear" w:pos="1418"/>
          <w:tab w:val="left" w:pos="1440"/>
        </w:tabs>
      </w:pPr>
      <w:r w:rsidRPr="00A241F5">
        <w:rPr>
          <w:rFonts w:cs="Arial"/>
        </w:rPr>
        <w:t>1.9</w:t>
      </w:r>
      <w:r w:rsidRPr="00A241F5">
        <w:rPr>
          <w:rFonts w:cs="Arial"/>
        </w:rPr>
        <w:tab/>
        <w:t xml:space="preserve">A </w:t>
      </w:r>
      <w:r w:rsidRPr="00A241F5">
        <w:rPr>
          <w:rFonts w:eastAsia="DengXian" w:cs="Arial"/>
          <w:lang w:eastAsia="zh-CN"/>
        </w:rPr>
        <w:t>Hybrid</w:t>
      </w:r>
      <w:r w:rsidRPr="00A241F5">
        <w:rPr>
          <w:rFonts w:cs="Arial"/>
        </w:rPr>
        <w:t xml:space="preserve"> DBA is commonly known as a form of </w:t>
      </w:r>
      <w:r w:rsidR="00C61F4B" w:rsidRPr="00A241F5">
        <w:rPr>
          <w:rFonts w:cs="Arial"/>
        </w:rPr>
        <w:t>"</w:t>
      </w:r>
      <w:r w:rsidRPr="00A241F5">
        <w:rPr>
          <w:rFonts w:cs="Arial"/>
        </w:rPr>
        <w:t>no win, low fee</w:t>
      </w:r>
      <w:r w:rsidR="00C61F4B" w:rsidRPr="00A241F5">
        <w:rPr>
          <w:rFonts w:cs="Arial"/>
        </w:rPr>
        <w:t>"</w:t>
      </w:r>
      <w:r w:rsidRPr="00A241F5">
        <w:rPr>
          <w:rFonts w:cs="Arial"/>
        </w:rPr>
        <w:t xml:space="preserve"> arrangement.  The Lawyer charges a fee for the legal services rendered (typically at a discounted rate) plus, in the event the client obtains a Financial Benefit in the matter, the DBA Payment.</w:t>
      </w:r>
    </w:p>
    <w:p w14:paraId="7D99487B" w14:textId="77777777" w:rsidR="001238F2" w:rsidRPr="00A241F5" w:rsidRDefault="001238F2" w:rsidP="001238F2">
      <w:pPr>
        <w:widowControl/>
        <w:tabs>
          <w:tab w:val="clear" w:pos="1418"/>
          <w:tab w:val="left" w:pos="1440"/>
        </w:tabs>
        <w:rPr>
          <w:b/>
          <w:i/>
        </w:rPr>
      </w:pPr>
    </w:p>
    <w:p w14:paraId="7C7E81E7" w14:textId="77777777" w:rsidR="001238F2" w:rsidRPr="00A241F5" w:rsidRDefault="001238F2" w:rsidP="001238F2">
      <w:pPr>
        <w:widowControl/>
        <w:tabs>
          <w:tab w:val="clear" w:pos="1418"/>
          <w:tab w:val="left" w:pos="1440"/>
        </w:tabs>
        <w:rPr>
          <w:b/>
          <w:i/>
        </w:rPr>
      </w:pPr>
    </w:p>
    <w:p w14:paraId="1C4A786D" w14:textId="77777777" w:rsidR="001238F2" w:rsidRPr="00A241F5" w:rsidRDefault="001238F2" w:rsidP="001238F2">
      <w:pPr>
        <w:widowControl/>
        <w:tabs>
          <w:tab w:val="clear" w:pos="1418"/>
          <w:tab w:val="left" w:pos="1440"/>
        </w:tabs>
        <w:rPr>
          <w:b/>
          <w:i/>
        </w:rPr>
      </w:pPr>
      <w:r w:rsidRPr="00A241F5">
        <w:rPr>
          <w:b/>
          <w:i/>
        </w:rPr>
        <w:t>The need to change the law in Hong Kong relating to ORFSs for Arbitration</w:t>
      </w:r>
    </w:p>
    <w:p w14:paraId="6FFAAAA9" w14:textId="77777777" w:rsidR="001238F2" w:rsidRPr="00A241F5" w:rsidRDefault="001238F2" w:rsidP="001238F2">
      <w:pPr>
        <w:widowControl/>
        <w:tabs>
          <w:tab w:val="clear" w:pos="1418"/>
          <w:tab w:val="left" w:pos="1440"/>
        </w:tabs>
        <w:rPr>
          <w:b/>
          <w:i/>
        </w:rPr>
      </w:pPr>
    </w:p>
    <w:p w14:paraId="7E721704" w14:textId="7969A01B" w:rsidR="001238F2" w:rsidRPr="00A241F5" w:rsidRDefault="001238F2" w:rsidP="001238F2">
      <w:pPr>
        <w:widowControl/>
        <w:tabs>
          <w:tab w:val="clear" w:pos="1418"/>
          <w:tab w:val="left" w:pos="1440"/>
        </w:tabs>
      </w:pPr>
      <w:r w:rsidRPr="00A241F5">
        <w:t>1.10</w:t>
      </w:r>
      <w:r w:rsidRPr="00A241F5">
        <w:tab/>
        <w:t xml:space="preserve">Historically, Lawyers in Hong Kong have been prohibited from entering into ORFSs for work on contentious Proceedings.  This includes Arbitration, noting in particular that section 98O of the Arbitration Ordinance expressly prohibits any Lawyer from providing </w:t>
      </w:r>
      <w:r w:rsidR="00C61F4B" w:rsidRPr="00A241F5">
        <w:t>"</w:t>
      </w:r>
      <w:r w:rsidRPr="00A241F5">
        <w:t>arbitration funding</w:t>
      </w:r>
      <w:r w:rsidR="00C61F4B" w:rsidRPr="00A241F5">
        <w:t>"</w:t>
      </w:r>
      <w:r w:rsidRPr="00A241F5">
        <w:t xml:space="preserve"> to </w:t>
      </w:r>
      <w:r w:rsidR="00721059" w:rsidRPr="00A241F5">
        <w:t xml:space="preserve">a </w:t>
      </w:r>
      <w:r w:rsidRPr="00A241F5">
        <w:t xml:space="preserve">party where the Lawyer or his legal practice is acting for any party in relation to the relevant Arbitration, where </w:t>
      </w:r>
      <w:r w:rsidR="00C61F4B" w:rsidRPr="00A241F5">
        <w:t>"</w:t>
      </w:r>
      <w:r w:rsidRPr="00A241F5">
        <w:t>arbitration funding</w:t>
      </w:r>
      <w:r w:rsidR="00C61F4B" w:rsidRPr="00A241F5">
        <w:t>"</w:t>
      </w:r>
      <w:r w:rsidRPr="00A241F5">
        <w:t xml:space="preserve"> is defined in section 98F of the Arbitration Ordinance as </w:t>
      </w:r>
      <w:r w:rsidR="00C61F4B" w:rsidRPr="00A241F5">
        <w:rPr>
          <w:i/>
        </w:rPr>
        <w:t>"</w:t>
      </w:r>
      <w:r w:rsidRPr="00A241F5">
        <w:rPr>
          <w:i/>
        </w:rPr>
        <w:t>money, or any other financial assistance, in relation to any costs of the arbitration</w:t>
      </w:r>
      <w:r w:rsidR="00C61F4B" w:rsidRPr="00A241F5">
        <w:rPr>
          <w:i/>
        </w:rPr>
        <w:t>"</w:t>
      </w:r>
      <w:r w:rsidR="008C16A2" w:rsidRPr="00A241F5">
        <w:t>.</w:t>
      </w:r>
      <w:r w:rsidRPr="00A241F5">
        <w:t xml:space="preserve"> </w:t>
      </w:r>
    </w:p>
    <w:p w14:paraId="79E9FDF1" w14:textId="77777777" w:rsidR="001238F2" w:rsidRPr="00A241F5" w:rsidRDefault="001238F2" w:rsidP="001238F2">
      <w:pPr>
        <w:widowControl/>
        <w:tabs>
          <w:tab w:val="clear" w:pos="1418"/>
          <w:tab w:val="left" w:pos="1440"/>
        </w:tabs>
      </w:pPr>
    </w:p>
    <w:p w14:paraId="20C012BE" w14:textId="643026D7" w:rsidR="001238F2" w:rsidRPr="00A241F5" w:rsidRDefault="001238F2" w:rsidP="001238F2">
      <w:pPr>
        <w:widowControl/>
        <w:tabs>
          <w:tab w:val="clear" w:pos="1418"/>
          <w:tab w:val="left" w:pos="1440"/>
        </w:tabs>
      </w:pPr>
      <w:r w:rsidRPr="00A241F5">
        <w:t>1.11</w:t>
      </w:r>
      <w:r w:rsidRPr="00A241F5">
        <w:tab/>
        <w:t>Hong Kong is a notable outlier in this respect.  With the exception of Singapore</w:t>
      </w:r>
      <w:r w:rsidR="00806CA8" w:rsidRPr="00A241F5">
        <w:rPr>
          <w:rStyle w:val="FootnoteReference"/>
          <w:sz w:val="24"/>
          <w:szCs w:val="24"/>
        </w:rPr>
        <w:footnoteReference w:id="8"/>
      </w:r>
      <w:r w:rsidR="00AA7802" w:rsidRPr="00A241F5">
        <w:t xml:space="preserve"> </w:t>
      </w:r>
      <w:r w:rsidRPr="00A241F5">
        <w:t xml:space="preserve">, all major arbitral seats permit some form of ORFSs.  There is also significant client demand for such arrangements.  Clients increasingly want their lawyers to share the risk of bringing a claim in arbitration and to have </w:t>
      </w:r>
      <w:r w:rsidR="00C61F4B" w:rsidRPr="00A241F5">
        <w:t>"</w:t>
      </w:r>
      <w:r w:rsidRPr="00A241F5">
        <w:t>skin in the game</w:t>
      </w:r>
      <w:r w:rsidR="00C61F4B" w:rsidRPr="00A241F5">
        <w:t>"</w:t>
      </w:r>
      <w:r w:rsidRPr="00A241F5">
        <w:t>.  These are not just impecunious clients seeking fund</w:t>
      </w:r>
      <w:r w:rsidR="00352C5C" w:rsidRPr="00A241F5">
        <w:t>ing for</w:t>
      </w:r>
      <w:r w:rsidRPr="00A241F5">
        <w:t xml:space="preserve"> meritorious claims, but also sophisticated, commercial clients, looking to take some of the costs of arbitration off their balance sheet</w:t>
      </w:r>
      <w:r w:rsidR="00A10EC2" w:rsidRPr="00A241F5">
        <w:t>s</w:t>
      </w:r>
      <w:r w:rsidRPr="00A241F5">
        <w:t xml:space="preserve">.  </w:t>
      </w:r>
    </w:p>
    <w:p w14:paraId="039BD72C" w14:textId="77777777" w:rsidR="001238F2" w:rsidRPr="00A241F5" w:rsidRDefault="001238F2" w:rsidP="001238F2">
      <w:pPr>
        <w:widowControl/>
        <w:tabs>
          <w:tab w:val="clear" w:pos="1418"/>
          <w:tab w:val="left" w:pos="1440"/>
        </w:tabs>
      </w:pPr>
    </w:p>
    <w:p w14:paraId="0C9A65CA" w14:textId="1F4A6336" w:rsidR="001238F2" w:rsidRPr="00A241F5" w:rsidRDefault="001238F2" w:rsidP="001238F2">
      <w:pPr>
        <w:widowControl/>
        <w:tabs>
          <w:tab w:val="clear" w:pos="1418"/>
          <w:tab w:val="left" w:pos="1440"/>
        </w:tabs>
      </w:pPr>
      <w:r w:rsidRPr="00A241F5">
        <w:t>1.12</w:t>
      </w:r>
      <w:r w:rsidRPr="00A241F5">
        <w:tab/>
        <w:t>These clients are generally free to seat their arbitrations anywhere in the world, and it is the Sub-committee</w:t>
      </w:r>
      <w:r w:rsidR="00C61F4B" w:rsidRPr="00A241F5">
        <w:t>'</w:t>
      </w:r>
      <w:r w:rsidRPr="00A241F5">
        <w:t>s view that allowing ORFSs for Arbitration is essential to Hong Kong</w:t>
      </w:r>
      <w:r w:rsidR="00C61F4B" w:rsidRPr="00A241F5">
        <w:t>'</w:t>
      </w:r>
      <w:r w:rsidRPr="00A241F5">
        <w:t>s status as one of the world</w:t>
      </w:r>
      <w:r w:rsidR="00C61F4B" w:rsidRPr="00A241F5">
        <w:t>'</w:t>
      </w:r>
      <w:r w:rsidRPr="00A241F5">
        <w:t>s leading arbitral seats and to maintaining its competi</w:t>
      </w:r>
      <w:r w:rsidR="00C44739" w:rsidRPr="00A241F5">
        <w:t>ti</w:t>
      </w:r>
      <w:r w:rsidRPr="00A241F5">
        <w:t>veness.</w:t>
      </w:r>
    </w:p>
    <w:p w14:paraId="1A3FAFB5" w14:textId="77777777" w:rsidR="001238F2" w:rsidRPr="00A241F5" w:rsidRDefault="001238F2" w:rsidP="001238F2">
      <w:pPr>
        <w:widowControl/>
        <w:tabs>
          <w:tab w:val="clear" w:pos="1418"/>
          <w:tab w:val="left" w:pos="1440"/>
        </w:tabs>
      </w:pPr>
    </w:p>
    <w:p w14:paraId="18446482" w14:textId="263F1A01" w:rsidR="001238F2" w:rsidRPr="00A241F5" w:rsidRDefault="001238F2" w:rsidP="001238F2">
      <w:pPr>
        <w:widowControl/>
        <w:tabs>
          <w:tab w:val="clear" w:pos="1418"/>
          <w:tab w:val="left" w:pos="1440"/>
        </w:tabs>
      </w:pPr>
      <w:r w:rsidRPr="00A241F5">
        <w:t>1.13</w:t>
      </w:r>
      <w:r w:rsidRPr="00A241F5">
        <w:tab/>
        <w:t>In fact, given the continuing rise in arbitrations seated in Hong Kong involving Mainland Chinese parties, including claims arising out of the Belt and Road Initiative, it is more important than ever for Lawyers to be able to fund cases on the same, or similar, bases as lawyers from other jurisdictions where ORFSs are permitted, including Mainland China.</w:t>
      </w:r>
      <w:r w:rsidRPr="00A241F5">
        <w:rPr>
          <w:rStyle w:val="FootnoteReference"/>
          <w:sz w:val="24"/>
        </w:rPr>
        <w:footnoteReference w:id="9"/>
      </w:r>
      <w:r w:rsidRPr="00A241F5">
        <w:t xml:space="preserve">  This is particularly so in the context of Arbitration, where parties are, on the whole, commercial entities or business people familiar with negotiating commercial terms and related pricing for those services.</w:t>
      </w:r>
    </w:p>
    <w:p w14:paraId="12D09A15" w14:textId="77777777" w:rsidR="001238F2" w:rsidRPr="00A241F5" w:rsidRDefault="001238F2" w:rsidP="001238F2">
      <w:pPr>
        <w:widowControl/>
        <w:tabs>
          <w:tab w:val="clear" w:pos="1418"/>
          <w:tab w:val="left" w:pos="1440"/>
        </w:tabs>
      </w:pPr>
    </w:p>
    <w:p w14:paraId="67B3DCB6" w14:textId="77777777" w:rsidR="001238F2" w:rsidRPr="00A241F5" w:rsidRDefault="001238F2" w:rsidP="001238F2">
      <w:pPr>
        <w:widowControl/>
        <w:tabs>
          <w:tab w:val="clear" w:pos="1418"/>
          <w:tab w:val="left" w:pos="1440"/>
        </w:tabs>
      </w:pPr>
    </w:p>
    <w:p w14:paraId="7A271E16" w14:textId="77777777" w:rsidR="001238F2" w:rsidRPr="00A241F5" w:rsidRDefault="001238F2" w:rsidP="001238F2">
      <w:pPr>
        <w:keepNext/>
        <w:keepLines/>
        <w:widowControl/>
        <w:tabs>
          <w:tab w:val="clear" w:pos="1418"/>
          <w:tab w:val="left" w:pos="1440"/>
        </w:tabs>
        <w:rPr>
          <w:b/>
          <w:sz w:val="28"/>
          <w:szCs w:val="28"/>
        </w:rPr>
      </w:pPr>
      <w:r w:rsidRPr="00A241F5">
        <w:rPr>
          <w:b/>
          <w:sz w:val="28"/>
          <w:szCs w:val="28"/>
        </w:rPr>
        <w:lastRenderedPageBreak/>
        <w:t>The LRC Sub-committee</w:t>
      </w:r>
    </w:p>
    <w:p w14:paraId="49BA2861" w14:textId="77777777" w:rsidR="001238F2" w:rsidRPr="00A241F5" w:rsidRDefault="001238F2" w:rsidP="001238F2">
      <w:pPr>
        <w:keepNext/>
        <w:keepLines/>
        <w:widowControl/>
        <w:tabs>
          <w:tab w:val="clear" w:pos="1418"/>
          <w:tab w:val="left" w:pos="1440"/>
        </w:tabs>
      </w:pPr>
    </w:p>
    <w:p w14:paraId="05ABEAC8" w14:textId="77777777" w:rsidR="001238F2" w:rsidRPr="00A241F5" w:rsidRDefault="001238F2" w:rsidP="001238F2">
      <w:pPr>
        <w:pStyle w:val="Heading3"/>
        <w:keepLines/>
      </w:pPr>
      <w:r w:rsidRPr="00A241F5">
        <w:t>Terms of reference</w:t>
      </w:r>
    </w:p>
    <w:p w14:paraId="2F5AB075" w14:textId="77777777" w:rsidR="001238F2" w:rsidRPr="00A241F5" w:rsidRDefault="001238F2" w:rsidP="001238F2">
      <w:pPr>
        <w:keepNext/>
        <w:keepLines/>
        <w:widowControl/>
        <w:tabs>
          <w:tab w:val="clear" w:pos="1418"/>
          <w:tab w:val="left" w:pos="1440"/>
        </w:tabs>
      </w:pPr>
    </w:p>
    <w:p w14:paraId="45303C04" w14:textId="66390DFB" w:rsidR="001238F2" w:rsidRPr="00A241F5" w:rsidRDefault="001238F2" w:rsidP="001238F2">
      <w:pPr>
        <w:keepNext/>
        <w:keepLines/>
        <w:widowControl/>
        <w:tabs>
          <w:tab w:val="clear" w:pos="1418"/>
          <w:tab w:val="left" w:pos="1440"/>
        </w:tabs>
      </w:pPr>
      <w:r w:rsidRPr="00A241F5">
        <w:t>1.14</w:t>
      </w:r>
      <w:r w:rsidRPr="00A241F5">
        <w:tab/>
        <w:t xml:space="preserve">In October 2019, </w:t>
      </w:r>
      <w:r w:rsidRPr="00A241F5">
        <w:rPr>
          <w:rFonts w:cs="Arial"/>
        </w:rPr>
        <w:t>the Law Reform Commission of Hong Kong (</w:t>
      </w:r>
      <w:r w:rsidR="00C61F4B" w:rsidRPr="00A241F5">
        <w:rPr>
          <w:rFonts w:cs="Arial"/>
        </w:rPr>
        <w:t>"</w:t>
      </w:r>
      <w:r w:rsidRPr="00A241F5">
        <w:rPr>
          <w:rFonts w:cs="Arial"/>
          <w:b/>
        </w:rPr>
        <w:t>LRC</w:t>
      </w:r>
      <w:r w:rsidR="00C61F4B" w:rsidRPr="00A241F5">
        <w:rPr>
          <w:rFonts w:cs="Arial"/>
        </w:rPr>
        <w:t>"</w:t>
      </w:r>
      <w:r w:rsidRPr="00A241F5">
        <w:rPr>
          <w:rFonts w:cs="Arial"/>
        </w:rPr>
        <w:t xml:space="preserve">) </w:t>
      </w:r>
      <w:r w:rsidRPr="00A241F5">
        <w:t xml:space="preserve">established the Sub-committee.  The terms of reference are: </w:t>
      </w:r>
    </w:p>
    <w:p w14:paraId="667B322D" w14:textId="77777777" w:rsidR="001238F2" w:rsidRPr="00A241F5" w:rsidRDefault="001238F2" w:rsidP="001238F2">
      <w:pPr>
        <w:widowControl/>
      </w:pPr>
    </w:p>
    <w:p w14:paraId="1F40E88D" w14:textId="67815BAC" w:rsidR="001238F2" w:rsidRPr="00A241F5" w:rsidRDefault="00C61F4B" w:rsidP="001238F2">
      <w:pPr>
        <w:pStyle w:val="BlockText"/>
        <w:rPr>
          <w:vertAlign w:val="superscript"/>
        </w:rPr>
      </w:pPr>
      <w:r w:rsidRPr="00A241F5">
        <w:t>"</w:t>
      </w:r>
      <w:r w:rsidR="001238F2" w:rsidRPr="00A241F5">
        <w:t>To review the current position relating to outcome related fee structures for arbitration, to consider whether reform is needed to the relevant law and regulatory framework and, if so, to make such recommendations for reform as appropriate</w:t>
      </w:r>
      <w:r w:rsidR="008C16A2" w:rsidRPr="00A241F5">
        <w:t>.</w:t>
      </w:r>
      <w:r w:rsidRPr="00A241F5">
        <w:t>"</w:t>
      </w:r>
    </w:p>
    <w:p w14:paraId="18263AE6" w14:textId="77777777" w:rsidR="001238F2" w:rsidRPr="00A241F5" w:rsidRDefault="001238F2" w:rsidP="001238F2">
      <w:pPr>
        <w:widowControl/>
      </w:pPr>
      <w:bookmarkStart w:id="8" w:name="_Toc459105978"/>
      <w:bookmarkStart w:id="9" w:name="_Toc460249202"/>
    </w:p>
    <w:p w14:paraId="0DAE3C96" w14:textId="77777777" w:rsidR="001238F2" w:rsidRPr="00A241F5" w:rsidRDefault="001238F2" w:rsidP="001238F2">
      <w:pPr>
        <w:widowControl/>
      </w:pPr>
    </w:p>
    <w:p w14:paraId="7056EE5A" w14:textId="77777777" w:rsidR="001238F2" w:rsidRPr="00A241F5" w:rsidRDefault="001238F2" w:rsidP="001238F2">
      <w:pPr>
        <w:pStyle w:val="Heading2"/>
        <w:widowControl/>
        <w:rPr>
          <w:i/>
          <w:sz w:val="24"/>
        </w:rPr>
      </w:pPr>
      <w:r w:rsidRPr="00A241F5">
        <w:rPr>
          <w:i/>
          <w:sz w:val="24"/>
        </w:rPr>
        <w:t>Membership of the Sub-committee</w:t>
      </w:r>
      <w:bookmarkEnd w:id="8"/>
      <w:bookmarkEnd w:id="9"/>
    </w:p>
    <w:p w14:paraId="5202E4CF" w14:textId="77777777" w:rsidR="001238F2" w:rsidRPr="00A241F5" w:rsidRDefault="001238F2" w:rsidP="001238F2">
      <w:pPr>
        <w:widowControl/>
      </w:pPr>
    </w:p>
    <w:tbl>
      <w:tblPr>
        <w:tblW w:w="7380" w:type="dxa"/>
        <w:tblInd w:w="828" w:type="dxa"/>
        <w:tblLook w:val="01E0" w:firstRow="1" w:lastRow="1" w:firstColumn="1" w:lastColumn="1" w:noHBand="0" w:noVBand="0"/>
      </w:tblPr>
      <w:tblGrid>
        <w:gridCol w:w="3780"/>
        <w:gridCol w:w="3600"/>
      </w:tblGrid>
      <w:tr w:rsidR="001238F2" w:rsidRPr="00A241F5" w14:paraId="721EC693" w14:textId="77777777" w:rsidTr="00AC7FE5">
        <w:tc>
          <w:tcPr>
            <w:tcW w:w="3780" w:type="dxa"/>
          </w:tcPr>
          <w:p w14:paraId="5410CB9D" w14:textId="77777777" w:rsidR="001238F2" w:rsidRPr="00A241F5" w:rsidRDefault="001238F2" w:rsidP="00AC7FE5">
            <w:pPr>
              <w:spacing w:after="120"/>
              <w:rPr>
                <w:rFonts w:cs="Arial"/>
                <w:color w:val="000000"/>
                <w:lang w:val="en-HK"/>
              </w:rPr>
            </w:pPr>
            <w:r w:rsidRPr="00A241F5">
              <w:rPr>
                <w:rFonts w:cs="Arial"/>
                <w:color w:val="000000"/>
                <w:lang w:val="en-HK"/>
              </w:rPr>
              <w:t>Ms Kathryn Sanger (Co-chair)</w:t>
            </w:r>
          </w:p>
          <w:p w14:paraId="23602DE3" w14:textId="77777777" w:rsidR="001238F2" w:rsidRPr="00A241F5" w:rsidRDefault="001238F2" w:rsidP="00AC7FE5">
            <w:pPr>
              <w:widowControl/>
              <w:tabs>
                <w:tab w:val="left" w:pos="720"/>
              </w:tabs>
              <w:ind w:left="709" w:hanging="709"/>
            </w:pPr>
          </w:p>
        </w:tc>
        <w:tc>
          <w:tcPr>
            <w:tcW w:w="3600" w:type="dxa"/>
          </w:tcPr>
          <w:p w14:paraId="3BCD2DDD" w14:textId="77777777" w:rsidR="001238F2" w:rsidRPr="00A241F5" w:rsidRDefault="001238F2" w:rsidP="00AC7FE5">
            <w:pPr>
              <w:jc w:val="left"/>
              <w:rPr>
                <w:rFonts w:cs="Arial"/>
                <w:color w:val="000000"/>
                <w:lang w:val="en-HK"/>
              </w:rPr>
            </w:pPr>
            <w:r w:rsidRPr="00A241F5">
              <w:rPr>
                <w:rFonts w:cs="Arial"/>
                <w:color w:val="000000"/>
                <w:lang w:val="en-HK"/>
              </w:rPr>
              <w:t>Partner</w:t>
            </w:r>
          </w:p>
          <w:p w14:paraId="49654D4D" w14:textId="77777777" w:rsidR="001238F2" w:rsidRPr="00A241F5" w:rsidRDefault="001238F2" w:rsidP="00AC7FE5">
            <w:pPr>
              <w:widowControl/>
              <w:jc w:val="left"/>
              <w:rPr>
                <w:rFonts w:cs="Arial"/>
                <w:color w:val="000000"/>
              </w:rPr>
            </w:pPr>
            <w:r w:rsidRPr="00A241F5">
              <w:rPr>
                <w:rFonts w:cs="Arial"/>
                <w:color w:val="000000"/>
              </w:rPr>
              <w:t>Herbert Smith Freehills</w:t>
            </w:r>
          </w:p>
          <w:p w14:paraId="4E5370E4" w14:textId="77777777" w:rsidR="001238F2" w:rsidRPr="00A241F5" w:rsidRDefault="001238F2" w:rsidP="00AC7FE5">
            <w:pPr>
              <w:widowControl/>
              <w:jc w:val="left"/>
            </w:pPr>
          </w:p>
        </w:tc>
      </w:tr>
      <w:tr w:rsidR="001238F2" w:rsidRPr="00A241F5" w14:paraId="44BE77F6" w14:textId="77777777" w:rsidTr="00AC7FE5">
        <w:trPr>
          <w:trHeight w:val="1377"/>
        </w:trPr>
        <w:tc>
          <w:tcPr>
            <w:tcW w:w="3780" w:type="dxa"/>
          </w:tcPr>
          <w:p w14:paraId="21B4D6E3" w14:textId="77777777" w:rsidR="001238F2" w:rsidRPr="00A241F5" w:rsidRDefault="001238F2" w:rsidP="00AC7FE5">
            <w:pPr>
              <w:spacing w:after="120"/>
              <w:rPr>
                <w:rFonts w:cs="Arial"/>
                <w:color w:val="000000"/>
                <w:lang w:val="en-HK"/>
              </w:rPr>
            </w:pPr>
            <w:r w:rsidRPr="00A241F5">
              <w:rPr>
                <w:rFonts w:cs="Arial"/>
                <w:color w:val="000000"/>
                <w:lang w:val="en-HK"/>
              </w:rPr>
              <w:t>Ms Briana Young (Co-chair)</w:t>
            </w:r>
          </w:p>
          <w:p w14:paraId="31A48215" w14:textId="77777777" w:rsidR="001238F2" w:rsidRPr="00A241F5" w:rsidRDefault="001238F2" w:rsidP="00AC7FE5">
            <w:pPr>
              <w:widowControl/>
              <w:tabs>
                <w:tab w:val="left" w:pos="720"/>
              </w:tabs>
              <w:spacing w:before="120"/>
              <w:ind w:left="706" w:hanging="706"/>
            </w:pPr>
          </w:p>
        </w:tc>
        <w:tc>
          <w:tcPr>
            <w:tcW w:w="3600" w:type="dxa"/>
          </w:tcPr>
          <w:p w14:paraId="0F1F1B46" w14:textId="77777777" w:rsidR="001238F2" w:rsidRPr="00A241F5" w:rsidRDefault="001238F2" w:rsidP="00AC7FE5">
            <w:pPr>
              <w:jc w:val="left"/>
              <w:rPr>
                <w:rFonts w:cs="Arial"/>
                <w:color w:val="000000"/>
                <w:lang w:val="en-HK"/>
              </w:rPr>
            </w:pPr>
            <w:r w:rsidRPr="00A241F5">
              <w:rPr>
                <w:rFonts w:cs="Arial"/>
                <w:color w:val="000000"/>
                <w:lang w:val="en-HK"/>
              </w:rPr>
              <w:t>Foreign Legal Consultant</w:t>
            </w:r>
          </w:p>
          <w:p w14:paraId="37661662" w14:textId="77777777" w:rsidR="001238F2" w:rsidRPr="00A241F5" w:rsidRDefault="001238F2" w:rsidP="00AC7FE5">
            <w:pPr>
              <w:jc w:val="left"/>
              <w:rPr>
                <w:rFonts w:cs="Arial"/>
                <w:color w:val="000000"/>
                <w:lang w:val="en-HK"/>
              </w:rPr>
            </w:pPr>
            <w:r w:rsidRPr="00A241F5">
              <w:rPr>
                <w:rFonts w:cs="Arial"/>
                <w:color w:val="000000"/>
                <w:lang w:val="en-HK"/>
              </w:rPr>
              <w:t>(England and Wales)/ Professional Support Consultant</w:t>
            </w:r>
          </w:p>
          <w:p w14:paraId="62759227" w14:textId="77777777" w:rsidR="001238F2" w:rsidRPr="00A241F5" w:rsidRDefault="001238F2" w:rsidP="00AC7FE5">
            <w:pPr>
              <w:widowControl/>
              <w:rPr>
                <w:rFonts w:cs="Arial"/>
                <w:color w:val="000000"/>
                <w:lang w:val="en-HK"/>
              </w:rPr>
            </w:pPr>
            <w:r w:rsidRPr="00A241F5">
              <w:rPr>
                <w:rFonts w:cs="Arial"/>
                <w:color w:val="000000"/>
                <w:lang w:val="en-HK"/>
              </w:rPr>
              <w:t>Herbert Smith Freehills</w:t>
            </w:r>
          </w:p>
          <w:p w14:paraId="5374D93A" w14:textId="77777777" w:rsidR="001238F2" w:rsidRPr="00A241F5" w:rsidRDefault="001238F2" w:rsidP="00AC7FE5">
            <w:pPr>
              <w:widowControl/>
              <w:rPr>
                <w:rFonts w:cs="Arial"/>
                <w:color w:val="000000"/>
                <w:lang w:val="en-HK"/>
              </w:rPr>
            </w:pPr>
          </w:p>
        </w:tc>
      </w:tr>
      <w:tr w:rsidR="001238F2" w:rsidRPr="00A241F5" w14:paraId="6569A7A7" w14:textId="77777777" w:rsidTr="00AC7FE5">
        <w:tc>
          <w:tcPr>
            <w:tcW w:w="3780" w:type="dxa"/>
          </w:tcPr>
          <w:p w14:paraId="5A0CF5CD" w14:textId="77777777" w:rsidR="001238F2" w:rsidRPr="00A241F5" w:rsidRDefault="001238F2" w:rsidP="00AC7FE5">
            <w:pPr>
              <w:spacing w:after="120"/>
              <w:rPr>
                <w:rFonts w:cs="Arial"/>
                <w:color w:val="000000"/>
                <w:lang w:val="en-HK"/>
              </w:rPr>
            </w:pPr>
            <w:r w:rsidRPr="00A241F5">
              <w:rPr>
                <w:rFonts w:cs="Arial"/>
                <w:color w:val="000000"/>
                <w:lang w:val="en-HK"/>
              </w:rPr>
              <w:t>Mr C.M. Chan</w:t>
            </w:r>
          </w:p>
          <w:p w14:paraId="3E3EA6B8" w14:textId="77777777" w:rsidR="001238F2" w:rsidRPr="00A241F5" w:rsidRDefault="001238F2" w:rsidP="00AC7FE5">
            <w:pPr>
              <w:widowControl/>
              <w:tabs>
                <w:tab w:val="left" w:pos="720"/>
              </w:tabs>
              <w:spacing w:before="120"/>
              <w:ind w:left="706" w:hanging="706"/>
            </w:pPr>
          </w:p>
        </w:tc>
        <w:tc>
          <w:tcPr>
            <w:tcW w:w="3600" w:type="dxa"/>
          </w:tcPr>
          <w:p w14:paraId="048EB43E" w14:textId="77777777" w:rsidR="001238F2" w:rsidRPr="00A241F5" w:rsidRDefault="001238F2" w:rsidP="00AC7FE5">
            <w:pPr>
              <w:rPr>
                <w:rFonts w:cs="Arial"/>
                <w:color w:val="000000"/>
                <w:lang w:val="en-HK"/>
              </w:rPr>
            </w:pPr>
            <w:r w:rsidRPr="00A241F5">
              <w:rPr>
                <w:rFonts w:cs="Arial"/>
                <w:color w:val="000000"/>
                <w:lang w:val="en-HK"/>
              </w:rPr>
              <w:t>Consultant</w:t>
            </w:r>
          </w:p>
          <w:p w14:paraId="71A5685E" w14:textId="77777777" w:rsidR="001238F2" w:rsidRPr="00A241F5" w:rsidRDefault="001238F2" w:rsidP="00AC7FE5">
            <w:pPr>
              <w:widowControl/>
              <w:rPr>
                <w:rFonts w:cs="Arial"/>
                <w:color w:val="000000"/>
                <w:lang w:val="en-HK"/>
              </w:rPr>
            </w:pPr>
            <w:r w:rsidRPr="00A241F5">
              <w:rPr>
                <w:rFonts w:cs="Arial"/>
                <w:color w:val="000000"/>
                <w:lang w:val="en-HK"/>
              </w:rPr>
              <w:t xml:space="preserve">Anthony Siu &amp; Co. </w:t>
            </w:r>
          </w:p>
          <w:p w14:paraId="71A1C0AD" w14:textId="77777777" w:rsidR="001238F2" w:rsidRPr="00A241F5" w:rsidRDefault="001238F2" w:rsidP="00AC7FE5">
            <w:pPr>
              <w:widowControl/>
            </w:pPr>
          </w:p>
        </w:tc>
      </w:tr>
      <w:tr w:rsidR="001238F2" w:rsidRPr="00A241F5" w14:paraId="70FABC24" w14:textId="77777777" w:rsidTr="00AC7FE5">
        <w:tc>
          <w:tcPr>
            <w:tcW w:w="3780" w:type="dxa"/>
          </w:tcPr>
          <w:p w14:paraId="2151A6C8" w14:textId="77777777" w:rsidR="001238F2" w:rsidRPr="00A241F5" w:rsidRDefault="001238F2" w:rsidP="00AC7FE5">
            <w:pPr>
              <w:spacing w:after="120"/>
              <w:rPr>
                <w:rFonts w:cs="Arial"/>
                <w:color w:val="000000"/>
                <w:lang w:val="en-HK"/>
              </w:rPr>
            </w:pPr>
            <w:r w:rsidRPr="00A241F5">
              <w:rPr>
                <w:rFonts w:cs="Arial"/>
                <w:color w:val="000000"/>
                <w:lang w:val="en-HK"/>
              </w:rPr>
              <w:t>Mr Matthew Gearing, QC</w:t>
            </w:r>
          </w:p>
          <w:p w14:paraId="54781CD3" w14:textId="77777777" w:rsidR="001238F2" w:rsidRPr="00A241F5" w:rsidRDefault="001238F2" w:rsidP="00AC7FE5">
            <w:pPr>
              <w:widowControl/>
              <w:tabs>
                <w:tab w:val="left" w:pos="720"/>
              </w:tabs>
              <w:spacing w:before="120"/>
              <w:ind w:left="706" w:hanging="706"/>
            </w:pPr>
          </w:p>
        </w:tc>
        <w:tc>
          <w:tcPr>
            <w:tcW w:w="3600" w:type="dxa"/>
          </w:tcPr>
          <w:p w14:paraId="1EF6A026" w14:textId="77777777" w:rsidR="001238F2" w:rsidRPr="00A241F5" w:rsidRDefault="001238F2" w:rsidP="00AC7FE5">
            <w:pPr>
              <w:widowControl/>
            </w:pPr>
            <w:r w:rsidRPr="00A241F5">
              <w:rPr>
                <w:rFonts w:cs="Arial"/>
                <w:color w:val="000000"/>
                <w:lang w:val="en-HK"/>
              </w:rPr>
              <w:t>Barrister (England &amp; Wales) and Solicitor-Advocate (Hong Kong)</w:t>
            </w:r>
            <w:r w:rsidRPr="00A241F5" w:rsidDel="005B7F69">
              <w:rPr>
                <w:rFonts w:cs="Arial"/>
                <w:color w:val="000000"/>
                <w:lang w:val="en-HK"/>
              </w:rPr>
              <w:t xml:space="preserve"> </w:t>
            </w:r>
            <w:r w:rsidRPr="00A241F5">
              <w:t>Fountain Court Chambers</w:t>
            </w:r>
          </w:p>
          <w:p w14:paraId="766A8EF1" w14:textId="77777777" w:rsidR="001238F2" w:rsidRPr="00A241F5" w:rsidRDefault="001238F2" w:rsidP="00AC7FE5">
            <w:pPr>
              <w:widowControl/>
            </w:pPr>
          </w:p>
        </w:tc>
      </w:tr>
      <w:tr w:rsidR="001238F2" w:rsidRPr="00A241F5" w14:paraId="3DBE718A" w14:textId="77777777" w:rsidTr="00AC7FE5">
        <w:tc>
          <w:tcPr>
            <w:tcW w:w="3780" w:type="dxa"/>
          </w:tcPr>
          <w:p w14:paraId="5E10B660" w14:textId="77777777" w:rsidR="001238F2" w:rsidRPr="00A241F5" w:rsidRDefault="001238F2" w:rsidP="00AC7FE5">
            <w:pPr>
              <w:spacing w:after="120"/>
              <w:rPr>
                <w:rFonts w:cs="Arial"/>
                <w:color w:val="000000"/>
                <w:lang w:val="en-HK"/>
              </w:rPr>
            </w:pPr>
            <w:r w:rsidRPr="00A241F5">
              <w:rPr>
                <w:rFonts w:cs="Arial"/>
                <w:color w:val="000000"/>
                <w:lang w:val="en-HK"/>
              </w:rPr>
              <w:t>Dr Benny Lo</w:t>
            </w:r>
          </w:p>
          <w:p w14:paraId="4231601C" w14:textId="77777777" w:rsidR="001238F2" w:rsidRPr="00A241F5" w:rsidRDefault="001238F2" w:rsidP="00AC7FE5">
            <w:pPr>
              <w:widowControl/>
              <w:tabs>
                <w:tab w:val="left" w:pos="720"/>
              </w:tabs>
              <w:spacing w:before="120"/>
              <w:ind w:left="706" w:hanging="706"/>
            </w:pPr>
          </w:p>
        </w:tc>
        <w:tc>
          <w:tcPr>
            <w:tcW w:w="3600" w:type="dxa"/>
          </w:tcPr>
          <w:p w14:paraId="7B40E6D6" w14:textId="77777777" w:rsidR="001238F2" w:rsidRPr="00A241F5" w:rsidRDefault="001238F2" w:rsidP="00AC7FE5">
            <w:pPr>
              <w:jc w:val="left"/>
              <w:rPr>
                <w:rFonts w:cs="Arial"/>
                <w:color w:val="000000"/>
                <w:lang w:val="en-HK"/>
              </w:rPr>
            </w:pPr>
            <w:r w:rsidRPr="00A241F5">
              <w:rPr>
                <w:rFonts w:cs="Arial"/>
                <w:color w:val="000000"/>
                <w:lang w:val="en-HK"/>
              </w:rPr>
              <w:t>Barrister and Chartered Arbitrator</w:t>
            </w:r>
          </w:p>
          <w:p w14:paraId="03E4A9B0" w14:textId="77777777" w:rsidR="001238F2" w:rsidRPr="00A241F5" w:rsidRDefault="001238F2" w:rsidP="00AC7FE5">
            <w:pPr>
              <w:jc w:val="left"/>
              <w:rPr>
                <w:rFonts w:cs="Arial"/>
                <w:color w:val="000000"/>
              </w:rPr>
            </w:pPr>
            <w:r w:rsidRPr="00A241F5">
              <w:rPr>
                <w:rFonts w:cs="Arial"/>
                <w:color w:val="000000"/>
                <w:lang w:val="en-HK"/>
              </w:rPr>
              <w:t>Des Vo</w:t>
            </w:r>
            <w:r w:rsidRPr="00A241F5">
              <w:rPr>
                <w:rFonts w:cs="Arial"/>
                <w:color w:val="000000"/>
              </w:rPr>
              <w:t xml:space="preserve">eux Chambers </w:t>
            </w:r>
          </w:p>
          <w:p w14:paraId="764E87D8" w14:textId="77777777" w:rsidR="001238F2" w:rsidRPr="00A241F5" w:rsidRDefault="001238F2" w:rsidP="00AC7FE5">
            <w:pPr>
              <w:jc w:val="left"/>
            </w:pPr>
          </w:p>
        </w:tc>
      </w:tr>
      <w:tr w:rsidR="001238F2" w:rsidRPr="00A241F5" w14:paraId="08C51DDE" w14:textId="77777777" w:rsidTr="00AC7FE5">
        <w:tc>
          <w:tcPr>
            <w:tcW w:w="3780" w:type="dxa"/>
          </w:tcPr>
          <w:p w14:paraId="4E168F94" w14:textId="77777777" w:rsidR="001238F2" w:rsidRPr="00A241F5" w:rsidRDefault="001238F2" w:rsidP="007E5284">
            <w:pPr>
              <w:widowControl/>
              <w:tabs>
                <w:tab w:val="left" w:pos="720"/>
              </w:tabs>
              <w:ind w:left="706" w:hanging="706"/>
            </w:pPr>
            <w:r w:rsidRPr="00A241F5">
              <w:rPr>
                <w:rFonts w:cs="Arial"/>
                <w:color w:val="000000"/>
                <w:lang w:val="en-HK"/>
              </w:rPr>
              <w:t>Mr José-Antonio Maurellet, SC</w:t>
            </w:r>
          </w:p>
        </w:tc>
        <w:tc>
          <w:tcPr>
            <w:tcW w:w="3600" w:type="dxa"/>
          </w:tcPr>
          <w:p w14:paraId="528EEF71" w14:textId="77777777" w:rsidR="001238F2" w:rsidRPr="00A241F5" w:rsidRDefault="001238F2" w:rsidP="007E5284">
            <w:pPr>
              <w:keepNext/>
              <w:jc w:val="left"/>
              <w:rPr>
                <w:rFonts w:cs="Arial"/>
                <w:color w:val="000000"/>
              </w:rPr>
            </w:pPr>
            <w:r w:rsidRPr="00A241F5">
              <w:rPr>
                <w:rFonts w:cs="Arial"/>
                <w:color w:val="000000"/>
              </w:rPr>
              <w:t>Barrister</w:t>
            </w:r>
          </w:p>
          <w:p w14:paraId="50849140" w14:textId="77777777" w:rsidR="001238F2" w:rsidRPr="00A241F5" w:rsidRDefault="001238F2" w:rsidP="007E5284">
            <w:pPr>
              <w:widowControl/>
            </w:pPr>
            <w:r w:rsidRPr="00A241F5">
              <w:rPr>
                <w:rFonts w:cs="Arial"/>
                <w:color w:val="000000"/>
              </w:rPr>
              <w:t xml:space="preserve">Des Voeux Chambers </w:t>
            </w:r>
          </w:p>
        </w:tc>
      </w:tr>
    </w:tbl>
    <w:p w14:paraId="0D178A6B" w14:textId="77777777" w:rsidR="001238F2" w:rsidRPr="00A241F5" w:rsidRDefault="001238F2" w:rsidP="001238F2">
      <w:pPr>
        <w:widowControl/>
      </w:pPr>
    </w:p>
    <w:p w14:paraId="5B25EA42" w14:textId="77777777" w:rsidR="001238F2" w:rsidRPr="00A241F5" w:rsidRDefault="001238F2" w:rsidP="005F0BA6">
      <w:pPr>
        <w:widowControl/>
        <w:spacing w:before="120"/>
      </w:pPr>
      <w:r w:rsidRPr="00A241F5">
        <w:t>1.15</w:t>
      </w:r>
      <w:r w:rsidRPr="00A241F5">
        <w:tab/>
      </w:r>
      <w:r w:rsidRPr="00A241F5">
        <w:tab/>
        <w:t>Ms Kitty Fung, Acting Deputy Principal Government Counsel in the Law Reform Commission Secretariat, is the secretary to the Sub-committee.  Miss Wingy Ha, Government Counsel in the Law Reform Commission Secretariat, has also assisted the Sub-committee.</w:t>
      </w:r>
    </w:p>
    <w:p w14:paraId="064E926F" w14:textId="77777777" w:rsidR="001238F2" w:rsidRPr="00A241F5" w:rsidRDefault="001238F2" w:rsidP="001238F2">
      <w:pPr>
        <w:pStyle w:val="Indent10"/>
        <w:widowControl/>
        <w:ind w:left="0" w:firstLine="0"/>
        <w:rPr>
          <w:rFonts w:cs="Arial"/>
        </w:rPr>
      </w:pPr>
    </w:p>
    <w:p w14:paraId="0F5459F5" w14:textId="77777777" w:rsidR="001238F2" w:rsidRPr="00A241F5" w:rsidRDefault="001238F2" w:rsidP="001238F2">
      <w:pPr>
        <w:pStyle w:val="Indent10"/>
        <w:widowControl/>
        <w:ind w:left="0" w:firstLine="0"/>
        <w:rPr>
          <w:rFonts w:cs="Arial"/>
        </w:rPr>
      </w:pPr>
    </w:p>
    <w:p w14:paraId="320BD73C" w14:textId="41FB6482" w:rsidR="001238F2" w:rsidRPr="00A241F5" w:rsidRDefault="001238F2" w:rsidP="00A241F5">
      <w:pPr>
        <w:pStyle w:val="Heading2"/>
        <w:keepNext w:val="0"/>
        <w:keepLines/>
        <w:widowControl/>
      </w:pPr>
      <w:bookmarkStart w:id="10" w:name="_Toc442361778"/>
      <w:bookmarkStart w:id="11" w:name="_Toc459105983"/>
      <w:bookmarkStart w:id="12" w:name="_Toc460249207"/>
      <w:r w:rsidRPr="00A241F5">
        <w:t xml:space="preserve">The </w:t>
      </w:r>
      <w:r w:rsidR="00A10EC2" w:rsidRPr="00A241F5">
        <w:t>c</w:t>
      </w:r>
      <w:r w:rsidRPr="00A241F5">
        <w:t>onsultation</w:t>
      </w:r>
      <w:bookmarkEnd w:id="10"/>
      <w:bookmarkEnd w:id="11"/>
      <w:bookmarkEnd w:id="12"/>
      <w:r w:rsidRPr="00A241F5">
        <w:t xml:space="preserve"> process</w:t>
      </w:r>
    </w:p>
    <w:p w14:paraId="0B4CDA5D" w14:textId="77777777" w:rsidR="001238F2" w:rsidRPr="00A241F5" w:rsidRDefault="001238F2" w:rsidP="00A241F5">
      <w:pPr>
        <w:keepLines/>
        <w:widowControl/>
      </w:pPr>
    </w:p>
    <w:p w14:paraId="7425D60B" w14:textId="334B45A9" w:rsidR="009B76AD" w:rsidRPr="00A241F5" w:rsidRDefault="009B76AD" w:rsidP="00A241F5">
      <w:pPr>
        <w:keepLines/>
        <w:widowControl/>
      </w:pPr>
      <w:r w:rsidRPr="00A241F5">
        <w:t>1.16</w:t>
      </w:r>
      <w:r w:rsidRPr="00A241F5">
        <w:tab/>
        <w:t>In December 2020, the Sub-committee published the Consultation Paper, putting forward 14 recommendations as set out in its Chapter 6.</w:t>
      </w:r>
    </w:p>
    <w:p w14:paraId="62EF9142" w14:textId="76E54323" w:rsidR="009B76AD" w:rsidRPr="00A241F5" w:rsidRDefault="009B76AD" w:rsidP="001238F2">
      <w:pPr>
        <w:widowControl/>
      </w:pPr>
    </w:p>
    <w:p w14:paraId="5A156737" w14:textId="6A9A58E8" w:rsidR="001238F2" w:rsidRPr="00A241F5" w:rsidRDefault="00E42896" w:rsidP="001238F2">
      <w:pPr>
        <w:widowControl/>
      </w:pPr>
      <w:r w:rsidRPr="00A241F5">
        <w:t>1.1</w:t>
      </w:r>
      <w:r w:rsidR="009B76AD" w:rsidRPr="00A241F5">
        <w:t>7</w:t>
      </w:r>
      <w:r w:rsidR="001238F2" w:rsidRPr="00A241F5">
        <w:tab/>
        <w:t>The Sub-committee</w:t>
      </w:r>
      <w:r w:rsidR="00C61F4B" w:rsidRPr="00A241F5">
        <w:t>'</w:t>
      </w:r>
      <w:r w:rsidR="001238F2" w:rsidRPr="00A241F5">
        <w:t>s consultation period closed on 16 March 2021.</w:t>
      </w:r>
      <w:r w:rsidR="001238F2" w:rsidRPr="00A241F5">
        <w:rPr>
          <w:vertAlign w:val="superscript"/>
        </w:rPr>
        <w:footnoteReference w:id="10"/>
      </w:r>
      <w:r w:rsidR="001238F2" w:rsidRPr="00A241F5">
        <w:t xml:space="preserve">  In total, 23 submissions were received, ranging from a simple acknowledgement of the Consultation Paper to detailed submissions on the Sub-committee</w:t>
      </w:r>
      <w:r w:rsidR="00C61F4B" w:rsidRPr="00A241F5">
        <w:t>'</w:t>
      </w:r>
      <w:r w:rsidR="001238F2" w:rsidRPr="00A241F5">
        <w:t xml:space="preserve">s Recommendations and associated issues.  Those who submitted responses included arbitral institutions, an arbitrator/barrister, a barrister, </w:t>
      </w:r>
      <w:r w:rsidR="00A10EC2" w:rsidRPr="00A241F5">
        <w:t xml:space="preserve">a </w:t>
      </w:r>
      <w:r w:rsidR="001238F2" w:rsidRPr="00A241F5">
        <w:t xml:space="preserve">chamber of commerce, consumer/public interest groups, </w:t>
      </w:r>
      <w:r w:rsidR="004D326A" w:rsidRPr="00A241F5">
        <w:t xml:space="preserve">the finance sector, </w:t>
      </w:r>
      <w:r w:rsidR="001238F2" w:rsidRPr="00A241F5">
        <w:t xml:space="preserve">a Government department, law firms, a litigation funder, professional bodies and a regulator (each </w:t>
      </w:r>
      <w:r w:rsidR="00C61F4B" w:rsidRPr="00A241F5">
        <w:t>"</w:t>
      </w:r>
      <w:r w:rsidR="001238F2" w:rsidRPr="00A241F5">
        <w:rPr>
          <w:b/>
        </w:rPr>
        <w:t>Respondent</w:t>
      </w:r>
      <w:r w:rsidR="00C61F4B" w:rsidRPr="00A241F5">
        <w:t>"</w:t>
      </w:r>
      <w:r w:rsidR="001238F2" w:rsidRPr="00A241F5">
        <w:t xml:space="preserve"> and collectively the </w:t>
      </w:r>
      <w:r w:rsidR="00C61F4B" w:rsidRPr="00A241F5">
        <w:t>"</w:t>
      </w:r>
      <w:r w:rsidR="001238F2" w:rsidRPr="00A241F5">
        <w:rPr>
          <w:b/>
        </w:rPr>
        <w:t>Respondents</w:t>
      </w:r>
      <w:r w:rsidR="00C61F4B" w:rsidRPr="00A241F5">
        <w:t>"</w:t>
      </w:r>
      <w:r w:rsidR="001238F2" w:rsidRPr="00A241F5">
        <w:t>).  A list of the Respondents is set out in Annex 3 of this Report.  We are most grateful to all those who commented on the Consultation Paper.  Their submissions are summarised in the following chapters.</w:t>
      </w:r>
    </w:p>
    <w:p w14:paraId="02259C39" w14:textId="77777777" w:rsidR="001238F2" w:rsidRPr="00A241F5" w:rsidRDefault="001238F2" w:rsidP="001238F2">
      <w:pPr>
        <w:widowControl/>
      </w:pPr>
    </w:p>
    <w:p w14:paraId="77E6F81E" w14:textId="3F82A337" w:rsidR="001238F2" w:rsidRPr="00A241F5" w:rsidRDefault="00E42896" w:rsidP="001238F2">
      <w:pPr>
        <w:widowControl/>
        <w:sectPr w:rsidR="001238F2" w:rsidRPr="00A241F5" w:rsidSect="00AC7FE5">
          <w:footnotePr>
            <w:numRestart w:val="eachSect"/>
          </w:footnotePr>
          <w:pgSz w:w="11909" w:h="16834" w:code="9"/>
          <w:pgMar w:top="1440" w:right="1800" w:bottom="1440" w:left="1800" w:header="720" w:footer="720" w:gutter="0"/>
          <w:cols w:space="425"/>
          <w:docGrid w:linePitch="360"/>
        </w:sectPr>
      </w:pPr>
      <w:r w:rsidRPr="00A241F5">
        <w:t>1.1</w:t>
      </w:r>
      <w:r w:rsidR="009B76AD" w:rsidRPr="00A241F5">
        <w:t>8</w:t>
      </w:r>
      <w:r w:rsidR="001238F2" w:rsidRPr="00A241F5">
        <w:tab/>
        <w:t>In addition to attending consultation briefings, including with a committee of the Hong Kong Bar Association (</w:t>
      </w:r>
      <w:r w:rsidR="00C61F4B" w:rsidRPr="00A241F5">
        <w:t>"</w:t>
      </w:r>
      <w:r w:rsidR="001238F2" w:rsidRPr="00A241F5">
        <w:rPr>
          <w:b/>
        </w:rPr>
        <w:t>HKBA</w:t>
      </w:r>
      <w:r w:rsidR="00C61F4B" w:rsidRPr="00A241F5">
        <w:t>"</w:t>
      </w:r>
      <w:r w:rsidR="001238F2" w:rsidRPr="00A241F5">
        <w:t xml:space="preserve">), members of the Sub-committee attended the meeting of the Panel on Administration of Justice and Legal Services of the Legislative Council on 27 January 2021, as well as speaking at various conferences and writing articles.  The Sub-committee has also consulted the Law Draftsman.  The Sub-committee is grateful for the assistance of the Law Draftsman and his colleagues for their valuable contribution to its work, and their assistance in preparing the </w:t>
      </w:r>
      <w:r w:rsidR="002C4F16" w:rsidRPr="00A241F5">
        <w:t>Draft Amendments to Legal Practitioners Ordinance and Arbitration Ordinance</w:t>
      </w:r>
      <w:r w:rsidR="001238F2" w:rsidRPr="00A241F5">
        <w:t xml:space="preserve"> attached </w:t>
      </w:r>
      <w:r w:rsidR="009B76AD" w:rsidRPr="00A241F5">
        <w:t xml:space="preserve">at Annex 1 </w:t>
      </w:r>
      <w:r w:rsidR="001238F2" w:rsidRPr="00A241F5">
        <w:t>to this Report.</w:t>
      </w:r>
    </w:p>
    <w:p w14:paraId="62F18244" w14:textId="4FB02A4B" w:rsidR="001238F2" w:rsidRPr="00A241F5" w:rsidRDefault="00644C69" w:rsidP="001238F2">
      <w:pPr>
        <w:pStyle w:val="Heading1"/>
        <w:widowControl/>
        <w:tabs>
          <w:tab w:val="clear" w:pos="1418"/>
          <w:tab w:val="left" w:pos="1440"/>
        </w:tabs>
        <w:rPr>
          <w:rFonts w:cs="Arial"/>
          <w:sz w:val="32"/>
          <w:szCs w:val="32"/>
        </w:rPr>
      </w:pPr>
      <w:bookmarkStart w:id="13" w:name="Chapter02"/>
      <w:bookmarkStart w:id="14" w:name="_Chapter_2_:"/>
      <w:bookmarkEnd w:id="13"/>
      <w:bookmarkEnd w:id="14"/>
      <w:r w:rsidRPr="00A241F5">
        <w:rPr>
          <w:rFonts w:cs="Arial"/>
          <w:sz w:val="32"/>
          <w:szCs w:val="32"/>
        </w:rPr>
        <w:lastRenderedPageBreak/>
        <w:t>Chapter 2</w:t>
      </w:r>
    </w:p>
    <w:p w14:paraId="661F6702" w14:textId="77777777" w:rsidR="001238F2" w:rsidRPr="00A241F5" w:rsidRDefault="001238F2" w:rsidP="001238F2">
      <w:pPr>
        <w:rPr>
          <w:rFonts w:cs="Arial"/>
        </w:rPr>
      </w:pPr>
    </w:p>
    <w:p w14:paraId="22A86906" w14:textId="3E85BBCB" w:rsidR="00CF5393" w:rsidRPr="00A241F5" w:rsidRDefault="00352C5C" w:rsidP="001238F2">
      <w:pPr>
        <w:pStyle w:val="Heading1"/>
        <w:widowControl/>
        <w:tabs>
          <w:tab w:val="clear" w:pos="1418"/>
          <w:tab w:val="left" w:pos="1440"/>
        </w:tabs>
        <w:rPr>
          <w:rFonts w:cs="Arial"/>
          <w:sz w:val="32"/>
          <w:szCs w:val="32"/>
        </w:rPr>
      </w:pPr>
      <w:r w:rsidRPr="00A241F5">
        <w:rPr>
          <w:rFonts w:cs="Arial"/>
          <w:sz w:val="32"/>
          <w:szCs w:val="32"/>
        </w:rPr>
        <w:t>Lifting p</w:t>
      </w:r>
      <w:r w:rsidR="001238F2" w:rsidRPr="00A241F5">
        <w:rPr>
          <w:rFonts w:cs="Arial"/>
          <w:sz w:val="32"/>
          <w:szCs w:val="32"/>
        </w:rPr>
        <w:t xml:space="preserve">rohibitions on the use of CFAs </w:t>
      </w:r>
    </w:p>
    <w:p w14:paraId="32074797" w14:textId="4B1B8AD3" w:rsidR="001238F2" w:rsidRPr="00A241F5" w:rsidRDefault="00CF5393" w:rsidP="001238F2">
      <w:pPr>
        <w:pStyle w:val="Heading1"/>
        <w:widowControl/>
        <w:tabs>
          <w:tab w:val="clear" w:pos="1418"/>
          <w:tab w:val="left" w:pos="1440"/>
        </w:tabs>
        <w:rPr>
          <w:rFonts w:cs="Arial"/>
          <w:sz w:val="32"/>
          <w:szCs w:val="32"/>
        </w:rPr>
      </w:pPr>
      <w:r w:rsidRPr="00A241F5">
        <w:rPr>
          <w:rFonts w:cs="Arial"/>
          <w:sz w:val="32"/>
          <w:szCs w:val="32"/>
        </w:rPr>
        <w:t xml:space="preserve">by Lawyers </w:t>
      </w:r>
      <w:r w:rsidR="001238F2" w:rsidRPr="00A241F5">
        <w:rPr>
          <w:rFonts w:cs="Arial"/>
          <w:sz w:val="32"/>
          <w:szCs w:val="32"/>
        </w:rPr>
        <w:t xml:space="preserve">in Arbitration  </w:t>
      </w:r>
    </w:p>
    <w:p w14:paraId="5C522EEA" w14:textId="77777777" w:rsidR="001238F2" w:rsidRPr="00A241F5" w:rsidRDefault="001238F2" w:rsidP="001238F2">
      <w:pPr>
        <w:widowControl/>
        <w:tabs>
          <w:tab w:val="clear" w:pos="1418"/>
          <w:tab w:val="left" w:pos="1440"/>
        </w:tabs>
        <w:rPr>
          <w:rFonts w:cs="Arial"/>
          <w:b/>
          <w:sz w:val="32"/>
          <w:szCs w:val="32"/>
          <w:u w:val="single"/>
        </w:rPr>
      </w:pPr>
      <w:r w:rsidRPr="00A241F5">
        <w:rPr>
          <w:rFonts w:cs="Arial"/>
          <w:b/>
          <w:sz w:val="32"/>
          <w:szCs w:val="32"/>
          <w:lang w:eastAsia="x-none"/>
        </w:rPr>
        <w:t>_______________________</w:t>
      </w:r>
      <w:r w:rsidRPr="00A241F5">
        <w:rPr>
          <w:rFonts w:cs="Arial"/>
          <w:b/>
          <w:sz w:val="32"/>
          <w:szCs w:val="32"/>
        </w:rPr>
        <w:t>__________</w:t>
      </w:r>
    </w:p>
    <w:p w14:paraId="57DEB6A6" w14:textId="77777777" w:rsidR="001238F2" w:rsidRPr="00A241F5" w:rsidRDefault="001238F2" w:rsidP="001238F2">
      <w:pPr>
        <w:rPr>
          <w:rFonts w:cs="Arial"/>
        </w:rPr>
      </w:pPr>
    </w:p>
    <w:p w14:paraId="1611F0DF" w14:textId="77777777" w:rsidR="001238F2" w:rsidRPr="00A241F5" w:rsidRDefault="001238F2" w:rsidP="001238F2">
      <w:pPr>
        <w:rPr>
          <w:rFonts w:cs="Arial"/>
        </w:rPr>
      </w:pPr>
    </w:p>
    <w:p w14:paraId="49526A6F" w14:textId="77777777" w:rsidR="001238F2" w:rsidRPr="00A241F5" w:rsidRDefault="001238F2" w:rsidP="001238F2">
      <w:pPr>
        <w:rPr>
          <w:rFonts w:cs="Arial"/>
        </w:rPr>
      </w:pPr>
    </w:p>
    <w:p w14:paraId="79CA12D7" w14:textId="5BA28D4D" w:rsidR="001238F2" w:rsidRPr="00A241F5" w:rsidRDefault="001238F2" w:rsidP="001238F2">
      <w:pPr>
        <w:pStyle w:val="Heading2"/>
        <w:widowControl/>
        <w:tabs>
          <w:tab w:val="clear" w:pos="1418"/>
          <w:tab w:val="left" w:pos="1440"/>
        </w:tabs>
        <w:rPr>
          <w:rFonts w:cs="Arial"/>
        </w:rPr>
      </w:pPr>
      <w:r w:rsidRPr="00A241F5">
        <w:rPr>
          <w:rFonts w:cs="Arial"/>
        </w:rPr>
        <w:t>Responses to the Sub-committee</w:t>
      </w:r>
      <w:r w:rsidR="00C61F4B" w:rsidRPr="00A241F5">
        <w:rPr>
          <w:rFonts w:cs="Arial"/>
        </w:rPr>
        <w:t>'</w:t>
      </w:r>
      <w:r w:rsidRPr="00A241F5">
        <w:rPr>
          <w:rFonts w:cs="Arial"/>
        </w:rPr>
        <w:t>s Recommendation 1</w:t>
      </w:r>
    </w:p>
    <w:p w14:paraId="5841BF3C" w14:textId="77777777" w:rsidR="001238F2" w:rsidRPr="00A241F5" w:rsidRDefault="001238F2" w:rsidP="001238F2">
      <w:pPr>
        <w:widowControl/>
        <w:tabs>
          <w:tab w:val="clear" w:pos="1418"/>
          <w:tab w:val="left" w:pos="1440"/>
        </w:tabs>
        <w:rPr>
          <w:rFonts w:cs="Arial"/>
        </w:rPr>
      </w:pPr>
    </w:p>
    <w:p w14:paraId="6D5247D2" w14:textId="29B5B946" w:rsidR="001238F2" w:rsidRPr="00A241F5" w:rsidRDefault="00644C69" w:rsidP="001238F2">
      <w:pPr>
        <w:widowControl/>
        <w:tabs>
          <w:tab w:val="clear" w:pos="1418"/>
          <w:tab w:val="left" w:pos="1440"/>
        </w:tabs>
        <w:rPr>
          <w:rFonts w:cs="Arial"/>
        </w:rPr>
      </w:pPr>
      <w:r w:rsidRPr="00A241F5">
        <w:rPr>
          <w:rFonts w:cs="Arial"/>
        </w:rPr>
        <w:t>2.</w:t>
      </w:r>
      <w:r w:rsidR="001238F2" w:rsidRPr="00A241F5">
        <w:rPr>
          <w:rFonts w:cs="Arial"/>
        </w:rPr>
        <w:t>1</w:t>
      </w:r>
      <w:r w:rsidR="001238F2" w:rsidRPr="00A241F5">
        <w:rPr>
          <w:rFonts w:cs="Arial"/>
        </w:rPr>
        <w:tab/>
        <w:t>This Chapter discusses the responses regarding Recommendation 1 in the Consultation Paper which reads as follows</w:t>
      </w:r>
      <w:r w:rsidR="0065400A" w:rsidRPr="00A241F5">
        <w:rPr>
          <w:rFonts w:cs="Arial"/>
        </w:rPr>
        <w:t>:</w:t>
      </w:r>
    </w:p>
    <w:p w14:paraId="089A3A21" w14:textId="77777777" w:rsidR="001238F2" w:rsidRPr="00A241F5" w:rsidRDefault="001238F2" w:rsidP="001238F2">
      <w:pPr>
        <w:widowControl/>
        <w:tabs>
          <w:tab w:val="clear" w:pos="1418"/>
          <w:tab w:val="left" w:pos="1440"/>
        </w:tabs>
        <w:rPr>
          <w:rFonts w:cs="Arial"/>
        </w:rPr>
      </w:pPr>
    </w:p>
    <w:p w14:paraId="1FB4BAC3" w14:textId="1F68595A" w:rsidR="001238F2" w:rsidRPr="00A241F5" w:rsidRDefault="001238F2" w:rsidP="00C22562">
      <w:pPr>
        <w:widowControl/>
        <w:tabs>
          <w:tab w:val="left" w:pos="720"/>
        </w:tabs>
        <w:ind w:leftChars="295" w:left="708" w:rightChars="271" w:right="650"/>
        <w:rPr>
          <w:rFonts w:cs="Arial"/>
        </w:rPr>
      </w:pPr>
      <w:r w:rsidRPr="00A241F5">
        <w:rPr>
          <w:rFonts w:cs="Arial"/>
        </w:rPr>
        <w:tab/>
      </w:r>
      <w:r w:rsidR="00C61F4B" w:rsidRPr="00A241F5">
        <w:rPr>
          <w:i/>
        </w:rPr>
        <w:t>"</w:t>
      </w:r>
      <w:r w:rsidRPr="00A241F5">
        <w:rPr>
          <w:i/>
        </w:rPr>
        <w:t>The Sub-committee recommends that prohibitions on the use of CFAs in Arbitration by Lawyers should be lifted, so that Lawyers may choose to enter into CFAs for Arbitration</w:t>
      </w:r>
      <w:r w:rsidRPr="00A241F5">
        <w:t>.</w:t>
      </w:r>
      <w:r w:rsidR="00C61F4B" w:rsidRPr="00A241F5">
        <w:rPr>
          <w:i/>
        </w:rPr>
        <w:t>"</w:t>
      </w:r>
      <w:r w:rsidRPr="00A241F5">
        <w:rPr>
          <w:rStyle w:val="FootnoteReference"/>
          <w:spacing w:val="-3"/>
          <w:sz w:val="24"/>
        </w:rPr>
        <w:footnoteReference w:id="11"/>
      </w:r>
    </w:p>
    <w:p w14:paraId="736D9C36" w14:textId="77777777" w:rsidR="001238F2" w:rsidRPr="00A241F5" w:rsidRDefault="001238F2" w:rsidP="001238F2">
      <w:pPr>
        <w:widowControl/>
        <w:tabs>
          <w:tab w:val="clear" w:pos="1418"/>
          <w:tab w:val="left" w:pos="1440"/>
        </w:tabs>
        <w:rPr>
          <w:rFonts w:cs="Arial"/>
        </w:rPr>
      </w:pPr>
    </w:p>
    <w:p w14:paraId="4F0EA77F" w14:textId="3D8E6C87" w:rsidR="001238F2" w:rsidRPr="00A241F5" w:rsidRDefault="00644C69" w:rsidP="001238F2">
      <w:pPr>
        <w:widowControl/>
        <w:tabs>
          <w:tab w:val="clear" w:pos="1418"/>
          <w:tab w:val="left" w:pos="1440"/>
        </w:tabs>
        <w:rPr>
          <w:rFonts w:cs="Arial"/>
        </w:rPr>
      </w:pPr>
      <w:r w:rsidRPr="00A241F5">
        <w:rPr>
          <w:rFonts w:cs="Arial"/>
        </w:rPr>
        <w:t>2.</w:t>
      </w:r>
      <w:r w:rsidR="001238F2" w:rsidRPr="00A241F5">
        <w:rPr>
          <w:rFonts w:cs="Arial"/>
        </w:rPr>
        <w:t>2</w:t>
      </w:r>
      <w:r w:rsidR="001238F2" w:rsidRPr="00A241F5">
        <w:rPr>
          <w:rFonts w:cs="Arial"/>
        </w:rPr>
        <w:tab/>
        <w:t xml:space="preserve">An overwhelming majority of the Respondents supported Recommendation 1.  Those in favour included </w:t>
      </w:r>
      <w:r w:rsidR="004D326A" w:rsidRPr="00A241F5">
        <w:rPr>
          <w:rFonts w:cs="Arial"/>
        </w:rPr>
        <w:t xml:space="preserve">an </w:t>
      </w:r>
      <w:r w:rsidR="001238F2" w:rsidRPr="00A241F5">
        <w:rPr>
          <w:rFonts w:cs="Arial"/>
        </w:rPr>
        <w:t>arbitral institution, an arbitrator/barrister, a chamber of commerce, consumer/public interest groups, a Government department, law firms, a litigation funder, professional bodies and a regulator.</w:t>
      </w:r>
    </w:p>
    <w:p w14:paraId="003C91ED" w14:textId="77777777" w:rsidR="001238F2" w:rsidRPr="00A241F5" w:rsidRDefault="001238F2" w:rsidP="001238F2">
      <w:pPr>
        <w:widowControl/>
        <w:tabs>
          <w:tab w:val="clear" w:pos="1418"/>
          <w:tab w:val="left" w:pos="1440"/>
        </w:tabs>
        <w:rPr>
          <w:rFonts w:cs="Arial"/>
        </w:rPr>
      </w:pPr>
    </w:p>
    <w:p w14:paraId="2EB6DBF5" w14:textId="77777777" w:rsidR="001238F2" w:rsidRPr="00A241F5" w:rsidRDefault="001238F2" w:rsidP="001238F2">
      <w:pPr>
        <w:widowControl/>
        <w:tabs>
          <w:tab w:val="clear" w:pos="1418"/>
          <w:tab w:val="left" w:pos="1440"/>
        </w:tabs>
        <w:rPr>
          <w:rFonts w:cs="Arial"/>
        </w:rPr>
      </w:pPr>
    </w:p>
    <w:p w14:paraId="38211BF3" w14:textId="62F534C6" w:rsidR="001238F2" w:rsidRPr="00A241F5" w:rsidRDefault="001238F2" w:rsidP="001238F2">
      <w:pPr>
        <w:pStyle w:val="Heading2"/>
        <w:widowControl/>
        <w:tabs>
          <w:tab w:val="clear" w:pos="1418"/>
          <w:tab w:val="left" w:pos="1440"/>
        </w:tabs>
        <w:rPr>
          <w:rFonts w:cs="Arial"/>
          <w:i/>
          <w:sz w:val="24"/>
        </w:rPr>
      </w:pPr>
      <w:r w:rsidRPr="00A241F5">
        <w:rPr>
          <w:rFonts w:cs="Arial"/>
          <w:i/>
          <w:sz w:val="24"/>
        </w:rPr>
        <w:t>Comments from Respondents who supported Recommendation 1</w:t>
      </w:r>
    </w:p>
    <w:p w14:paraId="693A0840" w14:textId="77777777" w:rsidR="001238F2" w:rsidRPr="00A241F5" w:rsidRDefault="001238F2" w:rsidP="001238F2">
      <w:pPr>
        <w:widowControl/>
        <w:tabs>
          <w:tab w:val="clear" w:pos="1418"/>
          <w:tab w:val="left" w:pos="1440"/>
        </w:tabs>
        <w:rPr>
          <w:rFonts w:cs="Arial"/>
        </w:rPr>
      </w:pPr>
    </w:p>
    <w:p w14:paraId="725B6A52" w14:textId="3FAA5732" w:rsidR="001238F2" w:rsidRPr="00A241F5" w:rsidRDefault="00644C69" w:rsidP="001238F2">
      <w:pPr>
        <w:widowControl/>
        <w:tabs>
          <w:tab w:val="clear" w:pos="1418"/>
          <w:tab w:val="left" w:pos="1440"/>
        </w:tabs>
        <w:rPr>
          <w:rFonts w:cs="Arial"/>
        </w:rPr>
      </w:pPr>
      <w:r w:rsidRPr="00A241F5">
        <w:rPr>
          <w:rFonts w:cs="Arial"/>
        </w:rPr>
        <w:t>2.</w:t>
      </w:r>
      <w:r w:rsidR="001238F2" w:rsidRPr="00A241F5">
        <w:rPr>
          <w:rFonts w:cs="Arial"/>
        </w:rPr>
        <w:t>3</w:t>
      </w:r>
      <w:r w:rsidR="001238F2" w:rsidRPr="00A241F5">
        <w:rPr>
          <w:rFonts w:cs="Arial"/>
        </w:rPr>
        <w:tab/>
        <w:t>All but one of the submissions that commented on Recommendation 1 supported the recommendation.</w:t>
      </w:r>
      <w:r w:rsidR="001238F2" w:rsidRPr="00A241F5">
        <w:rPr>
          <w:rStyle w:val="FootnoteReference"/>
          <w:rFonts w:cs="Arial"/>
          <w:sz w:val="24"/>
        </w:rPr>
        <w:footnoteReference w:id="12"/>
      </w:r>
      <w:r w:rsidR="001238F2" w:rsidRPr="00A241F5">
        <w:rPr>
          <w:rFonts w:cs="Arial"/>
        </w:rPr>
        <w:t xml:space="preserve">  They also supported the proposal that the reference to </w:t>
      </w:r>
      <w:r w:rsidR="00C61F4B" w:rsidRPr="00A241F5">
        <w:rPr>
          <w:rFonts w:cs="Arial"/>
        </w:rPr>
        <w:t>"</w:t>
      </w:r>
      <w:r w:rsidR="001238F2" w:rsidRPr="00A241F5">
        <w:rPr>
          <w:rFonts w:cs="Arial"/>
        </w:rPr>
        <w:t>Arbitration</w:t>
      </w:r>
      <w:r w:rsidR="00C61F4B" w:rsidRPr="00A241F5">
        <w:rPr>
          <w:rFonts w:cs="Arial"/>
        </w:rPr>
        <w:t>"</w:t>
      </w:r>
      <w:r w:rsidR="001238F2" w:rsidRPr="00A241F5">
        <w:rPr>
          <w:rFonts w:cs="Arial"/>
        </w:rPr>
        <w:t xml:space="preserve"> should have the meaning given to it in section 98F of the Arbitration Ordinance, namely, to include the following proceedings under that Ordinance: (i) court proceedings; (ii) emergency arbitrator proceedings; and (iii) mediation proceedings.  </w:t>
      </w:r>
    </w:p>
    <w:p w14:paraId="380ABB48" w14:textId="77777777" w:rsidR="001238F2" w:rsidRPr="00A241F5" w:rsidRDefault="001238F2" w:rsidP="001238F2">
      <w:pPr>
        <w:widowControl/>
        <w:tabs>
          <w:tab w:val="clear" w:pos="1418"/>
          <w:tab w:val="left" w:pos="1440"/>
        </w:tabs>
        <w:rPr>
          <w:rFonts w:cs="Arial"/>
        </w:rPr>
      </w:pPr>
    </w:p>
    <w:p w14:paraId="0EBF9DCA" w14:textId="5C745476" w:rsidR="001238F2" w:rsidRPr="00A241F5" w:rsidRDefault="00644C69" w:rsidP="001238F2">
      <w:pPr>
        <w:keepNext/>
        <w:widowControl/>
        <w:tabs>
          <w:tab w:val="clear" w:pos="1418"/>
          <w:tab w:val="left" w:pos="1440"/>
        </w:tabs>
        <w:rPr>
          <w:rFonts w:cs="Arial"/>
        </w:rPr>
      </w:pPr>
      <w:r w:rsidRPr="00A241F5">
        <w:rPr>
          <w:rFonts w:cs="Arial"/>
        </w:rPr>
        <w:t>2.</w:t>
      </w:r>
      <w:r w:rsidR="001238F2" w:rsidRPr="00A241F5">
        <w:rPr>
          <w:rFonts w:cs="Arial"/>
        </w:rPr>
        <w:t>4</w:t>
      </w:r>
      <w:r w:rsidR="001238F2" w:rsidRPr="00A241F5">
        <w:rPr>
          <w:rFonts w:cs="Arial"/>
        </w:rPr>
        <w:tab/>
        <w:t>The Law Society of Hong Kong (</w:t>
      </w:r>
      <w:r w:rsidR="00C61F4B" w:rsidRPr="00A241F5">
        <w:rPr>
          <w:rFonts w:cs="Arial"/>
        </w:rPr>
        <w:t>"</w:t>
      </w:r>
      <w:r w:rsidR="001238F2" w:rsidRPr="00A241F5">
        <w:rPr>
          <w:rFonts w:cs="Arial"/>
          <w:b/>
        </w:rPr>
        <w:t>Law Society</w:t>
      </w:r>
      <w:r w:rsidR="00C61F4B" w:rsidRPr="00A241F5">
        <w:rPr>
          <w:rFonts w:cs="Arial"/>
        </w:rPr>
        <w:t>"</w:t>
      </w:r>
      <w:r w:rsidR="001238F2" w:rsidRPr="00A241F5">
        <w:rPr>
          <w:rFonts w:cs="Arial"/>
        </w:rPr>
        <w:t>) made the following general observations:</w:t>
      </w:r>
    </w:p>
    <w:p w14:paraId="6814FFAF" w14:textId="77777777" w:rsidR="001238F2" w:rsidRPr="00A241F5" w:rsidRDefault="001238F2" w:rsidP="001238F2">
      <w:pPr>
        <w:keepNext/>
        <w:widowControl/>
        <w:tabs>
          <w:tab w:val="clear" w:pos="1418"/>
          <w:tab w:val="left" w:pos="1440"/>
        </w:tabs>
        <w:rPr>
          <w:rFonts w:cs="Arial"/>
        </w:rPr>
      </w:pPr>
    </w:p>
    <w:p w14:paraId="08A1CA59" w14:textId="17857524" w:rsidR="001238F2" w:rsidRPr="00A241F5" w:rsidRDefault="00C61F4B" w:rsidP="001238F2">
      <w:pPr>
        <w:pStyle w:val="BlockText"/>
      </w:pPr>
      <w:r w:rsidRPr="00A241F5">
        <w:t>"</w:t>
      </w:r>
      <w:r w:rsidR="001238F2" w:rsidRPr="00A241F5">
        <w:t xml:space="preserve">The Law Society supports the policy direction which underlines </w:t>
      </w:r>
      <w:r w:rsidR="003C0FF4" w:rsidRPr="00A241F5">
        <w:rPr>
          <w:i w:val="0"/>
        </w:rPr>
        <w:t>[</w:t>
      </w:r>
      <w:r w:rsidR="003C0FF4" w:rsidRPr="00A241F5">
        <w:t>sic</w:t>
      </w:r>
      <w:r w:rsidR="003C0FF4" w:rsidRPr="00A241F5">
        <w:rPr>
          <w:i w:val="0"/>
        </w:rPr>
        <w:t>]</w:t>
      </w:r>
      <w:r w:rsidR="003C0FF4" w:rsidRPr="00A241F5">
        <w:t xml:space="preserve"> </w:t>
      </w:r>
      <w:r w:rsidR="001238F2" w:rsidRPr="00A241F5">
        <w:t>the Sub-committee</w:t>
      </w:r>
      <w:r w:rsidRPr="00A241F5">
        <w:t>'</w:t>
      </w:r>
      <w:r w:rsidR="001238F2" w:rsidRPr="00A241F5">
        <w:t>s recommendations, i.e Lawyers in Hong Kong must remain globally competitive with lawyers in other jurisdictions and that there ought to be a level playing field in arbitration.  This is fundamentally essential to maintain and to continue to enhance Hong Kong</w:t>
      </w:r>
      <w:r w:rsidRPr="00A241F5">
        <w:t>'</w:t>
      </w:r>
      <w:r w:rsidR="001238F2" w:rsidRPr="00A241F5">
        <w:t>s status as a leading international arbitration hub for cross-border and international commercial and investment disputes</w:t>
      </w:r>
      <w:r w:rsidR="00923002" w:rsidRPr="00A241F5">
        <w:t>.</w:t>
      </w:r>
      <w:r w:rsidRPr="00A241F5">
        <w:t>"</w:t>
      </w:r>
    </w:p>
    <w:p w14:paraId="41DC6FC7" w14:textId="77777777" w:rsidR="001238F2" w:rsidRPr="00A241F5" w:rsidRDefault="001238F2" w:rsidP="001238F2">
      <w:pPr>
        <w:widowControl/>
        <w:tabs>
          <w:tab w:val="clear" w:pos="1418"/>
          <w:tab w:val="left" w:pos="1440"/>
        </w:tabs>
        <w:rPr>
          <w:rFonts w:cs="Arial"/>
        </w:rPr>
      </w:pPr>
    </w:p>
    <w:p w14:paraId="40B90F04" w14:textId="33162F8E" w:rsidR="001238F2" w:rsidRPr="00A241F5" w:rsidRDefault="00644C69" w:rsidP="001238F2">
      <w:pPr>
        <w:widowControl/>
        <w:tabs>
          <w:tab w:val="clear" w:pos="1418"/>
          <w:tab w:val="left" w:pos="1440"/>
        </w:tabs>
        <w:rPr>
          <w:rFonts w:cs="Arial"/>
        </w:rPr>
      </w:pPr>
      <w:r w:rsidRPr="00A241F5">
        <w:rPr>
          <w:rFonts w:cs="Arial"/>
        </w:rPr>
        <w:lastRenderedPageBreak/>
        <w:t>2.</w:t>
      </w:r>
      <w:r w:rsidR="001238F2" w:rsidRPr="00A241F5">
        <w:rPr>
          <w:rFonts w:cs="Arial"/>
        </w:rPr>
        <w:t>5</w:t>
      </w:r>
      <w:r w:rsidR="001238F2" w:rsidRPr="00A241F5">
        <w:rPr>
          <w:rFonts w:cs="Arial"/>
        </w:rPr>
        <w:tab/>
        <w:t>The Respondents generally supported allowing parties to Arbitration the freedom to select the type of ORFS that best suits their circumstances.  An international law firm observed:</w:t>
      </w:r>
    </w:p>
    <w:p w14:paraId="1681F19C" w14:textId="77777777" w:rsidR="001238F2" w:rsidRPr="00A241F5" w:rsidRDefault="001238F2" w:rsidP="001238F2">
      <w:pPr>
        <w:widowControl/>
        <w:tabs>
          <w:tab w:val="clear" w:pos="1418"/>
          <w:tab w:val="left" w:pos="1440"/>
        </w:tabs>
        <w:rPr>
          <w:rFonts w:cs="Arial"/>
          <w:i/>
        </w:rPr>
      </w:pPr>
      <w:r w:rsidRPr="00A241F5">
        <w:rPr>
          <w:rFonts w:cs="Arial"/>
        </w:rPr>
        <w:tab/>
      </w:r>
    </w:p>
    <w:p w14:paraId="121EA965" w14:textId="20C037C7" w:rsidR="001238F2" w:rsidRPr="00A241F5" w:rsidRDefault="00C61F4B" w:rsidP="001238F2">
      <w:pPr>
        <w:pStyle w:val="BlockText"/>
      </w:pPr>
      <w:r w:rsidRPr="00A241F5">
        <w:t>"</w:t>
      </w:r>
      <w:r w:rsidR="001238F2" w:rsidRPr="00A241F5">
        <w:t>…</w:t>
      </w:r>
      <w:r w:rsidR="00BA4102" w:rsidRPr="00A241F5">
        <w:t xml:space="preserve"> </w:t>
      </w:r>
      <w:r w:rsidR="00183CB7" w:rsidRPr="00A241F5">
        <w:t>w</w:t>
      </w:r>
      <w:r w:rsidR="001238F2" w:rsidRPr="00A241F5">
        <w:t>e believe that arbitrating parties should have the freedom to select the type of ORFS, whether it be CFA, DBA or Hybrid DBA, that best suits their needs.  Allowing such a choice would provide parties with welcome flexibility in respect of how they fund their disputes and complement the third-party funding reforms that Hong Kong has already adopted</w:t>
      </w:r>
      <w:r w:rsidR="00923002" w:rsidRPr="00A241F5">
        <w:t>.</w:t>
      </w:r>
      <w:r w:rsidRPr="00A241F5">
        <w:t>"</w:t>
      </w:r>
    </w:p>
    <w:p w14:paraId="3D553240" w14:textId="77777777" w:rsidR="001238F2" w:rsidRPr="00A241F5" w:rsidRDefault="001238F2" w:rsidP="001238F2">
      <w:pPr>
        <w:jc w:val="left"/>
        <w:rPr>
          <w:rFonts w:cs="Arial"/>
        </w:rPr>
      </w:pPr>
    </w:p>
    <w:p w14:paraId="0875A1B0" w14:textId="54A46DA2" w:rsidR="001238F2" w:rsidRPr="00A241F5" w:rsidRDefault="00644C69" w:rsidP="00BD5776">
      <w:pPr>
        <w:rPr>
          <w:rFonts w:cs="Arial"/>
        </w:rPr>
      </w:pPr>
      <w:r w:rsidRPr="00A241F5">
        <w:rPr>
          <w:rFonts w:cs="Arial"/>
        </w:rPr>
        <w:t>2.</w:t>
      </w:r>
      <w:r w:rsidR="001238F2" w:rsidRPr="00A241F5">
        <w:rPr>
          <w:rFonts w:cs="Arial"/>
        </w:rPr>
        <w:t>6</w:t>
      </w:r>
      <w:r w:rsidR="001238F2" w:rsidRPr="00A241F5">
        <w:rPr>
          <w:rFonts w:cs="Arial"/>
        </w:rPr>
        <w:tab/>
        <w:t>A litigation funder expressed similar views in support of the recommendation:</w:t>
      </w:r>
    </w:p>
    <w:p w14:paraId="23C887A6" w14:textId="77777777" w:rsidR="001238F2" w:rsidRPr="00A241F5" w:rsidRDefault="001238F2" w:rsidP="001238F2">
      <w:pPr>
        <w:jc w:val="left"/>
        <w:rPr>
          <w:rFonts w:cs="Arial"/>
        </w:rPr>
      </w:pPr>
    </w:p>
    <w:p w14:paraId="5F08B34F" w14:textId="2973831C" w:rsidR="001238F2" w:rsidRPr="00A241F5" w:rsidRDefault="00C61F4B" w:rsidP="001238F2">
      <w:pPr>
        <w:ind w:left="720" w:right="720"/>
        <w:rPr>
          <w:rFonts w:cs="Arial"/>
        </w:rPr>
      </w:pPr>
      <w:r w:rsidRPr="00A241F5">
        <w:rPr>
          <w:rFonts w:cs="Arial"/>
          <w:i/>
        </w:rPr>
        <w:t>"</w:t>
      </w:r>
      <w:r w:rsidR="001238F2" w:rsidRPr="00A241F5">
        <w:rPr>
          <w:rFonts w:cs="Arial"/>
          <w:i/>
        </w:rPr>
        <w:t xml:space="preserve">… the introduction of CFAs in Hong Kong arbitration will promote access to justice and risk management, as well as promoting Hong Kong as a hub for commercial dispute resolution by bringing it in line with major international dispute resolution hubs like London and New York.  </w:t>
      </w:r>
      <w:r w:rsidR="001238F2" w:rsidRPr="00A241F5">
        <w:rPr>
          <w:rFonts w:cs="Arial"/>
        </w:rPr>
        <w:t>[</w:t>
      </w:r>
      <w:r w:rsidR="001238F2" w:rsidRPr="00A241F5">
        <w:rPr>
          <w:rFonts w:cs="Arial"/>
          <w:i/>
        </w:rPr>
        <w:t>Protective measures</w:t>
      </w:r>
      <w:r w:rsidR="001238F2" w:rsidRPr="00A241F5">
        <w:rPr>
          <w:rFonts w:cs="Arial"/>
        </w:rPr>
        <w:t>]</w:t>
      </w:r>
      <w:r w:rsidR="001238F2" w:rsidRPr="00A241F5">
        <w:rPr>
          <w:rFonts w:cs="Arial"/>
          <w:i/>
        </w:rPr>
        <w:t xml:space="preserve"> are necessary to protect users and the integrity of the arbitral process, without unnecessarily limiting the flexibility for clients and lawyers to make arrangements which suit the particular circumstances of a case</w:t>
      </w:r>
      <w:r w:rsidR="00923002" w:rsidRPr="00A241F5">
        <w:rPr>
          <w:rFonts w:cs="Arial"/>
          <w:i/>
        </w:rPr>
        <w:t>.</w:t>
      </w:r>
      <w:r w:rsidRPr="00A241F5">
        <w:rPr>
          <w:rFonts w:cs="Arial"/>
          <w:i/>
        </w:rPr>
        <w:t>"</w:t>
      </w:r>
    </w:p>
    <w:p w14:paraId="6BD3CCE4" w14:textId="77777777" w:rsidR="001238F2" w:rsidRPr="00A241F5" w:rsidRDefault="001238F2" w:rsidP="001238F2">
      <w:pPr>
        <w:widowControl/>
        <w:tabs>
          <w:tab w:val="clear" w:pos="1418"/>
          <w:tab w:val="left" w:pos="1440"/>
        </w:tabs>
        <w:rPr>
          <w:rFonts w:cs="Arial"/>
        </w:rPr>
      </w:pPr>
    </w:p>
    <w:p w14:paraId="376835F3" w14:textId="1BE6577A" w:rsidR="001238F2" w:rsidRPr="00A241F5" w:rsidRDefault="00644C69" w:rsidP="001238F2">
      <w:pPr>
        <w:widowControl/>
        <w:tabs>
          <w:tab w:val="clear" w:pos="1418"/>
          <w:tab w:val="left" w:pos="1440"/>
        </w:tabs>
        <w:rPr>
          <w:rFonts w:cs="Arial"/>
        </w:rPr>
      </w:pPr>
      <w:r w:rsidRPr="00A241F5">
        <w:rPr>
          <w:rFonts w:cs="Arial"/>
        </w:rPr>
        <w:t>2.</w:t>
      </w:r>
      <w:r w:rsidR="001238F2" w:rsidRPr="00A241F5">
        <w:rPr>
          <w:rFonts w:cs="Arial"/>
        </w:rPr>
        <w:t>7</w:t>
      </w:r>
      <w:r w:rsidR="001238F2" w:rsidRPr="00A241F5">
        <w:rPr>
          <w:rFonts w:cs="Arial"/>
        </w:rPr>
        <w:tab/>
      </w:r>
      <w:r w:rsidR="00593156" w:rsidRPr="00A241F5">
        <w:rPr>
          <w:rFonts w:cs="Arial"/>
        </w:rPr>
        <w:t>Many</w:t>
      </w:r>
      <w:r w:rsidR="001238F2" w:rsidRPr="00A241F5">
        <w:rPr>
          <w:rFonts w:cs="Arial"/>
        </w:rPr>
        <w:t xml:space="preserve"> Respondents agreed with the Sub-committee that the benefits arising from the introduction of CFAs in Arbitration outweigh the problems and risks identified with CFAs, so long as appropriate safeguards are introduced.  For example, a regulator observed:</w:t>
      </w:r>
    </w:p>
    <w:p w14:paraId="33EA6D24" w14:textId="77777777" w:rsidR="001238F2" w:rsidRPr="00A241F5" w:rsidRDefault="001238F2" w:rsidP="001238F2">
      <w:pPr>
        <w:widowControl/>
        <w:tabs>
          <w:tab w:val="clear" w:pos="1418"/>
          <w:tab w:val="left" w:pos="1440"/>
        </w:tabs>
        <w:rPr>
          <w:rFonts w:cs="Arial"/>
        </w:rPr>
      </w:pPr>
    </w:p>
    <w:p w14:paraId="4369CAF4" w14:textId="264EE9D6" w:rsidR="001238F2" w:rsidRPr="00A241F5" w:rsidRDefault="00C61F4B" w:rsidP="001238F2">
      <w:pPr>
        <w:ind w:left="720" w:right="720"/>
        <w:rPr>
          <w:rFonts w:cs="Arial"/>
          <w:i/>
        </w:rPr>
      </w:pPr>
      <w:r w:rsidRPr="00A241F5">
        <w:rPr>
          <w:rFonts w:cs="Arial"/>
          <w:i/>
        </w:rPr>
        <w:t>"</w:t>
      </w:r>
      <w:r w:rsidR="001238F2" w:rsidRPr="00A241F5">
        <w:rPr>
          <w:rFonts w:cs="Arial"/>
          <w:i/>
        </w:rPr>
        <w:t>… on balance, given that the proposal is limited to arbitration, our general view is that the potential advantages may outweigh the potential concerns.  However, we do view it as imperative that the safeguards outlined in the Consultation Paper (e</w:t>
      </w:r>
      <w:r w:rsidR="00DB4594" w:rsidRPr="00A241F5">
        <w:rPr>
          <w:rFonts w:cs="Arial"/>
          <w:i/>
        </w:rPr>
        <w:t>.</w:t>
      </w:r>
      <w:r w:rsidR="001238F2" w:rsidRPr="00A241F5">
        <w:rPr>
          <w:rFonts w:cs="Arial"/>
          <w:i/>
        </w:rPr>
        <w:t>g</w:t>
      </w:r>
      <w:r w:rsidR="00DB4594" w:rsidRPr="00A241F5">
        <w:rPr>
          <w:rFonts w:cs="Arial"/>
          <w:i/>
        </w:rPr>
        <w:t>.</w:t>
      </w:r>
      <w:r w:rsidR="001238F2" w:rsidRPr="00A241F5">
        <w:rPr>
          <w:rFonts w:cs="Arial"/>
          <w:i/>
        </w:rPr>
        <w:t xml:space="preserve"> the need to have a written agreement clearly setting out the scope of ORFS between a client and the lawyer, the appropriate and reasonable limit or restriction to the fees recoverable etc.) are implemented to minimize the prospect of opportunistic and frivolous proceedings and unnecessary disputes between parties</w:t>
      </w:r>
      <w:r w:rsidR="00923002" w:rsidRPr="00A241F5">
        <w:rPr>
          <w:rFonts w:cs="Arial"/>
          <w:i/>
        </w:rPr>
        <w:t>.</w:t>
      </w:r>
      <w:r w:rsidRPr="00A241F5">
        <w:rPr>
          <w:rFonts w:cs="Arial"/>
          <w:i/>
        </w:rPr>
        <w:t>"</w:t>
      </w:r>
    </w:p>
    <w:p w14:paraId="4C9BDA6A" w14:textId="77777777" w:rsidR="001238F2" w:rsidRPr="00A241F5" w:rsidRDefault="001238F2" w:rsidP="001238F2">
      <w:pPr>
        <w:jc w:val="left"/>
        <w:rPr>
          <w:rFonts w:cs="Arial"/>
          <w:i/>
        </w:rPr>
      </w:pPr>
    </w:p>
    <w:p w14:paraId="1217044E" w14:textId="430EC8C0" w:rsidR="001238F2" w:rsidRPr="00A241F5" w:rsidRDefault="00644C69" w:rsidP="001238F2">
      <w:pPr>
        <w:jc w:val="left"/>
        <w:rPr>
          <w:rFonts w:cs="Arial"/>
        </w:rPr>
      </w:pPr>
      <w:r w:rsidRPr="00A241F5">
        <w:rPr>
          <w:rFonts w:cs="Arial"/>
        </w:rPr>
        <w:t>2.</w:t>
      </w:r>
      <w:r w:rsidR="001238F2" w:rsidRPr="00A241F5">
        <w:rPr>
          <w:rFonts w:cs="Arial"/>
        </w:rPr>
        <w:t>8</w:t>
      </w:r>
      <w:r w:rsidR="001238F2" w:rsidRPr="00A241F5">
        <w:rPr>
          <w:rFonts w:cs="Arial"/>
        </w:rPr>
        <w:tab/>
        <w:t xml:space="preserve">The Consumer Council commented: </w:t>
      </w:r>
    </w:p>
    <w:p w14:paraId="180CD81D" w14:textId="77777777" w:rsidR="001238F2" w:rsidRPr="00A241F5" w:rsidRDefault="001238F2" w:rsidP="001238F2">
      <w:pPr>
        <w:jc w:val="left"/>
        <w:rPr>
          <w:rFonts w:cs="Arial"/>
        </w:rPr>
      </w:pPr>
    </w:p>
    <w:p w14:paraId="1EA1363D" w14:textId="77777777" w:rsidR="00153BD8" w:rsidRPr="00A241F5" w:rsidRDefault="00C61F4B" w:rsidP="001238F2">
      <w:pPr>
        <w:ind w:left="720" w:right="720"/>
        <w:rPr>
          <w:rFonts w:cs="Arial"/>
          <w:i/>
        </w:rPr>
      </w:pPr>
      <w:r w:rsidRPr="00A241F5">
        <w:rPr>
          <w:rFonts w:cs="Arial"/>
          <w:i/>
        </w:rPr>
        <w:t>"</w:t>
      </w:r>
      <w:r w:rsidR="001238F2" w:rsidRPr="00A241F5">
        <w:rPr>
          <w:rFonts w:cs="Arial"/>
          <w:i/>
        </w:rPr>
        <w:t>It is … the Council</w:t>
      </w:r>
      <w:r w:rsidRPr="00A241F5">
        <w:rPr>
          <w:rFonts w:cs="Arial"/>
          <w:i/>
        </w:rPr>
        <w:t>'</w:t>
      </w:r>
      <w:r w:rsidR="001238F2" w:rsidRPr="00A241F5">
        <w:rPr>
          <w:rFonts w:cs="Arial"/>
          <w:i/>
        </w:rPr>
        <w:t>s view that the Sub-committee</w:t>
      </w:r>
      <w:r w:rsidRPr="00A241F5">
        <w:rPr>
          <w:rFonts w:cs="Arial"/>
          <w:i/>
        </w:rPr>
        <w:t>'</w:t>
      </w:r>
      <w:r w:rsidR="001238F2" w:rsidRPr="00A241F5">
        <w:rPr>
          <w:rFonts w:cs="Arial"/>
          <w:i/>
        </w:rPr>
        <w:t xml:space="preserve">s recommendations to lift prohibition against ORFS in arbitration would help achieve better accessibility to justice and provide more choice.  However, this has to be based on the proviso that sufficient safeguards are to be in place for the protection of consumers.  </w:t>
      </w:r>
    </w:p>
    <w:p w14:paraId="7C7FCB96" w14:textId="77777777" w:rsidR="00153BD8" w:rsidRPr="00A241F5" w:rsidRDefault="00153BD8" w:rsidP="001238F2">
      <w:pPr>
        <w:ind w:left="720" w:right="720"/>
        <w:rPr>
          <w:rFonts w:cs="Arial"/>
          <w:i/>
        </w:rPr>
      </w:pPr>
    </w:p>
    <w:p w14:paraId="3FCB97B8" w14:textId="42B01B86" w:rsidR="001238F2" w:rsidRPr="00A241F5" w:rsidRDefault="001238F2" w:rsidP="001238F2">
      <w:pPr>
        <w:ind w:left="720" w:right="720"/>
        <w:rPr>
          <w:rFonts w:cs="Arial"/>
          <w:i/>
        </w:rPr>
      </w:pPr>
      <w:r w:rsidRPr="00A241F5">
        <w:rPr>
          <w:rFonts w:cs="Arial"/>
          <w:i/>
        </w:rPr>
        <w:t>The Council is therefore supportive of the LRC</w:t>
      </w:r>
      <w:r w:rsidR="00C61F4B" w:rsidRPr="00A241F5">
        <w:rPr>
          <w:rFonts w:cs="Arial"/>
          <w:i/>
        </w:rPr>
        <w:t>'</w:t>
      </w:r>
      <w:r w:rsidRPr="00A241F5">
        <w:rPr>
          <w:rFonts w:cs="Arial"/>
          <w:i/>
        </w:rPr>
        <w:t>s recommendations 1</w:t>
      </w:r>
      <w:r w:rsidR="00153BD8" w:rsidRPr="00A241F5">
        <w:rPr>
          <w:rFonts w:cs="Arial"/>
        </w:rPr>
        <w:t>[</w:t>
      </w:r>
      <w:r w:rsidRPr="00A241F5">
        <w:rPr>
          <w:rFonts w:cs="Arial"/>
          <w:i/>
        </w:rPr>
        <w:t>,</w:t>
      </w:r>
      <w:r w:rsidR="00153BD8" w:rsidRPr="00A241F5">
        <w:rPr>
          <w:rFonts w:cs="Arial"/>
        </w:rPr>
        <w:t>]</w:t>
      </w:r>
      <w:r w:rsidRPr="00A241F5">
        <w:rPr>
          <w:rFonts w:cs="Arial"/>
        </w:rPr>
        <w:t xml:space="preserve"> </w:t>
      </w:r>
      <w:r w:rsidRPr="00A241F5">
        <w:rPr>
          <w:rFonts w:cs="Arial"/>
          <w:i/>
        </w:rPr>
        <w:t>4, and 6 insofar as lifting prohibitions on the use of different types of funding models for arbitration</w:t>
      </w:r>
      <w:r w:rsidR="00923002" w:rsidRPr="00A241F5">
        <w:rPr>
          <w:rFonts w:cs="Arial"/>
          <w:i/>
        </w:rPr>
        <w:t>.</w:t>
      </w:r>
      <w:r w:rsidR="00C61F4B" w:rsidRPr="00A241F5">
        <w:rPr>
          <w:rFonts w:cs="Arial"/>
          <w:i/>
        </w:rPr>
        <w:t>"</w:t>
      </w:r>
    </w:p>
    <w:p w14:paraId="008836C1" w14:textId="77777777" w:rsidR="001238F2" w:rsidRPr="00A241F5" w:rsidRDefault="001238F2" w:rsidP="001238F2">
      <w:pPr>
        <w:ind w:firstLine="720"/>
        <w:jc w:val="left"/>
        <w:rPr>
          <w:rFonts w:cs="Arial"/>
        </w:rPr>
      </w:pPr>
    </w:p>
    <w:p w14:paraId="04A9337A" w14:textId="7A2BE140" w:rsidR="001238F2" w:rsidRPr="00A241F5" w:rsidRDefault="001238F2" w:rsidP="001238F2">
      <w:pPr>
        <w:pStyle w:val="Heading2"/>
        <w:keepLines/>
        <w:widowControl/>
        <w:tabs>
          <w:tab w:val="clear" w:pos="1418"/>
          <w:tab w:val="left" w:pos="1440"/>
        </w:tabs>
        <w:rPr>
          <w:rFonts w:cs="Arial"/>
          <w:i/>
          <w:sz w:val="24"/>
        </w:rPr>
      </w:pPr>
      <w:r w:rsidRPr="00A241F5">
        <w:rPr>
          <w:rFonts w:cs="Arial"/>
          <w:i/>
          <w:sz w:val="24"/>
        </w:rPr>
        <w:t>Comments from the Respondent who opposed Recommendation 1</w:t>
      </w:r>
    </w:p>
    <w:p w14:paraId="6A288CFC" w14:textId="77777777" w:rsidR="001238F2" w:rsidRPr="00A241F5" w:rsidRDefault="001238F2" w:rsidP="001238F2">
      <w:pPr>
        <w:keepNext/>
        <w:keepLines/>
        <w:widowControl/>
        <w:tabs>
          <w:tab w:val="left" w:pos="720"/>
        </w:tabs>
        <w:rPr>
          <w:rFonts w:cs="Arial"/>
        </w:rPr>
      </w:pPr>
      <w:r w:rsidRPr="00A241F5">
        <w:rPr>
          <w:rFonts w:cs="Arial"/>
        </w:rPr>
        <w:tab/>
      </w:r>
    </w:p>
    <w:p w14:paraId="30B597B1" w14:textId="517B3994" w:rsidR="001238F2" w:rsidRPr="00A241F5" w:rsidRDefault="00644C69" w:rsidP="001238F2">
      <w:pPr>
        <w:widowControl/>
        <w:tabs>
          <w:tab w:val="clear" w:pos="1418"/>
          <w:tab w:val="left" w:pos="1440"/>
        </w:tabs>
        <w:rPr>
          <w:rFonts w:cs="Arial"/>
        </w:rPr>
      </w:pPr>
      <w:r w:rsidRPr="00A241F5">
        <w:rPr>
          <w:rFonts w:cs="Arial"/>
        </w:rPr>
        <w:t>2.</w:t>
      </w:r>
      <w:r w:rsidR="001238F2" w:rsidRPr="00A241F5">
        <w:rPr>
          <w:rFonts w:cs="Arial"/>
        </w:rPr>
        <w:t>9</w:t>
      </w:r>
      <w:r w:rsidR="001238F2" w:rsidRPr="00A241F5">
        <w:rPr>
          <w:rFonts w:cs="Arial"/>
        </w:rPr>
        <w:tab/>
        <w:t xml:space="preserve">Only one Respondent expressly opposed Recommendation 1.  That Respondent, a local law firm, opposed the introduction of ORFSs in general, on the basis that they </w:t>
      </w:r>
      <w:r w:rsidR="00C61F4B" w:rsidRPr="00A241F5">
        <w:rPr>
          <w:rFonts w:cs="Arial"/>
          <w:i/>
        </w:rPr>
        <w:t>"</w:t>
      </w:r>
      <w:r w:rsidR="001238F2" w:rsidRPr="00A241F5">
        <w:rPr>
          <w:rFonts w:cs="Arial"/>
          <w:i/>
        </w:rPr>
        <w:t>will complicate the business of running a law firm</w:t>
      </w:r>
      <w:r w:rsidR="00C61F4B" w:rsidRPr="00A241F5">
        <w:rPr>
          <w:rFonts w:cs="Arial"/>
          <w:i/>
        </w:rPr>
        <w:t>"</w:t>
      </w:r>
      <w:r w:rsidR="001238F2" w:rsidRPr="00A241F5">
        <w:rPr>
          <w:rFonts w:cs="Arial"/>
        </w:rPr>
        <w:t xml:space="preserve"> (particularly small and medium sized firms), could lead to conflicts of interest and </w:t>
      </w:r>
      <w:r w:rsidR="00C61F4B" w:rsidRPr="00A241F5">
        <w:rPr>
          <w:rFonts w:cs="Arial"/>
          <w:i/>
        </w:rPr>
        <w:t>"</w:t>
      </w:r>
      <w:r w:rsidR="001238F2" w:rsidRPr="00A241F5">
        <w:rPr>
          <w:rFonts w:cs="Arial"/>
          <w:i/>
        </w:rPr>
        <w:t>commercialization of the legal profession</w:t>
      </w:r>
      <w:r w:rsidR="00C61F4B" w:rsidRPr="00A241F5">
        <w:rPr>
          <w:rFonts w:cs="Arial"/>
          <w:i/>
        </w:rPr>
        <w:t>"</w:t>
      </w:r>
      <w:r w:rsidR="001238F2" w:rsidRPr="00A241F5">
        <w:rPr>
          <w:rFonts w:cs="Arial"/>
        </w:rPr>
        <w:t>, and give rise to other concerns, including the potential to exploit clients, issues with claiming under an after-the-event insurance (</w:t>
      </w:r>
      <w:r w:rsidR="00C61F4B" w:rsidRPr="00A241F5">
        <w:rPr>
          <w:rFonts w:cs="Arial"/>
        </w:rPr>
        <w:t>"</w:t>
      </w:r>
      <w:r w:rsidR="001238F2" w:rsidRPr="00A241F5">
        <w:rPr>
          <w:rFonts w:cs="Arial"/>
          <w:b/>
        </w:rPr>
        <w:t>ATE Insurance</w:t>
      </w:r>
      <w:r w:rsidR="00C61F4B" w:rsidRPr="00A241F5">
        <w:rPr>
          <w:rFonts w:cs="Arial"/>
        </w:rPr>
        <w:t>"</w:t>
      </w:r>
      <w:r w:rsidR="001238F2" w:rsidRPr="00A241F5">
        <w:rPr>
          <w:rFonts w:cs="Arial"/>
        </w:rPr>
        <w:t>),</w:t>
      </w:r>
      <w:r w:rsidR="001238F2" w:rsidRPr="00A241F5">
        <w:rPr>
          <w:rStyle w:val="FootnoteReference"/>
          <w:rFonts w:cs="Arial"/>
          <w:sz w:val="24"/>
        </w:rPr>
        <w:footnoteReference w:id="13"/>
      </w:r>
      <w:r w:rsidR="001238F2" w:rsidRPr="00A241F5">
        <w:rPr>
          <w:rFonts w:cs="Arial"/>
        </w:rPr>
        <w:t xml:space="preserve"> and </w:t>
      </w:r>
      <w:r w:rsidR="00C61F4B" w:rsidRPr="00A241F5">
        <w:rPr>
          <w:rFonts w:cs="Arial"/>
        </w:rPr>
        <w:t>"</w:t>
      </w:r>
      <w:r w:rsidR="001238F2" w:rsidRPr="00A241F5">
        <w:rPr>
          <w:rFonts w:cs="Arial"/>
          <w:i/>
        </w:rPr>
        <w:t>opening the floodgates</w:t>
      </w:r>
      <w:r w:rsidR="00C61F4B" w:rsidRPr="00A241F5">
        <w:rPr>
          <w:rFonts w:cs="Arial"/>
        </w:rPr>
        <w:t>"</w:t>
      </w:r>
      <w:r w:rsidR="001238F2" w:rsidRPr="00A241F5">
        <w:rPr>
          <w:rFonts w:cs="Arial"/>
        </w:rPr>
        <w:t xml:space="preserve"> to ORFSs for litigation in the Hong Kong courts. </w:t>
      </w:r>
    </w:p>
    <w:p w14:paraId="41892A5B" w14:textId="77777777" w:rsidR="001238F2" w:rsidRPr="00A241F5" w:rsidRDefault="001238F2" w:rsidP="001238F2">
      <w:pPr>
        <w:widowControl/>
        <w:tabs>
          <w:tab w:val="clear" w:pos="1418"/>
          <w:tab w:val="left" w:pos="1440"/>
        </w:tabs>
        <w:rPr>
          <w:rFonts w:cs="Arial"/>
        </w:rPr>
      </w:pPr>
    </w:p>
    <w:p w14:paraId="462AC2B8" w14:textId="77777777" w:rsidR="001238F2" w:rsidRPr="00A241F5" w:rsidRDefault="001238F2" w:rsidP="001238F2">
      <w:pPr>
        <w:widowControl/>
        <w:tabs>
          <w:tab w:val="clear" w:pos="1418"/>
          <w:tab w:val="left" w:pos="1440"/>
        </w:tabs>
        <w:rPr>
          <w:rFonts w:cs="Arial"/>
        </w:rPr>
      </w:pPr>
    </w:p>
    <w:p w14:paraId="717CE8A1" w14:textId="77777777" w:rsidR="001238F2" w:rsidRPr="00A241F5" w:rsidRDefault="001238F2" w:rsidP="001238F2">
      <w:pPr>
        <w:pStyle w:val="Heading2"/>
        <w:widowControl/>
        <w:tabs>
          <w:tab w:val="clear" w:pos="1418"/>
          <w:tab w:val="left" w:pos="1440"/>
        </w:tabs>
        <w:rPr>
          <w:rFonts w:cs="Arial"/>
        </w:rPr>
      </w:pPr>
      <w:r w:rsidRPr="00A241F5">
        <w:rPr>
          <w:rFonts w:cs="Arial"/>
        </w:rPr>
        <w:t>Our analysis and response</w:t>
      </w:r>
    </w:p>
    <w:p w14:paraId="5FF555E2" w14:textId="77777777" w:rsidR="001238F2" w:rsidRPr="00A241F5" w:rsidRDefault="001238F2" w:rsidP="001238F2">
      <w:pPr>
        <w:rPr>
          <w:rFonts w:cs="Arial"/>
        </w:rPr>
      </w:pPr>
    </w:p>
    <w:p w14:paraId="61ECA06F" w14:textId="293852FB" w:rsidR="001238F2" w:rsidRPr="00A241F5" w:rsidRDefault="00644C69" w:rsidP="001238F2">
      <w:pPr>
        <w:rPr>
          <w:rFonts w:cs="Arial"/>
        </w:rPr>
      </w:pPr>
      <w:r w:rsidRPr="00A241F5">
        <w:rPr>
          <w:rFonts w:cs="Arial"/>
        </w:rPr>
        <w:t>2.</w:t>
      </w:r>
      <w:r w:rsidR="001238F2" w:rsidRPr="00A241F5">
        <w:rPr>
          <w:rFonts w:cs="Arial"/>
        </w:rPr>
        <w:t>10</w:t>
      </w:r>
      <w:r w:rsidR="001238F2" w:rsidRPr="00A241F5">
        <w:rPr>
          <w:rFonts w:cs="Arial"/>
        </w:rPr>
        <w:tab/>
        <w:t xml:space="preserve">We have carefully considered all the responses received in respect of Recommendation 1, including the objections to it.  While we acknowledge that there was at least one dissenting view, we note that there is otherwise overwhelming support from a diverse range of Respondents for permitting the use of CFAs in Arbitration by Lawyers.  </w:t>
      </w:r>
    </w:p>
    <w:p w14:paraId="4DD39A4A" w14:textId="77777777" w:rsidR="001238F2" w:rsidRPr="00A241F5" w:rsidRDefault="001238F2" w:rsidP="001238F2">
      <w:pPr>
        <w:rPr>
          <w:rFonts w:cs="Arial"/>
        </w:rPr>
      </w:pPr>
    </w:p>
    <w:p w14:paraId="49D2EC2A" w14:textId="7132A17E" w:rsidR="001238F2" w:rsidRPr="00A241F5" w:rsidRDefault="00644C69" w:rsidP="001238F2">
      <w:pPr>
        <w:rPr>
          <w:rFonts w:cs="Arial"/>
        </w:rPr>
      </w:pPr>
      <w:r w:rsidRPr="00A241F5">
        <w:rPr>
          <w:rFonts w:cs="Arial"/>
        </w:rPr>
        <w:t>2.</w:t>
      </w:r>
      <w:r w:rsidR="001238F2" w:rsidRPr="00A241F5">
        <w:rPr>
          <w:rFonts w:cs="Arial"/>
        </w:rPr>
        <w:t>11</w:t>
      </w:r>
      <w:r w:rsidR="001238F2" w:rsidRPr="00A241F5">
        <w:rPr>
          <w:rFonts w:cs="Arial"/>
        </w:rPr>
        <w:tab/>
        <w:t xml:space="preserve">We have carefully considered the objections raised.  We have also considered the position in other major dispute resolution and international arbitration centres, including the United States of America, England and Wales and Singapore (where a framework to introduce CFAs is currently proposed, but not </w:t>
      </w:r>
      <w:r w:rsidR="00352C5C" w:rsidRPr="00A241F5">
        <w:rPr>
          <w:rFonts w:cs="Arial"/>
        </w:rPr>
        <w:t xml:space="preserve">yet </w:t>
      </w:r>
      <w:r w:rsidR="001238F2" w:rsidRPr="00A241F5">
        <w:rPr>
          <w:rFonts w:cs="Arial"/>
        </w:rPr>
        <w:t xml:space="preserve">implemented).  </w:t>
      </w:r>
    </w:p>
    <w:p w14:paraId="3BBAD496" w14:textId="77777777" w:rsidR="001238F2" w:rsidRPr="00A241F5" w:rsidRDefault="001238F2" w:rsidP="001238F2">
      <w:pPr>
        <w:rPr>
          <w:rFonts w:cs="Arial"/>
        </w:rPr>
      </w:pPr>
    </w:p>
    <w:p w14:paraId="097A435B" w14:textId="5D3EA2CD" w:rsidR="001238F2" w:rsidRPr="00A241F5" w:rsidRDefault="00644C69" w:rsidP="001238F2">
      <w:pPr>
        <w:rPr>
          <w:rFonts w:cs="Arial"/>
        </w:rPr>
      </w:pPr>
      <w:r w:rsidRPr="00A241F5">
        <w:rPr>
          <w:rFonts w:cs="Arial"/>
        </w:rPr>
        <w:t>2.</w:t>
      </w:r>
      <w:r w:rsidR="001238F2" w:rsidRPr="00A241F5">
        <w:rPr>
          <w:rFonts w:cs="Arial"/>
        </w:rPr>
        <w:t>12</w:t>
      </w:r>
      <w:r w:rsidR="001238F2" w:rsidRPr="00A241F5">
        <w:rPr>
          <w:rFonts w:cs="Arial"/>
        </w:rPr>
        <w:tab/>
      </w:r>
      <w:r w:rsidR="001238F2" w:rsidRPr="00A241F5">
        <w:rPr>
          <w:rFonts w:cs="Arial"/>
        </w:rPr>
        <w:tab/>
        <w:t>We agree with those who submitted that permitting CFAs for Arbitration would significantly benefit Hong Kong in numerous ways.  In particular, we are persuaded that introducing ORFSs, including CFAs, in Arbitration is necessary to preserve and promote Hong Kong</w:t>
      </w:r>
      <w:r w:rsidR="00C61F4B" w:rsidRPr="00A241F5">
        <w:rPr>
          <w:rFonts w:cs="Arial"/>
        </w:rPr>
        <w:t>'</w:t>
      </w:r>
      <w:r w:rsidR="001238F2" w:rsidRPr="00A241F5">
        <w:rPr>
          <w:rFonts w:cs="Arial"/>
        </w:rPr>
        <w:t xml:space="preserve">s competitiveness as a leading arbitration centre, enhance access to justice, and – importantly – respond to client demand by providing pricing flexibility.  For Hong Kong to remain a leading arbitration hub, it is essential that it can offer what its competitors offer.  An important element of this is the ability to compete with other jurisdictions when it comes to legal fees for arbitration work. </w:t>
      </w:r>
    </w:p>
    <w:p w14:paraId="3276AAC3" w14:textId="77777777" w:rsidR="001238F2" w:rsidRPr="00A241F5" w:rsidRDefault="001238F2" w:rsidP="001238F2">
      <w:pPr>
        <w:rPr>
          <w:rFonts w:cs="Arial"/>
        </w:rPr>
      </w:pPr>
    </w:p>
    <w:p w14:paraId="0D81D73B" w14:textId="447C9DEE" w:rsidR="001238F2" w:rsidRPr="00A241F5" w:rsidRDefault="00644C69" w:rsidP="001238F2">
      <w:pPr>
        <w:rPr>
          <w:rFonts w:cs="Arial"/>
        </w:rPr>
      </w:pPr>
      <w:r w:rsidRPr="00A241F5">
        <w:rPr>
          <w:rFonts w:cs="Arial"/>
        </w:rPr>
        <w:t>2.</w:t>
      </w:r>
      <w:r w:rsidR="001238F2" w:rsidRPr="00A241F5">
        <w:rPr>
          <w:rFonts w:cs="Arial"/>
        </w:rPr>
        <w:t>13</w:t>
      </w:r>
      <w:r w:rsidR="001238F2" w:rsidRPr="00A241F5">
        <w:rPr>
          <w:rFonts w:cs="Arial"/>
        </w:rPr>
        <w:tab/>
        <w:t>Permitting ORFSs, including CFAs, is also consistent with Hong Kong</w:t>
      </w:r>
      <w:r w:rsidR="00C61F4B" w:rsidRPr="00A241F5">
        <w:rPr>
          <w:rFonts w:cs="Arial"/>
        </w:rPr>
        <w:t>'</w:t>
      </w:r>
      <w:r w:rsidR="001238F2" w:rsidRPr="00A241F5">
        <w:rPr>
          <w:rFonts w:cs="Arial"/>
        </w:rPr>
        <w:t xml:space="preserve">s overall policy of supporting freedom of contract.  Additionally, the process of assessing a case with a view to offering a CFA (or other ORFSs) can help Lawyers and their clients to weed out weak claims.  </w:t>
      </w:r>
    </w:p>
    <w:p w14:paraId="492AA47C" w14:textId="77777777" w:rsidR="001238F2" w:rsidRPr="00A241F5" w:rsidRDefault="001238F2" w:rsidP="001238F2">
      <w:pPr>
        <w:rPr>
          <w:rFonts w:cs="Arial"/>
        </w:rPr>
      </w:pPr>
    </w:p>
    <w:p w14:paraId="03F50FC7" w14:textId="4E0CD7EF" w:rsidR="001238F2" w:rsidRPr="00A241F5" w:rsidRDefault="00644C69" w:rsidP="001238F2">
      <w:pPr>
        <w:rPr>
          <w:rFonts w:cs="Arial"/>
        </w:rPr>
      </w:pPr>
      <w:r w:rsidRPr="00A241F5">
        <w:rPr>
          <w:rFonts w:cs="Arial"/>
        </w:rPr>
        <w:t>2.</w:t>
      </w:r>
      <w:r w:rsidR="001238F2" w:rsidRPr="00A241F5">
        <w:rPr>
          <w:rFonts w:cs="Arial"/>
        </w:rPr>
        <w:t>14</w:t>
      </w:r>
      <w:r w:rsidR="001238F2" w:rsidRPr="00A241F5">
        <w:rPr>
          <w:rFonts w:cs="Arial"/>
        </w:rPr>
        <w:tab/>
        <w:t>We are encouraged that both regulators of the legal profession in Hong Kong (the Law Society and the HKBA) expressed support for introducing CFAs (or other ORFSs).  We are further persuaded by the view of Sir Rupert Jackson, Lord Justice of Appeal of England and Wales from 2008 to 2018</w:t>
      </w:r>
      <w:r w:rsidR="004D326A" w:rsidRPr="00A241F5">
        <w:rPr>
          <w:rFonts w:cs="Arial"/>
        </w:rPr>
        <w:t xml:space="preserve"> (</w:t>
      </w:r>
      <w:r w:rsidR="00C61F4B" w:rsidRPr="00A241F5">
        <w:rPr>
          <w:rFonts w:cs="Arial"/>
        </w:rPr>
        <w:t>"</w:t>
      </w:r>
      <w:r w:rsidR="004D326A" w:rsidRPr="00A241F5">
        <w:rPr>
          <w:rFonts w:cs="Arial"/>
          <w:b/>
        </w:rPr>
        <w:t>Lord Justice Jackson</w:t>
      </w:r>
      <w:r w:rsidR="00C61F4B" w:rsidRPr="00A241F5">
        <w:rPr>
          <w:rFonts w:cs="Arial"/>
        </w:rPr>
        <w:t>"</w:t>
      </w:r>
      <w:r w:rsidR="004D326A" w:rsidRPr="00A241F5">
        <w:rPr>
          <w:rFonts w:cs="Arial"/>
        </w:rPr>
        <w:t>)</w:t>
      </w:r>
      <w:r w:rsidR="001238F2" w:rsidRPr="00A241F5">
        <w:rPr>
          <w:rFonts w:cs="Arial"/>
        </w:rPr>
        <w:t>, that:</w:t>
      </w:r>
    </w:p>
    <w:p w14:paraId="6B6AF9E4" w14:textId="77777777" w:rsidR="001238F2" w:rsidRPr="00A241F5" w:rsidRDefault="001238F2" w:rsidP="001238F2">
      <w:pPr>
        <w:rPr>
          <w:rFonts w:cs="Arial"/>
        </w:rPr>
      </w:pPr>
    </w:p>
    <w:p w14:paraId="02018D4D" w14:textId="4BE88D48" w:rsidR="001238F2" w:rsidRPr="00A241F5" w:rsidRDefault="00C61F4B" w:rsidP="001238F2">
      <w:pPr>
        <w:pStyle w:val="BlockText"/>
      </w:pPr>
      <w:r w:rsidRPr="00A241F5">
        <w:t>"</w:t>
      </w:r>
      <w:r w:rsidR="009401D7" w:rsidRPr="00A241F5">
        <w:t xml:space="preserve">... </w:t>
      </w:r>
      <w:r w:rsidR="001238F2" w:rsidRPr="00A241F5">
        <w:t>there can be no objection in principle to lawyers agreeing to forego or reduce their fees if a case is lost.  Nor can there be any objection to clients paying something extra in successful cases as compensation for the risks undertaken by their lawyers, provided that the extra payment is reasonable.</w:t>
      </w:r>
      <w:r w:rsidRPr="00A241F5">
        <w:t>"</w:t>
      </w:r>
      <w:r w:rsidR="001238F2" w:rsidRPr="00A241F5">
        <w:rPr>
          <w:rStyle w:val="FootnoteReference"/>
          <w:i w:val="0"/>
          <w:sz w:val="24"/>
        </w:rPr>
        <w:footnoteReference w:id="14"/>
      </w:r>
    </w:p>
    <w:p w14:paraId="109684FD" w14:textId="77777777" w:rsidR="001238F2" w:rsidRPr="00A241F5" w:rsidRDefault="001238F2" w:rsidP="001238F2">
      <w:pPr>
        <w:pStyle w:val="BlockText"/>
        <w:rPr>
          <w:rFonts w:cs="Arial"/>
        </w:rPr>
      </w:pPr>
    </w:p>
    <w:p w14:paraId="7978925C" w14:textId="2D23D77B" w:rsidR="001238F2" w:rsidRPr="00A241F5" w:rsidRDefault="00644C69" w:rsidP="001238F2">
      <w:pPr>
        <w:rPr>
          <w:rFonts w:cs="Arial"/>
        </w:rPr>
      </w:pPr>
      <w:r w:rsidRPr="00A241F5">
        <w:rPr>
          <w:rFonts w:cs="Arial"/>
        </w:rPr>
        <w:t>2.</w:t>
      </w:r>
      <w:r w:rsidR="001238F2" w:rsidRPr="00A241F5">
        <w:rPr>
          <w:rFonts w:cs="Arial"/>
        </w:rPr>
        <w:t>15</w:t>
      </w:r>
      <w:r w:rsidR="001238F2" w:rsidRPr="00A241F5">
        <w:rPr>
          <w:rFonts w:cs="Arial"/>
        </w:rPr>
        <w:tab/>
      </w:r>
      <w:r w:rsidR="001238F2" w:rsidRPr="00A241F5">
        <w:rPr>
          <w:rFonts w:cs="Arial"/>
        </w:rPr>
        <w:tab/>
        <w:t>Overall, we are of the view that permitting ORFSs, including CFAs, in Arbitration will benefit Hong Kong and enable it to remain one of the top arbitral seats in the world.</w:t>
      </w:r>
      <w:r w:rsidR="00F71A72" w:rsidRPr="00A241F5">
        <w:rPr>
          <w:rFonts w:cs="Arial"/>
        </w:rPr>
        <w:t xml:space="preserve">  For the avoidance of doubt, the </w:t>
      </w:r>
      <w:r w:rsidR="00827E22" w:rsidRPr="00A241F5">
        <w:rPr>
          <w:rFonts w:cs="Arial"/>
        </w:rPr>
        <w:t>Final R</w:t>
      </w:r>
      <w:r w:rsidR="00F71A72" w:rsidRPr="00A241F5">
        <w:rPr>
          <w:rFonts w:cs="Arial"/>
        </w:rPr>
        <w:t>ecommendations</w:t>
      </w:r>
      <w:r w:rsidR="00F71A72" w:rsidRPr="00A241F5">
        <w:rPr>
          <w:rFonts w:eastAsia="DengXian" w:cs="Arial" w:hint="eastAsia"/>
          <w:lang w:eastAsia="zh-CN"/>
        </w:rPr>
        <w:t xml:space="preserve"> to permit ORFS</w:t>
      </w:r>
      <w:r w:rsidR="0056174A" w:rsidRPr="00A241F5">
        <w:rPr>
          <w:rFonts w:eastAsia="DengXian" w:cs="Arial"/>
          <w:lang w:eastAsia="zh-CN"/>
        </w:rPr>
        <w:t>s</w:t>
      </w:r>
      <w:r w:rsidR="00F71A72" w:rsidRPr="00A241F5">
        <w:rPr>
          <w:rFonts w:eastAsia="DengXian" w:cs="Arial" w:hint="eastAsia"/>
          <w:lang w:eastAsia="zh-CN"/>
        </w:rPr>
        <w:t xml:space="preserve"> (ie </w:t>
      </w:r>
      <w:r w:rsidR="00827E22" w:rsidRPr="00A241F5">
        <w:rPr>
          <w:rFonts w:eastAsia="DengXian" w:cs="Arial"/>
          <w:lang w:eastAsia="zh-CN"/>
        </w:rPr>
        <w:t xml:space="preserve">Final </w:t>
      </w:r>
      <w:r w:rsidR="00F71A72" w:rsidRPr="00A241F5">
        <w:rPr>
          <w:rFonts w:eastAsia="DengXian" w:cs="Arial" w:hint="eastAsia"/>
          <w:lang w:eastAsia="zh-CN"/>
        </w:rPr>
        <w:t xml:space="preserve">Recommendations 1, 4 and 10) </w:t>
      </w:r>
      <w:r w:rsidR="00F71A72" w:rsidRPr="00A241F5">
        <w:rPr>
          <w:rFonts w:cs="Arial"/>
        </w:rPr>
        <w:t xml:space="preserve">are limited to Arbitration and related court proceedings, such as applications to the Hong Kong courts to set aside or enforce an arbitral award, or for interim relief in support of an Arbitration.  </w:t>
      </w:r>
      <w:r w:rsidR="00827E22" w:rsidRPr="00A241F5">
        <w:rPr>
          <w:rFonts w:cs="Arial"/>
        </w:rPr>
        <w:t xml:space="preserve">We emphasise that these </w:t>
      </w:r>
      <w:r w:rsidR="001A48E5" w:rsidRPr="00A241F5">
        <w:rPr>
          <w:rFonts w:cs="Arial"/>
        </w:rPr>
        <w:t>Final R</w:t>
      </w:r>
      <w:r w:rsidR="00827E22" w:rsidRPr="00A241F5">
        <w:rPr>
          <w:rFonts w:cs="Arial"/>
        </w:rPr>
        <w:t>ecommendations</w:t>
      </w:r>
      <w:r w:rsidR="00F71A72" w:rsidRPr="00A241F5">
        <w:rPr>
          <w:rFonts w:cs="Arial"/>
        </w:rPr>
        <w:t xml:space="preserve"> </w:t>
      </w:r>
      <w:r w:rsidR="00C65888" w:rsidRPr="00A241F5">
        <w:rPr>
          <w:rFonts w:cs="Arial"/>
        </w:rPr>
        <w:t>are not applicable</w:t>
      </w:r>
      <w:r w:rsidR="00F71A72" w:rsidRPr="00A241F5">
        <w:rPr>
          <w:rFonts w:cs="Arial"/>
        </w:rPr>
        <w:t xml:space="preserve"> to mediation proceedings that do not </w:t>
      </w:r>
      <w:r w:rsidR="00183999" w:rsidRPr="00A241F5">
        <w:rPr>
          <w:rFonts w:cs="Arial"/>
        </w:rPr>
        <w:t>fall within the Arbitration Ordinance</w:t>
      </w:r>
      <w:r w:rsidR="0032042D" w:rsidRPr="00A241F5">
        <w:rPr>
          <w:rStyle w:val="FootnoteReference"/>
          <w:rFonts w:cs="Arial"/>
          <w:sz w:val="24"/>
          <w:szCs w:val="24"/>
        </w:rPr>
        <w:footnoteReference w:id="15"/>
      </w:r>
      <w:r w:rsidR="00F71A72" w:rsidRPr="00A241F5">
        <w:rPr>
          <w:rFonts w:cs="Arial"/>
        </w:rPr>
        <w:t xml:space="preserve"> </w:t>
      </w:r>
      <w:r w:rsidR="00183999" w:rsidRPr="00A241F5">
        <w:rPr>
          <w:rFonts w:cs="Arial"/>
        </w:rPr>
        <w:t>and</w:t>
      </w:r>
      <w:r w:rsidR="00F71A72" w:rsidRPr="00A241F5">
        <w:rPr>
          <w:rFonts w:cs="Arial"/>
        </w:rPr>
        <w:t xml:space="preserve"> private adjudication under the Pilot Scheme on Private Adjudication of Financial Disputes in Mat</w:t>
      </w:r>
      <w:r w:rsidR="00183999" w:rsidRPr="00A241F5">
        <w:rPr>
          <w:rFonts w:cs="Arial"/>
        </w:rPr>
        <w:t>rimonial and Family Proceedings</w:t>
      </w:r>
      <w:r w:rsidR="001A48E5" w:rsidRPr="00A241F5">
        <w:rPr>
          <w:rFonts w:cs="Arial"/>
        </w:rPr>
        <w:t xml:space="preserve"> launched by the Judiciary in Hong Kong in 2015.</w:t>
      </w:r>
      <w:r w:rsidR="00C65888" w:rsidRPr="00A241F5">
        <w:rPr>
          <w:rStyle w:val="FootnoteReference"/>
          <w:rFonts w:cs="Arial"/>
          <w:sz w:val="24"/>
          <w:szCs w:val="24"/>
        </w:rPr>
        <w:footnoteReference w:id="16"/>
      </w:r>
      <w:r w:rsidR="00F71A72" w:rsidRPr="00A241F5">
        <w:rPr>
          <w:rFonts w:cs="Arial"/>
        </w:rPr>
        <w:t xml:space="preserve"> </w:t>
      </w:r>
    </w:p>
    <w:p w14:paraId="2193C9F6" w14:textId="77777777" w:rsidR="001238F2" w:rsidRPr="00A241F5" w:rsidRDefault="001238F2" w:rsidP="001238F2">
      <w:pPr>
        <w:rPr>
          <w:rFonts w:cs="Arial"/>
          <w:b/>
        </w:rPr>
      </w:pPr>
    </w:p>
    <w:p w14:paraId="3DB7A3A1" w14:textId="77777777" w:rsidR="001238F2" w:rsidRPr="00A241F5" w:rsidRDefault="001238F2" w:rsidP="001238F2">
      <w:pPr>
        <w:rPr>
          <w:rFonts w:cs="Arial"/>
          <w:b/>
        </w:rPr>
      </w:pPr>
    </w:p>
    <w:p w14:paraId="490D3958" w14:textId="77777777" w:rsidR="001238F2" w:rsidRPr="00A241F5" w:rsidRDefault="001238F2" w:rsidP="001238F2">
      <w:pPr>
        <w:rPr>
          <w:rFonts w:cs="Arial"/>
          <w:b/>
          <w:i/>
        </w:rPr>
      </w:pPr>
      <w:r w:rsidRPr="00A241F5">
        <w:rPr>
          <w:rFonts w:cs="Arial"/>
          <w:b/>
          <w:i/>
        </w:rPr>
        <w:t>Response to objections</w:t>
      </w:r>
    </w:p>
    <w:p w14:paraId="1B5DC75A" w14:textId="77777777" w:rsidR="001238F2" w:rsidRPr="00A241F5" w:rsidRDefault="001238F2" w:rsidP="001238F2">
      <w:pPr>
        <w:rPr>
          <w:rFonts w:cs="Arial"/>
        </w:rPr>
      </w:pPr>
    </w:p>
    <w:p w14:paraId="77B58E20" w14:textId="41F741EF" w:rsidR="001238F2" w:rsidRPr="00A241F5" w:rsidRDefault="00644C69" w:rsidP="001238F2">
      <w:pPr>
        <w:rPr>
          <w:rFonts w:cs="Arial"/>
        </w:rPr>
      </w:pPr>
      <w:r w:rsidRPr="00A241F5">
        <w:rPr>
          <w:rFonts w:cs="Arial"/>
        </w:rPr>
        <w:t>2.</w:t>
      </w:r>
      <w:r w:rsidR="001238F2" w:rsidRPr="00A241F5">
        <w:rPr>
          <w:rFonts w:cs="Arial"/>
        </w:rPr>
        <w:t>16</w:t>
      </w:r>
      <w:r w:rsidR="001238F2" w:rsidRPr="00A241F5">
        <w:rPr>
          <w:rFonts w:cs="Arial"/>
        </w:rPr>
        <w:tab/>
        <w:t xml:space="preserve">In reaching the above conclusion, we have borne in mind the concerns raised that allowing Lawyers to enter into CFAs (or other ORFSs) in Arbitration with their clients may have undesirable implications.  Our response to these objections is set out below. </w:t>
      </w:r>
    </w:p>
    <w:p w14:paraId="0CAC64D6" w14:textId="77777777" w:rsidR="001238F2" w:rsidRPr="00A241F5" w:rsidRDefault="001238F2" w:rsidP="001238F2">
      <w:pPr>
        <w:rPr>
          <w:rFonts w:cs="Arial"/>
        </w:rPr>
      </w:pPr>
    </w:p>
    <w:p w14:paraId="4CA526A1" w14:textId="3AECC824" w:rsidR="001238F2" w:rsidRPr="00A241F5" w:rsidRDefault="001238F2" w:rsidP="001238F2">
      <w:pPr>
        <w:rPr>
          <w:rFonts w:cs="Arial"/>
          <w:i/>
        </w:rPr>
      </w:pPr>
      <w:r w:rsidRPr="00A241F5">
        <w:rPr>
          <w:rFonts w:cs="Arial"/>
          <w:i/>
        </w:rPr>
        <w:t xml:space="preserve">Risk of conflict of interest and unprofessional conduct </w:t>
      </w:r>
    </w:p>
    <w:p w14:paraId="76C7D3DD" w14:textId="77777777" w:rsidR="001238F2" w:rsidRPr="00A241F5" w:rsidRDefault="001238F2" w:rsidP="001238F2">
      <w:pPr>
        <w:rPr>
          <w:rFonts w:cs="Arial"/>
          <w:b/>
          <w:i/>
        </w:rPr>
      </w:pPr>
    </w:p>
    <w:p w14:paraId="6B17BC45" w14:textId="1743FCBD" w:rsidR="001238F2" w:rsidRPr="00A241F5" w:rsidRDefault="00644C69" w:rsidP="001238F2">
      <w:pPr>
        <w:rPr>
          <w:rFonts w:cs="Arial"/>
        </w:rPr>
      </w:pPr>
      <w:r w:rsidRPr="00A241F5">
        <w:rPr>
          <w:rFonts w:cs="Arial"/>
        </w:rPr>
        <w:t>2.</w:t>
      </w:r>
      <w:r w:rsidR="001238F2" w:rsidRPr="00A241F5">
        <w:rPr>
          <w:rFonts w:cs="Arial"/>
        </w:rPr>
        <w:t>17</w:t>
      </w:r>
      <w:r w:rsidR="001238F2" w:rsidRPr="00A241F5">
        <w:rPr>
          <w:rFonts w:cs="Arial"/>
        </w:rPr>
        <w:tab/>
        <w:t>With respect to the risk of conflict of interest between Lawyer and client and the stated concern that CFAs may prompt a Lawyer to engage in unprofessional conduct, we agree with the Sub-committee that these concerns are outdated, and are unlikely to be significant risks in practice.</w:t>
      </w:r>
      <w:r w:rsidR="001238F2" w:rsidRPr="00A241F5">
        <w:rPr>
          <w:rStyle w:val="FootnoteReference"/>
          <w:rFonts w:cs="Arial"/>
          <w:sz w:val="24"/>
        </w:rPr>
        <w:footnoteReference w:id="17"/>
      </w:r>
      <w:r w:rsidR="001238F2" w:rsidRPr="00A241F5">
        <w:rPr>
          <w:rFonts w:cs="Arial"/>
        </w:rPr>
        <w:t xml:space="preserve">  As the Sub-committee remarked, where a CFA (or any ORFS) is in place, the Lawyer</w:t>
      </w:r>
      <w:r w:rsidR="00C61F4B" w:rsidRPr="00A241F5">
        <w:rPr>
          <w:rFonts w:cs="Arial"/>
        </w:rPr>
        <w:t>'</w:t>
      </w:r>
      <w:r w:rsidR="001238F2" w:rsidRPr="00A241F5">
        <w:rPr>
          <w:rFonts w:cs="Arial"/>
        </w:rPr>
        <w:t>s interests are, if anything, more closely aligned with the client</w:t>
      </w:r>
      <w:r w:rsidR="00C61F4B" w:rsidRPr="00A241F5">
        <w:rPr>
          <w:rFonts w:cs="Arial"/>
        </w:rPr>
        <w:t>'</w:t>
      </w:r>
      <w:r w:rsidR="001238F2" w:rsidRPr="00A241F5">
        <w:rPr>
          <w:rFonts w:cs="Arial"/>
        </w:rPr>
        <w:t>s because a significant part of the Lawyer</w:t>
      </w:r>
      <w:r w:rsidR="00C61F4B" w:rsidRPr="00A241F5">
        <w:rPr>
          <w:rFonts w:cs="Arial"/>
        </w:rPr>
        <w:t>'</w:t>
      </w:r>
      <w:r w:rsidR="001238F2" w:rsidRPr="00A241F5">
        <w:rPr>
          <w:rFonts w:cs="Arial"/>
        </w:rPr>
        <w:t>s remuneration depends on the client</w:t>
      </w:r>
      <w:r w:rsidR="00C61F4B" w:rsidRPr="00A241F5">
        <w:rPr>
          <w:rFonts w:cs="Arial"/>
        </w:rPr>
        <w:t>'</w:t>
      </w:r>
      <w:r w:rsidR="001238F2" w:rsidRPr="00A241F5">
        <w:rPr>
          <w:rFonts w:cs="Arial"/>
        </w:rPr>
        <w:t xml:space="preserve">s case succeeding.  Under a conventional hourly fee arrangement, the Lawyer will be paid regardless of the outcome of the case.  Moreover, lawyers in numerous other jurisdictions operate under ORFS arrangements without, to </w:t>
      </w:r>
      <w:r w:rsidR="00352C5C" w:rsidRPr="00A241F5">
        <w:rPr>
          <w:rFonts w:cs="Arial"/>
        </w:rPr>
        <w:t>our</w:t>
      </w:r>
      <w:r w:rsidR="001238F2" w:rsidRPr="00A241F5">
        <w:rPr>
          <w:rFonts w:cs="Arial"/>
        </w:rPr>
        <w:t xml:space="preserve"> knowledge, significant conflicts arising. </w:t>
      </w:r>
    </w:p>
    <w:p w14:paraId="45BA048B" w14:textId="77777777" w:rsidR="001238F2" w:rsidRPr="00A241F5" w:rsidRDefault="001238F2" w:rsidP="001238F2">
      <w:pPr>
        <w:rPr>
          <w:rFonts w:cs="Arial"/>
        </w:rPr>
      </w:pPr>
    </w:p>
    <w:p w14:paraId="0C4D15FA" w14:textId="77777777" w:rsidR="001238F2" w:rsidRPr="00A241F5" w:rsidRDefault="001238F2" w:rsidP="003A6D3A">
      <w:pPr>
        <w:keepNext/>
        <w:keepLines/>
        <w:widowControl/>
        <w:rPr>
          <w:rFonts w:cs="Arial"/>
          <w:i/>
        </w:rPr>
      </w:pPr>
      <w:r w:rsidRPr="00A241F5">
        <w:rPr>
          <w:rFonts w:cs="Arial"/>
          <w:i/>
        </w:rPr>
        <w:lastRenderedPageBreak/>
        <w:t>Complications in running law firms</w:t>
      </w:r>
    </w:p>
    <w:p w14:paraId="0450C442" w14:textId="77777777" w:rsidR="001238F2" w:rsidRPr="00A241F5" w:rsidRDefault="001238F2" w:rsidP="003A6D3A">
      <w:pPr>
        <w:keepNext/>
        <w:keepLines/>
        <w:widowControl/>
        <w:rPr>
          <w:rFonts w:cs="Arial"/>
          <w:b/>
          <w:i/>
        </w:rPr>
      </w:pPr>
    </w:p>
    <w:p w14:paraId="2985C071" w14:textId="0B948002" w:rsidR="001238F2" w:rsidRPr="00A241F5" w:rsidRDefault="00644C69" w:rsidP="003A6D3A">
      <w:pPr>
        <w:keepNext/>
        <w:keepLines/>
        <w:widowControl/>
        <w:rPr>
          <w:rFonts w:cs="Arial"/>
        </w:rPr>
      </w:pPr>
      <w:r w:rsidRPr="00A241F5">
        <w:rPr>
          <w:rFonts w:cs="Arial"/>
        </w:rPr>
        <w:t>2.</w:t>
      </w:r>
      <w:r w:rsidR="001238F2" w:rsidRPr="00A241F5">
        <w:rPr>
          <w:rFonts w:cs="Arial"/>
        </w:rPr>
        <w:t>18</w:t>
      </w:r>
      <w:r w:rsidR="001238F2" w:rsidRPr="00A241F5">
        <w:rPr>
          <w:rFonts w:cs="Arial"/>
        </w:rPr>
        <w:tab/>
        <w:t xml:space="preserve">One Respondent pointed out that law firms providing arbitration advice on an ORFS basis would need to adapt their billing and accounting practices accordingly.  Working on a CFA (or other ORFSs) basis would involve the </w:t>
      </w:r>
      <w:r w:rsidR="00F06ED2" w:rsidRPr="00A241F5">
        <w:rPr>
          <w:rFonts w:cs="Arial"/>
        </w:rPr>
        <w:t xml:space="preserve">law </w:t>
      </w:r>
      <w:r w:rsidR="001238F2" w:rsidRPr="00A241F5">
        <w:rPr>
          <w:rFonts w:cs="Arial"/>
        </w:rPr>
        <w:t xml:space="preserve">firm receiving less than its usual (or </w:t>
      </w:r>
      <w:r w:rsidR="00C61F4B" w:rsidRPr="00A241F5">
        <w:rPr>
          <w:rFonts w:cs="Arial"/>
        </w:rPr>
        <w:t>"</w:t>
      </w:r>
      <w:r w:rsidR="001238F2" w:rsidRPr="00A241F5">
        <w:rPr>
          <w:rFonts w:cs="Arial"/>
        </w:rPr>
        <w:t>benchmark</w:t>
      </w:r>
      <w:r w:rsidR="00C61F4B" w:rsidRPr="00A241F5">
        <w:rPr>
          <w:rFonts w:cs="Arial"/>
        </w:rPr>
        <w:t>"</w:t>
      </w:r>
      <w:r w:rsidR="001238F2" w:rsidRPr="00A241F5">
        <w:rPr>
          <w:rFonts w:cs="Arial"/>
        </w:rPr>
        <w:t xml:space="preserve">) hourly rate until the matter concludes, and this could impact on the </w:t>
      </w:r>
      <w:r w:rsidR="00F06ED2" w:rsidRPr="00A241F5">
        <w:rPr>
          <w:rFonts w:cs="Arial"/>
        </w:rPr>
        <w:t xml:space="preserve">law </w:t>
      </w:r>
      <w:r w:rsidR="001238F2" w:rsidRPr="00A241F5">
        <w:rPr>
          <w:rFonts w:cs="Arial"/>
        </w:rPr>
        <w:t>firm</w:t>
      </w:r>
      <w:r w:rsidR="00C61F4B" w:rsidRPr="00A241F5">
        <w:rPr>
          <w:rFonts w:cs="Arial"/>
        </w:rPr>
        <w:t>'</w:t>
      </w:r>
      <w:r w:rsidR="001238F2" w:rsidRPr="00A241F5">
        <w:rPr>
          <w:rFonts w:cs="Arial"/>
        </w:rPr>
        <w:t xml:space="preserve">s overall cash-flow position. </w:t>
      </w:r>
    </w:p>
    <w:p w14:paraId="0B3465D4" w14:textId="77777777" w:rsidR="001238F2" w:rsidRPr="00A241F5" w:rsidRDefault="001238F2" w:rsidP="001238F2">
      <w:pPr>
        <w:rPr>
          <w:rFonts w:cs="Arial"/>
        </w:rPr>
      </w:pPr>
    </w:p>
    <w:p w14:paraId="74332106" w14:textId="766D1227" w:rsidR="001238F2" w:rsidRPr="00A241F5" w:rsidRDefault="00644C69" w:rsidP="001238F2">
      <w:pPr>
        <w:rPr>
          <w:rFonts w:cs="Arial"/>
        </w:rPr>
      </w:pPr>
      <w:r w:rsidRPr="00A241F5">
        <w:rPr>
          <w:rFonts w:cs="Arial"/>
        </w:rPr>
        <w:t>2.</w:t>
      </w:r>
      <w:r w:rsidR="001238F2" w:rsidRPr="00A241F5">
        <w:rPr>
          <w:rFonts w:cs="Arial"/>
        </w:rPr>
        <w:t>19</w:t>
      </w:r>
      <w:r w:rsidR="001238F2" w:rsidRPr="00A241F5">
        <w:rPr>
          <w:rFonts w:cs="Arial"/>
        </w:rPr>
        <w:tab/>
      </w:r>
      <w:r w:rsidR="001238F2" w:rsidRPr="00A241F5">
        <w:rPr>
          <w:rFonts w:cs="Arial"/>
        </w:rPr>
        <w:tab/>
        <w:t xml:space="preserve">While we accept that some </w:t>
      </w:r>
      <w:r w:rsidR="00F06ED2" w:rsidRPr="00A241F5">
        <w:rPr>
          <w:rFonts w:cs="Arial"/>
        </w:rPr>
        <w:t xml:space="preserve">law </w:t>
      </w:r>
      <w:r w:rsidR="001238F2" w:rsidRPr="00A241F5">
        <w:rPr>
          <w:rFonts w:cs="Arial"/>
        </w:rPr>
        <w:t xml:space="preserve">firms might be temporarily inconvenienced by the need to adopt new billing and accounting practices for ORFSs, we are confident that law firms are capable of adapting their billing and accounting practices successfully and without adverse impact in the long term.  In fact, in the many jurisdictions where ORFS has - in one form or another - been in place for some time, there is no suggestion that lawyers or law firms have been unable to adapt their billing practices accordingly.     </w:t>
      </w:r>
    </w:p>
    <w:p w14:paraId="6886C70F" w14:textId="77777777" w:rsidR="001238F2" w:rsidRPr="00A241F5" w:rsidRDefault="001238F2" w:rsidP="001238F2">
      <w:pPr>
        <w:rPr>
          <w:rFonts w:cs="Arial"/>
        </w:rPr>
      </w:pPr>
    </w:p>
    <w:p w14:paraId="158F693D" w14:textId="51834452" w:rsidR="001238F2" w:rsidRPr="00A241F5" w:rsidRDefault="00644C69" w:rsidP="001238F2">
      <w:pPr>
        <w:rPr>
          <w:rFonts w:cs="Arial"/>
        </w:rPr>
      </w:pPr>
      <w:r w:rsidRPr="00A241F5">
        <w:rPr>
          <w:rFonts w:cs="Arial"/>
        </w:rPr>
        <w:t>2.</w:t>
      </w:r>
      <w:r w:rsidR="001238F2" w:rsidRPr="00A241F5">
        <w:rPr>
          <w:rFonts w:cs="Arial"/>
        </w:rPr>
        <w:t>20</w:t>
      </w:r>
      <w:r w:rsidR="001238F2" w:rsidRPr="00A241F5">
        <w:rPr>
          <w:rFonts w:cs="Arial"/>
        </w:rPr>
        <w:tab/>
        <w:t xml:space="preserve">We acknowledge that the impact of ORFSs on cash flow could be more material, particularly for smaller </w:t>
      </w:r>
      <w:r w:rsidR="00F06ED2" w:rsidRPr="00A241F5">
        <w:rPr>
          <w:rFonts w:cs="Arial"/>
        </w:rPr>
        <w:t xml:space="preserve">law </w:t>
      </w:r>
      <w:r w:rsidR="001238F2" w:rsidRPr="00A241F5">
        <w:rPr>
          <w:rFonts w:cs="Arial"/>
        </w:rPr>
        <w:t>firms with fewer cash reserves to support their overheads pending payment of the Success Fee under a CFA, or the DBA Payment under a DBA</w:t>
      </w:r>
      <w:r w:rsidR="0020498D" w:rsidRPr="00A241F5">
        <w:rPr>
          <w:rFonts w:cs="Arial"/>
        </w:rPr>
        <w:t xml:space="preserve"> (including a Hybrid DBA)</w:t>
      </w:r>
      <w:r w:rsidR="001238F2" w:rsidRPr="00A241F5">
        <w:rPr>
          <w:rFonts w:cs="Arial"/>
        </w:rPr>
        <w:t>.  However, we note that under the Sub-committee</w:t>
      </w:r>
      <w:r w:rsidR="00C61F4B" w:rsidRPr="00A241F5">
        <w:rPr>
          <w:rFonts w:cs="Arial"/>
        </w:rPr>
        <w:t>'</w:t>
      </w:r>
      <w:r w:rsidR="001238F2" w:rsidRPr="00A241F5">
        <w:rPr>
          <w:rFonts w:cs="Arial"/>
        </w:rPr>
        <w:t>s proposals, law firms and Lawyers would be free to negotiate the terms of any CFA (or any other ORFSs) with their clients, and could not be compelled to enter into a CFA (or any other ORFS</w:t>
      </w:r>
      <w:r w:rsidR="00352C5C" w:rsidRPr="00A241F5">
        <w:rPr>
          <w:rFonts w:cs="Arial"/>
        </w:rPr>
        <w:t>s</w:t>
      </w:r>
      <w:r w:rsidR="001238F2" w:rsidRPr="00A241F5">
        <w:rPr>
          <w:rFonts w:cs="Arial"/>
        </w:rPr>
        <w:t>) if its terms are financially unattractive - or unviable - for the firm.  Law firms can also access insurance products that will cover the costs they incur in ORFS matters where the client</w:t>
      </w:r>
      <w:r w:rsidR="00C61F4B" w:rsidRPr="00A241F5">
        <w:rPr>
          <w:rFonts w:cs="Arial"/>
        </w:rPr>
        <w:t>'</w:t>
      </w:r>
      <w:r w:rsidR="001238F2" w:rsidRPr="00A241F5">
        <w:rPr>
          <w:rFonts w:cs="Arial"/>
        </w:rPr>
        <w:t>s claim does not succeed.</w:t>
      </w:r>
    </w:p>
    <w:p w14:paraId="53D239C2" w14:textId="77777777" w:rsidR="001238F2" w:rsidRPr="00A241F5" w:rsidRDefault="001238F2" w:rsidP="001238F2">
      <w:pPr>
        <w:rPr>
          <w:rFonts w:cs="Arial"/>
        </w:rPr>
      </w:pPr>
    </w:p>
    <w:p w14:paraId="42FEAE6E" w14:textId="77777777" w:rsidR="001238F2" w:rsidRPr="00A241F5" w:rsidRDefault="001238F2" w:rsidP="001238F2">
      <w:pPr>
        <w:keepNext/>
        <w:keepLines/>
        <w:rPr>
          <w:i/>
        </w:rPr>
      </w:pPr>
      <w:r w:rsidRPr="00A241F5">
        <w:rPr>
          <w:i/>
        </w:rPr>
        <w:t>Increase in opportunistic and frivolous litigation</w:t>
      </w:r>
    </w:p>
    <w:p w14:paraId="3F767B77" w14:textId="77777777" w:rsidR="001238F2" w:rsidRPr="00A241F5" w:rsidRDefault="001238F2" w:rsidP="001238F2">
      <w:pPr>
        <w:keepNext/>
        <w:keepLines/>
      </w:pPr>
    </w:p>
    <w:p w14:paraId="3F6B6557" w14:textId="54978355" w:rsidR="001238F2" w:rsidRPr="00A241F5" w:rsidRDefault="00644C69" w:rsidP="001238F2">
      <w:pPr>
        <w:keepNext/>
        <w:keepLines/>
      </w:pPr>
      <w:r w:rsidRPr="00A241F5">
        <w:rPr>
          <w:rFonts w:cs="Arial"/>
        </w:rPr>
        <w:t>2.</w:t>
      </w:r>
      <w:r w:rsidR="001238F2" w:rsidRPr="00A241F5">
        <w:rPr>
          <w:rFonts w:cs="Arial"/>
        </w:rPr>
        <w:t>21</w:t>
      </w:r>
      <w:r w:rsidR="001238F2" w:rsidRPr="00A241F5">
        <w:rPr>
          <w:rFonts w:cs="Arial"/>
        </w:rPr>
        <w:tab/>
      </w:r>
      <w:r w:rsidR="001238F2" w:rsidRPr="00A241F5">
        <w:t>We consider it unlikely that permitting ORFSs will increase opportunistic or frivolous claims.  Where a Lawyer agrees to act on a CFA or any other ORFS, he or she bears a significant financial risk if the case does not succeed.  Indeed, the Lawyer takes a much greater risk in an ORFS situation than in a conventional fee arrangement, under which he or she is entitled to payment whether the client wins or loses.  Far from prompting them to drum up claims on an opportunistic basis, ORFSs should encourage Lawyers to take a cautious approach to potential instructions.  In other words, Lawyers are likely to offer ORFSs only where they are persuaded that the merits of the claim are genuinely strong.  We are further encouraged by the Sub-committee</w:t>
      </w:r>
      <w:r w:rsidR="00C61F4B" w:rsidRPr="00A241F5">
        <w:t>'</w:t>
      </w:r>
      <w:r w:rsidR="001238F2" w:rsidRPr="00A241F5">
        <w:t xml:space="preserve">s review of jurisdictions in which ORFSs are already permitted, </w:t>
      </w:r>
      <w:r w:rsidR="00027865" w:rsidRPr="00A241F5">
        <w:t xml:space="preserve">and </w:t>
      </w:r>
      <w:r w:rsidR="001238F2" w:rsidRPr="00A241F5">
        <w:t xml:space="preserve">none of </w:t>
      </w:r>
      <w:r w:rsidR="00027865" w:rsidRPr="00A241F5">
        <w:t xml:space="preserve">these jurisdictions </w:t>
      </w:r>
      <w:r w:rsidR="001238F2" w:rsidRPr="00A241F5">
        <w:t>has seen a link between those fee structures and an increase in frivolous claims.</w:t>
      </w:r>
      <w:r w:rsidR="001238F2" w:rsidRPr="00A241F5">
        <w:rPr>
          <w:rStyle w:val="FootnoteReference"/>
          <w:sz w:val="24"/>
        </w:rPr>
        <w:footnoteReference w:id="18"/>
      </w:r>
    </w:p>
    <w:p w14:paraId="37B0D267" w14:textId="77777777" w:rsidR="001238F2" w:rsidRPr="00A241F5" w:rsidRDefault="001238F2" w:rsidP="001238F2">
      <w:pPr>
        <w:rPr>
          <w:b/>
        </w:rPr>
      </w:pPr>
    </w:p>
    <w:p w14:paraId="1584859F" w14:textId="77777777" w:rsidR="001238F2" w:rsidRPr="00A241F5" w:rsidRDefault="001238F2" w:rsidP="001238F2">
      <w:pPr>
        <w:rPr>
          <w:i/>
        </w:rPr>
      </w:pPr>
      <w:r w:rsidRPr="00A241F5">
        <w:rPr>
          <w:i/>
        </w:rPr>
        <w:t>Excessive legal fees</w:t>
      </w:r>
    </w:p>
    <w:p w14:paraId="1806F430" w14:textId="77777777" w:rsidR="001238F2" w:rsidRPr="00A241F5" w:rsidRDefault="001238F2" w:rsidP="001238F2">
      <w:pPr>
        <w:rPr>
          <w:b/>
          <w:i/>
        </w:rPr>
      </w:pPr>
    </w:p>
    <w:p w14:paraId="5DD29D98" w14:textId="42620928" w:rsidR="001238F2" w:rsidRPr="00A241F5" w:rsidRDefault="00644C69" w:rsidP="001238F2">
      <w:r w:rsidRPr="00A241F5">
        <w:rPr>
          <w:rFonts w:cs="Arial"/>
        </w:rPr>
        <w:t>2.</w:t>
      </w:r>
      <w:r w:rsidR="001238F2" w:rsidRPr="00A241F5">
        <w:rPr>
          <w:rFonts w:cs="Arial"/>
        </w:rPr>
        <w:t>22</w:t>
      </w:r>
      <w:r w:rsidR="001238F2" w:rsidRPr="00A241F5">
        <w:rPr>
          <w:rFonts w:cs="Arial"/>
        </w:rPr>
        <w:tab/>
      </w:r>
      <w:r w:rsidR="001238F2" w:rsidRPr="00A241F5">
        <w:t xml:space="preserve">We agree with the Sub-committee that the risk of ORFSs encouraging Lawyers to charge excessive fees is, in general, overstated.  As </w:t>
      </w:r>
      <w:r w:rsidR="001238F2" w:rsidRPr="00A241F5">
        <w:lastRenderedPageBreak/>
        <w:t>noted in the Consultation Paper, the calculation of Success Fees in CFAs is usually based on the number of hours the Lawyer has worked, and the Lawyer</w:t>
      </w:r>
      <w:r w:rsidR="00C61F4B" w:rsidRPr="00A241F5">
        <w:t>'</w:t>
      </w:r>
      <w:r w:rsidR="001238F2" w:rsidRPr="00A241F5">
        <w:t>s hourly rate.  To the extent that there is a risk of a Lawyer inflating the rate, that same risk exists whether the client is paying on the basis of time worked, or only in the event</w:t>
      </w:r>
      <w:r w:rsidR="00A75119" w:rsidRPr="00A241F5">
        <w:t xml:space="preserve"> of a successful outcome for the client in the matter</w:t>
      </w:r>
      <w:r w:rsidR="001238F2" w:rsidRPr="00A241F5">
        <w:t xml:space="preserve">. </w:t>
      </w:r>
    </w:p>
    <w:p w14:paraId="73F4A6FC" w14:textId="77777777" w:rsidR="001238F2" w:rsidRPr="00A241F5" w:rsidRDefault="001238F2" w:rsidP="001238F2"/>
    <w:p w14:paraId="0BB6F86D" w14:textId="4A5D1F32" w:rsidR="001238F2" w:rsidRPr="00A241F5" w:rsidRDefault="00644C69" w:rsidP="001238F2">
      <w:pPr>
        <w:widowControl/>
      </w:pPr>
      <w:r w:rsidRPr="00A241F5">
        <w:rPr>
          <w:rFonts w:cs="Arial"/>
        </w:rPr>
        <w:t>2.</w:t>
      </w:r>
      <w:r w:rsidR="001238F2" w:rsidRPr="00A241F5">
        <w:rPr>
          <w:rFonts w:cs="Arial"/>
        </w:rPr>
        <w:t>23</w:t>
      </w:r>
      <w:r w:rsidR="001238F2" w:rsidRPr="00A241F5">
        <w:rPr>
          <w:rFonts w:cs="Arial"/>
        </w:rPr>
        <w:tab/>
      </w:r>
      <w:r w:rsidR="001238F2" w:rsidRPr="00A241F5">
        <w:rPr>
          <w:rFonts w:cs="Arial"/>
        </w:rPr>
        <w:tab/>
      </w:r>
      <w:r w:rsidR="001238F2" w:rsidRPr="00A241F5">
        <w:t xml:space="preserve">Where a DBA is in place, the fee payable to the Lawyer is expressed as a percentage of any Financial Benefit the client </w:t>
      </w:r>
      <w:r w:rsidR="00A75119" w:rsidRPr="00A241F5">
        <w:t xml:space="preserve">obtains </w:t>
      </w:r>
      <w:r w:rsidR="001238F2" w:rsidRPr="00A241F5">
        <w:t xml:space="preserve">in the case.  As such, the fee is both proportionate to the amount in dispute and entirely transparent from the outset.  Furthermore, the client can predict with greater certainty the amount likely to be payable to their Lawyers, and can assess whether that amount represents value for the legal services received. </w:t>
      </w:r>
    </w:p>
    <w:p w14:paraId="05653036" w14:textId="77777777" w:rsidR="001238F2" w:rsidRPr="00A241F5" w:rsidRDefault="001238F2" w:rsidP="001238F2"/>
    <w:p w14:paraId="15F74D74" w14:textId="62658C17" w:rsidR="001238F2" w:rsidRPr="00A241F5" w:rsidRDefault="00644C69" w:rsidP="001238F2">
      <w:pPr>
        <w:keepNext/>
        <w:keepLines/>
      </w:pPr>
      <w:r w:rsidRPr="00A241F5">
        <w:rPr>
          <w:rFonts w:cs="Arial"/>
        </w:rPr>
        <w:t>2.</w:t>
      </w:r>
      <w:r w:rsidR="001238F2" w:rsidRPr="00A241F5">
        <w:rPr>
          <w:rFonts w:cs="Arial"/>
        </w:rPr>
        <w:t>24</w:t>
      </w:r>
      <w:r w:rsidR="001238F2" w:rsidRPr="00A241F5">
        <w:rPr>
          <w:rFonts w:cs="Arial"/>
        </w:rPr>
        <w:tab/>
      </w:r>
      <w:r w:rsidR="001238F2" w:rsidRPr="00A241F5">
        <w:t xml:space="preserve">Perhaps most importantly, we are not aware of any evidence that permitting ORFSs in other jurisdictions has led Lawyers to charge their clients excessively.  As the Sub-committee pointed out, such risk as remains was </w:t>
      </w:r>
      <w:r w:rsidR="00C61F4B" w:rsidRPr="00A241F5">
        <w:rPr>
          <w:i/>
        </w:rPr>
        <w:t>"</w:t>
      </w:r>
      <w:r w:rsidR="001238F2" w:rsidRPr="00A241F5">
        <w:rPr>
          <w:i/>
        </w:rPr>
        <w:t>even lower in the context of Arbitration, where users are typically sophisticated commercial parties who have expressly considered and agreed where and how to resolve their disputes</w:t>
      </w:r>
      <w:r w:rsidR="00C61F4B" w:rsidRPr="00A241F5">
        <w:rPr>
          <w:i/>
        </w:rPr>
        <w:t>"</w:t>
      </w:r>
      <w:r w:rsidR="00923002" w:rsidRPr="00A241F5">
        <w:t>.</w:t>
      </w:r>
      <w:r w:rsidR="001238F2" w:rsidRPr="00A241F5">
        <w:rPr>
          <w:rStyle w:val="FootnoteReference"/>
          <w:sz w:val="24"/>
        </w:rPr>
        <w:footnoteReference w:id="19"/>
      </w:r>
      <w:r w:rsidR="001238F2" w:rsidRPr="00A241F5">
        <w:t xml:space="preserve"> </w:t>
      </w:r>
    </w:p>
    <w:p w14:paraId="4B6319B5" w14:textId="77777777" w:rsidR="001238F2" w:rsidRPr="00A241F5" w:rsidRDefault="001238F2" w:rsidP="001238F2"/>
    <w:p w14:paraId="33DE01EE" w14:textId="71A7ADF1" w:rsidR="001238F2" w:rsidRPr="00A241F5" w:rsidRDefault="00644C69" w:rsidP="001238F2">
      <w:r w:rsidRPr="00A241F5">
        <w:t>2.</w:t>
      </w:r>
      <w:r w:rsidR="001238F2" w:rsidRPr="00A241F5">
        <w:t>25</w:t>
      </w:r>
      <w:r w:rsidR="001238F2" w:rsidRPr="00A241F5">
        <w:tab/>
        <w:t>Finally, we agree that any remaining risk will be mitigated by Hong Kong</w:t>
      </w:r>
      <w:r w:rsidR="00C61F4B" w:rsidRPr="00A241F5">
        <w:t>'</w:t>
      </w:r>
      <w:r w:rsidR="001238F2" w:rsidRPr="00A241F5">
        <w:t xml:space="preserve">s </w:t>
      </w:r>
      <w:r w:rsidR="00C61F4B" w:rsidRPr="00A241F5">
        <w:t>"</w:t>
      </w:r>
      <w:r w:rsidR="001238F2" w:rsidRPr="00A241F5">
        <w:t>costs indemnity rules</w:t>
      </w:r>
      <w:r w:rsidR="00C61F4B" w:rsidRPr="00A241F5">
        <w:t>"</w:t>
      </w:r>
      <w:r w:rsidR="001238F2" w:rsidRPr="00A241F5">
        <w:t>, and by introducing appropriate safeguards to the ORFS regime for Arbitration.</w:t>
      </w:r>
      <w:r w:rsidR="001238F2" w:rsidRPr="00A241F5">
        <w:rPr>
          <w:rStyle w:val="FootnoteReference"/>
          <w:sz w:val="24"/>
        </w:rPr>
        <w:footnoteReference w:id="20"/>
      </w:r>
    </w:p>
    <w:p w14:paraId="0EE052B3" w14:textId="77777777" w:rsidR="001238F2" w:rsidRPr="00A241F5" w:rsidRDefault="001238F2" w:rsidP="001238F2">
      <w:pPr>
        <w:rPr>
          <w:b/>
          <w:i/>
        </w:rPr>
      </w:pPr>
    </w:p>
    <w:p w14:paraId="4ED1524D" w14:textId="77777777" w:rsidR="001238F2" w:rsidRPr="00A241F5" w:rsidRDefault="001238F2" w:rsidP="001238F2">
      <w:pPr>
        <w:rPr>
          <w:i/>
        </w:rPr>
      </w:pPr>
      <w:r w:rsidRPr="00A241F5">
        <w:rPr>
          <w:i/>
        </w:rPr>
        <w:t>Reliance on after-the-event/</w:t>
      </w:r>
      <w:r w:rsidRPr="00A241F5">
        <w:rPr>
          <w:rFonts w:cs="Arial"/>
          <w:i/>
        </w:rPr>
        <w:t>litigation</w:t>
      </w:r>
      <w:r w:rsidRPr="00A241F5">
        <w:rPr>
          <w:i/>
        </w:rPr>
        <w:t xml:space="preserve"> insurance </w:t>
      </w:r>
    </w:p>
    <w:p w14:paraId="4F4F336E" w14:textId="77777777" w:rsidR="001238F2" w:rsidRPr="00A241F5" w:rsidRDefault="001238F2" w:rsidP="001238F2"/>
    <w:p w14:paraId="2C74EC89" w14:textId="311B26C1" w:rsidR="001238F2" w:rsidRPr="00A241F5" w:rsidRDefault="00644C69" w:rsidP="001238F2">
      <w:r w:rsidRPr="00A241F5">
        <w:rPr>
          <w:rFonts w:cs="Arial"/>
        </w:rPr>
        <w:t>2.</w:t>
      </w:r>
      <w:r w:rsidR="001238F2" w:rsidRPr="00A241F5">
        <w:rPr>
          <w:rFonts w:cs="Arial"/>
        </w:rPr>
        <w:t>26</w:t>
      </w:r>
      <w:r w:rsidR="001238F2" w:rsidRPr="00A241F5">
        <w:rPr>
          <w:rFonts w:cs="Arial"/>
        </w:rPr>
        <w:tab/>
      </w:r>
      <w:r w:rsidR="001238F2" w:rsidRPr="00A241F5">
        <w:t xml:space="preserve">The availability of </w:t>
      </w:r>
      <w:r w:rsidR="004D326A" w:rsidRPr="00A241F5">
        <w:t>ATE</w:t>
      </w:r>
      <w:r w:rsidR="001238F2" w:rsidRPr="00A241F5">
        <w:t xml:space="preserve"> Insurance was undoubtedly a concern when the LRC considered introducing conditional fees</w:t>
      </w:r>
      <w:r w:rsidR="001238F2" w:rsidRPr="00A241F5">
        <w:rPr>
          <w:rStyle w:val="FootnoteReference"/>
          <w:sz w:val="24"/>
        </w:rPr>
        <w:footnoteReference w:id="21"/>
      </w:r>
      <w:r w:rsidR="001238F2" w:rsidRPr="00A241F5">
        <w:t xml:space="preserve"> in 2005-2007.  However, for the reasons set out at paragraphs 4.66 </w:t>
      </w:r>
      <w:r w:rsidR="00F44171" w:rsidRPr="00A241F5">
        <w:t>to</w:t>
      </w:r>
      <w:r w:rsidR="001238F2" w:rsidRPr="00A241F5">
        <w:t xml:space="preserve"> 4.69 of the Consultation Paper, we are persuaded that these concerns are largely historic</w:t>
      </w:r>
      <w:r w:rsidR="00027865" w:rsidRPr="00A241F5">
        <w:t>al</w:t>
      </w:r>
      <w:r w:rsidR="001238F2" w:rsidRPr="00A241F5">
        <w:t xml:space="preserve">, and should not be a bar to introducing ORFSs for Arbitration in Hong Kong now. </w:t>
      </w:r>
    </w:p>
    <w:p w14:paraId="1CA31AFD" w14:textId="77777777" w:rsidR="001238F2" w:rsidRPr="00A241F5" w:rsidRDefault="001238F2" w:rsidP="001238F2"/>
    <w:p w14:paraId="384F1FDF" w14:textId="1D4BC839" w:rsidR="001238F2" w:rsidRPr="00A241F5" w:rsidRDefault="00644C69" w:rsidP="001238F2">
      <w:r w:rsidRPr="00A241F5">
        <w:rPr>
          <w:rFonts w:cs="Arial"/>
        </w:rPr>
        <w:t>2.</w:t>
      </w:r>
      <w:r w:rsidR="001238F2" w:rsidRPr="00A241F5">
        <w:rPr>
          <w:rFonts w:cs="Arial"/>
        </w:rPr>
        <w:t>27</w:t>
      </w:r>
      <w:r w:rsidR="001238F2" w:rsidRPr="00A241F5">
        <w:rPr>
          <w:rFonts w:cs="Arial"/>
        </w:rPr>
        <w:tab/>
      </w:r>
      <w:r w:rsidR="001238F2" w:rsidRPr="00A241F5">
        <w:t xml:space="preserve">In reaching this conclusion, we are encouraged by the response received from a regulator in Hong Kong, which supported the introduction of ORFSs for Arbitration in Hong Kong and considered that it can give rise to a new market in </w:t>
      </w:r>
      <w:r w:rsidR="004D326A" w:rsidRPr="00A241F5">
        <w:t>ATE</w:t>
      </w:r>
      <w:r w:rsidR="001238F2" w:rsidRPr="00A241F5">
        <w:t xml:space="preserve"> </w:t>
      </w:r>
      <w:r w:rsidR="004D326A" w:rsidRPr="00A241F5">
        <w:t>I</w:t>
      </w:r>
      <w:r w:rsidR="001238F2" w:rsidRPr="00A241F5">
        <w:t>nsurance.  In general, we note that the insurance market has developed significantly since 2007, such that ATE Insurance and other forms of litigation insurance are now readily available internationally.  We are confident that, were ORFSs for Arbitration to be introduced in Hong Kong, the insurance market here would respond positively by making similar products available.</w:t>
      </w:r>
    </w:p>
    <w:p w14:paraId="4E867E2F" w14:textId="77777777" w:rsidR="001238F2" w:rsidRPr="00A241F5" w:rsidRDefault="001238F2" w:rsidP="001238F2"/>
    <w:p w14:paraId="5BEBCD24" w14:textId="77777777" w:rsidR="001238F2" w:rsidRPr="00A241F5" w:rsidRDefault="001238F2" w:rsidP="003A6D3A">
      <w:pPr>
        <w:keepNext/>
        <w:keepLines/>
        <w:rPr>
          <w:i/>
        </w:rPr>
      </w:pPr>
      <w:r w:rsidRPr="00A241F5">
        <w:rPr>
          <w:i/>
        </w:rPr>
        <w:lastRenderedPageBreak/>
        <w:t>Increase in satellite litigation</w:t>
      </w:r>
    </w:p>
    <w:p w14:paraId="0029C8B5" w14:textId="77777777" w:rsidR="001238F2" w:rsidRPr="00A241F5" w:rsidRDefault="001238F2" w:rsidP="003A6D3A">
      <w:pPr>
        <w:keepNext/>
        <w:keepLines/>
      </w:pPr>
    </w:p>
    <w:p w14:paraId="5E056713" w14:textId="6C21544F" w:rsidR="001238F2" w:rsidRPr="00A241F5" w:rsidRDefault="00644C69" w:rsidP="003A6D3A">
      <w:pPr>
        <w:keepNext/>
        <w:keepLines/>
      </w:pPr>
      <w:r w:rsidRPr="00A241F5">
        <w:rPr>
          <w:rFonts w:cs="Arial"/>
        </w:rPr>
        <w:t>2.</w:t>
      </w:r>
      <w:r w:rsidR="001238F2" w:rsidRPr="00A241F5">
        <w:rPr>
          <w:rFonts w:cs="Arial"/>
        </w:rPr>
        <w:t>28</w:t>
      </w:r>
      <w:r w:rsidR="001238F2" w:rsidRPr="00A241F5">
        <w:rPr>
          <w:rFonts w:cs="Arial"/>
        </w:rPr>
        <w:tab/>
      </w:r>
      <w:r w:rsidR="001238F2" w:rsidRPr="00A241F5">
        <w:t>This objection is based on a concern that parties who lose an arbitration and are ordered to pay the winning party</w:t>
      </w:r>
      <w:r w:rsidR="00C61F4B" w:rsidRPr="00A241F5">
        <w:t>'</w:t>
      </w:r>
      <w:r w:rsidR="001238F2" w:rsidRPr="00A241F5">
        <w:t xml:space="preserve">s costs might bring separate, or </w:t>
      </w:r>
      <w:r w:rsidR="00C61F4B" w:rsidRPr="00A241F5">
        <w:t>"</w:t>
      </w:r>
      <w:r w:rsidR="001238F2" w:rsidRPr="00A241F5">
        <w:t>satellite</w:t>
      </w:r>
      <w:r w:rsidR="00C61F4B" w:rsidRPr="00A241F5">
        <w:t>"</w:t>
      </w:r>
      <w:r w:rsidR="001238F2" w:rsidRPr="00A241F5">
        <w:t>, claims challenging the validity of the winning party</w:t>
      </w:r>
      <w:r w:rsidR="00C61F4B" w:rsidRPr="00A241F5">
        <w:t>'</w:t>
      </w:r>
      <w:r w:rsidR="001238F2" w:rsidRPr="00A241F5">
        <w:t xml:space="preserve">s ORFS arrangement with its Lawyer. </w:t>
      </w:r>
    </w:p>
    <w:p w14:paraId="10501AE6" w14:textId="77777777" w:rsidR="001238F2" w:rsidRPr="00A241F5" w:rsidRDefault="001238F2" w:rsidP="001238F2"/>
    <w:p w14:paraId="6C24A6FE" w14:textId="756CC65B" w:rsidR="001238F2" w:rsidRPr="00A241F5" w:rsidRDefault="00644C69" w:rsidP="001238F2">
      <w:r w:rsidRPr="00A241F5">
        <w:rPr>
          <w:rFonts w:cs="Arial"/>
        </w:rPr>
        <w:t>2.</w:t>
      </w:r>
      <w:r w:rsidR="001238F2" w:rsidRPr="00A241F5">
        <w:rPr>
          <w:rFonts w:cs="Arial"/>
        </w:rPr>
        <w:t>29</w:t>
      </w:r>
      <w:r w:rsidR="001238F2" w:rsidRPr="00A241F5">
        <w:rPr>
          <w:rFonts w:cs="Arial"/>
        </w:rPr>
        <w:tab/>
      </w:r>
      <w:r w:rsidR="001238F2" w:rsidRPr="00A241F5">
        <w:t xml:space="preserve">We are aware that England and Wales witnessed a spike in such </w:t>
      </w:r>
      <w:r w:rsidR="00C61F4B" w:rsidRPr="00A241F5">
        <w:t>"</w:t>
      </w:r>
      <w:r w:rsidR="001238F2" w:rsidRPr="00A241F5">
        <w:t>satellite</w:t>
      </w:r>
      <w:r w:rsidR="00C61F4B" w:rsidRPr="00A241F5">
        <w:t>"</w:t>
      </w:r>
      <w:r w:rsidR="001238F2" w:rsidRPr="00A241F5">
        <w:t xml:space="preserve"> claims after the Access to Justice Act 1999 which allowed a successful party to recover from its opponent the success fee payable to its lawyer under a CFA.</w:t>
      </w:r>
      <w:r w:rsidR="001238F2" w:rsidRPr="00A241F5">
        <w:rPr>
          <w:rStyle w:val="FootnoteReference"/>
          <w:sz w:val="24"/>
        </w:rPr>
        <w:footnoteReference w:id="22"/>
      </w:r>
      <w:r w:rsidR="001238F2" w:rsidRPr="00A241F5">
        <w:t xml:space="preserve">  The English courts saw a rise in satellite litigation, in which </w:t>
      </w:r>
      <w:r w:rsidR="00614E5B" w:rsidRPr="00A241F5">
        <w:t xml:space="preserve">a </w:t>
      </w:r>
      <w:r w:rsidR="001238F2" w:rsidRPr="00A241F5">
        <w:t xml:space="preserve">losing </w:t>
      </w:r>
      <w:r w:rsidR="00614E5B" w:rsidRPr="00A241F5">
        <w:t>party</w:t>
      </w:r>
      <w:r w:rsidR="007373BA" w:rsidRPr="00A241F5">
        <w:t xml:space="preserve"> </w:t>
      </w:r>
      <w:r w:rsidR="001238F2" w:rsidRPr="00A241F5">
        <w:t>challenged the enforceability of the CFA, or the quantum of recoverable costs, in order to avoid paying the success fee element of the winning party</w:t>
      </w:r>
      <w:r w:rsidR="00C61F4B" w:rsidRPr="00A241F5">
        <w:t>'</w:t>
      </w:r>
      <w:r w:rsidR="001238F2" w:rsidRPr="00A241F5">
        <w:t xml:space="preserve">s costs.  In order to reduce the risk of such claims, England and Wales subsequently amended its laws to provide that the success fee element is no longer recoverable from the losing </w:t>
      </w:r>
      <w:r w:rsidR="00E4754C" w:rsidRPr="00A241F5">
        <w:t xml:space="preserve">opponent </w:t>
      </w:r>
      <w:r w:rsidR="001238F2" w:rsidRPr="00A241F5">
        <w:t>in contentious proceedings.</w:t>
      </w:r>
    </w:p>
    <w:p w14:paraId="55275C60" w14:textId="77777777" w:rsidR="001238F2" w:rsidRPr="00A241F5" w:rsidRDefault="001238F2" w:rsidP="001238F2"/>
    <w:p w14:paraId="620FC3B0" w14:textId="1A6B3F83" w:rsidR="001238F2" w:rsidRPr="00A241F5" w:rsidRDefault="00644C69" w:rsidP="001238F2">
      <w:r w:rsidRPr="00A241F5">
        <w:rPr>
          <w:rFonts w:cs="Arial"/>
        </w:rPr>
        <w:t>2.</w:t>
      </w:r>
      <w:r w:rsidR="001238F2" w:rsidRPr="00A241F5">
        <w:rPr>
          <w:rFonts w:cs="Arial"/>
        </w:rPr>
        <w:t>30</w:t>
      </w:r>
      <w:r w:rsidR="001238F2" w:rsidRPr="00A241F5">
        <w:rPr>
          <w:rFonts w:cs="Arial"/>
        </w:rPr>
        <w:tab/>
      </w:r>
      <w:r w:rsidR="001238F2" w:rsidRPr="00A241F5">
        <w:t xml:space="preserve">In preparing its Consultation Paper, the Sub-committee has carefully reviewed the position in England and Wales on this issue. Consequently, the ORFS regime that is proposed in this Report would prohibit a winning party from recovering the Success Fee.  This element of the regime is designed specifically to avoid the risk of such </w:t>
      </w:r>
      <w:r w:rsidR="00C61F4B" w:rsidRPr="00A241F5">
        <w:t>"</w:t>
      </w:r>
      <w:r w:rsidR="001238F2" w:rsidRPr="00A241F5">
        <w:t>satellite</w:t>
      </w:r>
      <w:r w:rsidR="00C61F4B" w:rsidRPr="00A241F5">
        <w:t>"</w:t>
      </w:r>
      <w:r w:rsidR="001238F2" w:rsidRPr="00A241F5">
        <w:t xml:space="preserve"> claims.</w:t>
      </w:r>
    </w:p>
    <w:p w14:paraId="11D31799" w14:textId="77777777" w:rsidR="001238F2" w:rsidRPr="00A241F5" w:rsidRDefault="001238F2" w:rsidP="001238F2"/>
    <w:p w14:paraId="6A3D0832" w14:textId="024443C9" w:rsidR="001238F2" w:rsidRPr="00A241F5" w:rsidRDefault="00644C69" w:rsidP="001238F2">
      <w:pPr>
        <w:rPr>
          <w:rFonts w:cs="Arial"/>
        </w:rPr>
      </w:pPr>
      <w:r w:rsidRPr="00A241F5">
        <w:t>2.</w:t>
      </w:r>
      <w:r w:rsidR="001238F2" w:rsidRPr="00A241F5">
        <w:t>31</w:t>
      </w:r>
      <w:r w:rsidR="001238F2" w:rsidRPr="00A241F5">
        <w:tab/>
      </w:r>
      <w:r w:rsidR="001238F2" w:rsidRPr="00A241F5">
        <w:rPr>
          <w:rFonts w:cs="Arial"/>
        </w:rPr>
        <w:t>Having analysed the arguments for and against Recommendation 1, we are persuaded that the benefits of permitting the use of CFAs in Arbitration outweigh any potential disadvantages.  We agree with the Sub-committee that risks can be further mitigated by limiting the use of CFAs (and ORFSs generally) to Arbitration, and by ensuring that the CFA regime contains appropriate safeguards in the relevant laws and regulations.  We discuss this below when we consider Recommendation 13.</w:t>
      </w:r>
    </w:p>
    <w:p w14:paraId="4270482C" w14:textId="77777777" w:rsidR="001238F2" w:rsidRPr="00A241F5" w:rsidRDefault="001238F2" w:rsidP="001238F2">
      <w:pPr>
        <w:rPr>
          <w:rFonts w:cs="Arial"/>
        </w:rPr>
      </w:pPr>
      <w:r w:rsidRPr="00A241F5">
        <w:rPr>
          <w:rFonts w:cs="Arial"/>
        </w:rPr>
        <w:t xml:space="preserve">  </w:t>
      </w:r>
    </w:p>
    <w:p w14:paraId="688D89F0" w14:textId="71D1372C" w:rsidR="001238F2" w:rsidRPr="00A241F5" w:rsidRDefault="00644C69" w:rsidP="001238F2">
      <w:pPr>
        <w:pStyle w:val="Indent10"/>
        <w:widowControl/>
        <w:tabs>
          <w:tab w:val="clear" w:pos="1418"/>
          <w:tab w:val="left" w:pos="1440"/>
        </w:tabs>
        <w:spacing w:after="120"/>
        <w:ind w:left="0" w:firstLine="0"/>
        <w:rPr>
          <w:rFonts w:cs="Arial"/>
        </w:rPr>
      </w:pPr>
      <w:r w:rsidRPr="00A241F5">
        <w:t>2.</w:t>
      </w:r>
      <w:r w:rsidR="001238F2" w:rsidRPr="00A241F5">
        <w:t>32</w:t>
      </w:r>
      <w:r w:rsidR="001238F2" w:rsidRPr="00A241F5">
        <w:tab/>
        <w:t xml:space="preserve">The mechanism for lifting the prohibition on CFAs is also discussed in Chapters </w:t>
      </w:r>
      <w:r w:rsidR="00F02F61" w:rsidRPr="00A241F5">
        <w:rPr>
          <w:rFonts w:cs="Arial"/>
        </w:rPr>
        <w:t>12</w:t>
      </w:r>
      <w:r w:rsidR="00F02F61" w:rsidRPr="00A241F5">
        <w:t xml:space="preserve"> </w:t>
      </w:r>
      <w:r w:rsidR="001238F2" w:rsidRPr="00A241F5">
        <w:t xml:space="preserve">and </w:t>
      </w:r>
      <w:r w:rsidR="001238F2" w:rsidRPr="00A241F5">
        <w:rPr>
          <w:rFonts w:cs="Arial"/>
        </w:rPr>
        <w:t>1</w:t>
      </w:r>
      <w:r w:rsidR="00F02F61" w:rsidRPr="00A241F5">
        <w:rPr>
          <w:rFonts w:cs="Arial"/>
        </w:rPr>
        <w:t>3</w:t>
      </w:r>
      <w:r w:rsidR="001238F2" w:rsidRPr="00A241F5">
        <w:t xml:space="preserve"> where Recommendations 11 and 12 are considered respectively.</w:t>
      </w:r>
    </w:p>
    <w:p w14:paraId="18F1A0BE" w14:textId="77777777" w:rsidR="001238F2" w:rsidRPr="00A241F5" w:rsidRDefault="001238F2" w:rsidP="001238F2"/>
    <w:p w14:paraId="08B069BA" w14:textId="77777777" w:rsidR="001238F2" w:rsidRPr="00A241F5" w:rsidRDefault="001238F2" w:rsidP="001238F2">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t>Final Recommendation 1</w:t>
      </w:r>
    </w:p>
    <w:p w14:paraId="72D4A9BB" w14:textId="77777777" w:rsidR="001238F2" w:rsidRPr="00A241F5" w:rsidRDefault="001238F2" w:rsidP="001238F2">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63806EBB" w14:textId="77777777" w:rsidR="001238F2" w:rsidRPr="00A241F5" w:rsidRDefault="001238F2" w:rsidP="001238F2">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rPr>
          <w:rFonts w:cs="Arial"/>
        </w:rPr>
        <w:t>We recommend that prohibitions on the use of CFAs in Arbitration by Lawyers should be lifted, so that Lawyers may choose to enter into CFAs for Arbitration.</w:t>
      </w:r>
    </w:p>
    <w:p w14:paraId="5124E941" w14:textId="77777777" w:rsidR="001238F2" w:rsidRPr="00A241F5" w:rsidRDefault="001238F2" w:rsidP="001238F2"/>
    <w:p w14:paraId="10153CFB" w14:textId="77777777" w:rsidR="001238F2" w:rsidRPr="00A241F5" w:rsidRDefault="001238F2" w:rsidP="001238F2"/>
    <w:p w14:paraId="19D11EE9" w14:textId="77777777" w:rsidR="001238F2" w:rsidRPr="00A241F5" w:rsidRDefault="001238F2" w:rsidP="001238F2">
      <w:pPr>
        <w:pStyle w:val="Heading1"/>
        <w:widowControl/>
        <w:tabs>
          <w:tab w:val="clear" w:pos="1418"/>
          <w:tab w:val="left" w:pos="1440"/>
        </w:tabs>
        <w:rPr>
          <w:rFonts w:cs="Arial"/>
        </w:rPr>
        <w:sectPr w:rsidR="001238F2" w:rsidRPr="00A241F5" w:rsidSect="00AC7FE5">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9" w:h="16834" w:code="9"/>
          <w:pgMar w:top="1440" w:right="1800" w:bottom="1440" w:left="1800" w:header="720" w:footer="720" w:gutter="0"/>
          <w:cols w:space="425"/>
          <w:docGrid w:linePitch="360"/>
        </w:sectPr>
      </w:pPr>
    </w:p>
    <w:p w14:paraId="069B8D31" w14:textId="030A6C1A" w:rsidR="001238F2" w:rsidRPr="00A241F5" w:rsidRDefault="00070C53" w:rsidP="001238F2">
      <w:pPr>
        <w:pStyle w:val="Heading1"/>
        <w:widowControl/>
        <w:tabs>
          <w:tab w:val="clear" w:pos="1418"/>
          <w:tab w:val="left" w:pos="1440"/>
        </w:tabs>
        <w:rPr>
          <w:rFonts w:cs="Arial"/>
          <w:sz w:val="32"/>
          <w:szCs w:val="32"/>
        </w:rPr>
      </w:pPr>
      <w:bookmarkStart w:id="15" w:name="Chapter03"/>
      <w:bookmarkEnd w:id="15"/>
      <w:r w:rsidRPr="00A241F5">
        <w:rPr>
          <w:rFonts w:cs="Arial"/>
          <w:sz w:val="32"/>
          <w:szCs w:val="32"/>
        </w:rPr>
        <w:lastRenderedPageBreak/>
        <w:t>Chapter 3</w:t>
      </w:r>
    </w:p>
    <w:p w14:paraId="18843B4A" w14:textId="77777777" w:rsidR="001238F2" w:rsidRPr="00A241F5" w:rsidRDefault="001238F2" w:rsidP="001238F2">
      <w:pPr>
        <w:rPr>
          <w:rFonts w:cs="Arial"/>
        </w:rPr>
      </w:pPr>
    </w:p>
    <w:p w14:paraId="2D554368" w14:textId="023E7CA3" w:rsidR="006D2598" w:rsidRPr="00A241F5" w:rsidRDefault="001238F2" w:rsidP="001238F2">
      <w:pPr>
        <w:pStyle w:val="Heading1"/>
        <w:widowControl/>
        <w:tabs>
          <w:tab w:val="clear" w:pos="1418"/>
          <w:tab w:val="left" w:pos="1440"/>
        </w:tabs>
        <w:rPr>
          <w:rFonts w:cs="Arial"/>
          <w:sz w:val="32"/>
          <w:szCs w:val="32"/>
        </w:rPr>
      </w:pPr>
      <w:r w:rsidRPr="00A241F5">
        <w:rPr>
          <w:rFonts w:cs="Arial"/>
          <w:sz w:val="32"/>
          <w:szCs w:val="32"/>
        </w:rPr>
        <w:t>Recoverability of Success Fee premium and</w:t>
      </w:r>
    </w:p>
    <w:p w14:paraId="58CBB445" w14:textId="32403130" w:rsidR="006D2598" w:rsidRPr="00A241F5" w:rsidRDefault="001238F2" w:rsidP="001238F2">
      <w:pPr>
        <w:pStyle w:val="Heading1"/>
        <w:widowControl/>
        <w:tabs>
          <w:tab w:val="clear" w:pos="1418"/>
          <w:tab w:val="left" w:pos="1440"/>
        </w:tabs>
        <w:rPr>
          <w:rFonts w:cs="Arial"/>
          <w:sz w:val="32"/>
          <w:szCs w:val="32"/>
        </w:rPr>
      </w:pPr>
      <w:r w:rsidRPr="00A241F5">
        <w:rPr>
          <w:rFonts w:cs="Arial"/>
          <w:sz w:val="32"/>
          <w:szCs w:val="32"/>
        </w:rPr>
        <w:t>Legal Expense Insurance premium from</w:t>
      </w:r>
    </w:p>
    <w:p w14:paraId="5F0DF0BD" w14:textId="583534FA" w:rsidR="001238F2" w:rsidRPr="00A241F5" w:rsidRDefault="001238F2" w:rsidP="001238F2">
      <w:pPr>
        <w:pStyle w:val="Heading1"/>
        <w:widowControl/>
        <w:tabs>
          <w:tab w:val="clear" w:pos="1418"/>
          <w:tab w:val="left" w:pos="1440"/>
        </w:tabs>
        <w:rPr>
          <w:rFonts w:cs="Arial"/>
          <w:sz w:val="32"/>
          <w:szCs w:val="32"/>
        </w:rPr>
      </w:pPr>
      <w:r w:rsidRPr="00A241F5">
        <w:rPr>
          <w:rFonts w:cs="Arial"/>
          <w:sz w:val="32"/>
          <w:szCs w:val="32"/>
        </w:rPr>
        <w:t xml:space="preserve">the unsuccessful party under CFAs  </w:t>
      </w:r>
    </w:p>
    <w:p w14:paraId="34D970A8" w14:textId="50F2AC0B" w:rsidR="001238F2" w:rsidRPr="00A241F5" w:rsidRDefault="001238F2" w:rsidP="001238F2">
      <w:pPr>
        <w:widowControl/>
        <w:tabs>
          <w:tab w:val="clear" w:pos="1418"/>
          <w:tab w:val="left" w:pos="1440"/>
        </w:tabs>
        <w:rPr>
          <w:rFonts w:cs="Arial"/>
          <w:b/>
          <w:sz w:val="32"/>
          <w:szCs w:val="32"/>
          <w:u w:val="single"/>
        </w:rPr>
      </w:pPr>
      <w:r w:rsidRPr="00A241F5">
        <w:rPr>
          <w:rFonts w:cs="Arial"/>
          <w:b/>
          <w:sz w:val="32"/>
          <w:szCs w:val="32"/>
          <w:lang w:eastAsia="x-none"/>
        </w:rPr>
        <w:t>_______________________</w:t>
      </w:r>
      <w:r w:rsidR="006D2598" w:rsidRPr="00A241F5">
        <w:rPr>
          <w:rFonts w:cs="Arial"/>
          <w:b/>
          <w:sz w:val="32"/>
          <w:szCs w:val="32"/>
        </w:rPr>
        <w:t>________________</w:t>
      </w:r>
    </w:p>
    <w:p w14:paraId="14C3A963" w14:textId="77777777" w:rsidR="001238F2" w:rsidRPr="00A241F5" w:rsidRDefault="001238F2" w:rsidP="001238F2"/>
    <w:p w14:paraId="3145F1F7" w14:textId="77777777" w:rsidR="001238F2" w:rsidRPr="00A241F5" w:rsidRDefault="001238F2" w:rsidP="001238F2"/>
    <w:p w14:paraId="636050A4" w14:textId="77777777" w:rsidR="001238F2" w:rsidRPr="00A241F5" w:rsidRDefault="001238F2" w:rsidP="001238F2"/>
    <w:p w14:paraId="0102A176" w14:textId="376AFAA4" w:rsidR="001238F2" w:rsidRPr="00A241F5" w:rsidRDefault="001238F2" w:rsidP="001238F2">
      <w:pPr>
        <w:pStyle w:val="Heading2"/>
        <w:widowControl/>
        <w:tabs>
          <w:tab w:val="clear" w:pos="1418"/>
          <w:tab w:val="left" w:pos="1440"/>
        </w:tabs>
        <w:rPr>
          <w:rFonts w:cs="Arial"/>
        </w:rPr>
      </w:pPr>
      <w:r w:rsidRPr="00A241F5">
        <w:rPr>
          <w:rFonts w:cs="Arial"/>
        </w:rPr>
        <w:t>Responses to the Sub-committee</w:t>
      </w:r>
      <w:r w:rsidR="00C61F4B" w:rsidRPr="00A241F5">
        <w:rPr>
          <w:rFonts w:cs="Arial"/>
        </w:rPr>
        <w:t>'</w:t>
      </w:r>
      <w:r w:rsidRPr="00A241F5">
        <w:rPr>
          <w:rFonts w:cs="Arial"/>
        </w:rPr>
        <w:t>s Recommendation 2</w:t>
      </w:r>
    </w:p>
    <w:p w14:paraId="5CF8E556" w14:textId="77777777" w:rsidR="001238F2" w:rsidRPr="00A241F5" w:rsidRDefault="001238F2" w:rsidP="001238F2">
      <w:pPr>
        <w:widowControl/>
        <w:tabs>
          <w:tab w:val="clear" w:pos="1418"/>
          <w:tab w:val="left" w:pos="1440"/>
        </w:tabs>
        <w:rPr>
          <w:rFonts w:cs="Arial"/>
        </w:rPr>
      </w:pPr>
    </w:p>
    <w:p w14:paraId="5382FA4B" w14:textId="6FEEEA52" w:rsidR="001238F2" w:rsidRPr="00A241F5" w:rsidRDefault="006D2598" w:rsidP="001238F2">
      <w:pPr>
        <w:widowControl/>
        <w:tabs>
          <w:tab w:val="clear" w:pos="1418"/>
          <w:tab w:val="left" w:pos="1440"/>
        </w:tabs>
        <w:rPr>
          <w:rFonts w:cs="Arial"/>
        </w:rPr>
      </w:pPr>
      <w:r w:rsidRPr="00A241F5">
        <w:rPr>
          <w:rFonts w:cs="Arial"/>
        </w:rPr>
        <w:t>3.</w:t>
      </w:r>
      <w:r w:rsidR="001238F2" w:rsidRPr="00A241F5">
        <w:rPr>
          <w:rFonts w:cs="Arial"/>
        </w:rPr>
        <w:t>1</w:t>
      </w:r>
      <w:r w:rsidR="001238F2" w:rsidRPr="00A241F5">
        <w:rPr>
          <w:rFonts w:cs="Arial"/>
        </w:rPr>
        <w:tab/>
        <w:t>This Chapter discusses the responses regarding Recommendation 2 in the Consultation Paper, namely that:</w:t>
      </w:r>
    </w:p>
    <w:p w14:paraId="62C903AF" w14:textId="77777777" w:rsidR="001238F2" w:rsidRPr="00A241F5" w:rsidRDefault="001238F2" w:rsidP="001238F2">
      <w:pPr>
        <w:widowControl/>
        <w:tabs>
          <w:tab w:val="clear" w:pos="1418"/>
          <w:tab w:val="left" w:pos="1440"/>
        </w:tabs>
        <w:rPr>
          <w:rFonts w:cs="Arial"/>
        </w:rPr>
      </w:pPr>
    </w:p>
    <w:p w14:paraId="549F34C1" w14:textId="6AB789F3" w:rsidR="001238F2" w:rsidRPr="00A241F5" w:rsidRDefault="00C61F4B" w:rsidP="00C22562">
      <w:pPr>
        <w:widowControl/>
        <w:tabs>
          <w:tab w:val="clear" w:pos="1418"/>
          <w:tab w:val="left" w:pos="1440"/>
        </w:tabs>
        <w:ind w:left="720" w:rightChars="271" w:right="650"/>
        <w:rPr>
          <w:rFonts w:cs="Arial"/>
        </w:rPr>
      </w:pPr>
      <w:r w:rsidRPr="00A241F5">
        <w:rPr>
          <w:rFonts w:cs="Arial"/>
          <w:i/>
        </w:rPr>
        <w:t>"</w:t>
      </w:r>
      <w:r w:rsidR="001238F2" w:rsidRPr="00A241F5">
        <w:rPr>
          <w:rFonts w:cs="Arial"/>
          <w:i/>
        </w:rPr>
        <w:t>Where a CFA is in place, the Sub-committee recommends that any Success Fee and ATE Insurance premium agreed by the claimant with its Lawyers and insurers respectively should not be recoverable from the respondent</w:t>
      </w:r>
      <w:r w:rsidR="001238F2" w:rsidRPr="00A241F5">
        <w:rPr>
          <w:rFonts w:cs="Arial"/>
        </w:rPr>
        <w:t>.</w:t>
      </w:r>
      <w:r w:rsidRPr="00A241F5">
        <w:rPr>
          <w:rFonts w:cs="Arial"/>
          <w:i/>
        </w:rPr>
        <w:t>"</w:t>
      </w:r>
      <w:r w:rsidR="001238F2" w:rsidRPr="00A241F5">
        <w:rPr>
          <w:rStyle w:val="FootnoteReference"/>
          <w:rFonts w:cs="Arial"/>
          <w:sz w:val="24"/>
        </w:rPr>
        <w:footnoteReference w:id="23"/>
      </w:r>
      <w:r w:rsidR="001238F2" w:rsidRPr="00A241F5">
        <w:rPr>
          <w:rFonts w:cs="Arial"/>
        </w:rPr>
        <w:t xml:space="preserve"> </w:t>
      </w:r>
    </w:p>
    <w:p w14:paraId="7AB7A454" w14:textId="77777777" w:rsidR="001238F2" w:rsidRPr="00A241F5" w:rsidRDefault="001238F2" w:rsidP="001238F2">
      <w:pPr>
        <w:widowControl/>
        <w:tabs>
          <w:tab w:val="clear" w:pos="1418"/>
          <w:tab w:val="left" w:pos="1440"/>
        </w:tabs>
        <w:rPr>
          <w:rFonts w:cs="Arial"/>
        </w:rPr>
      </w:pPr>
    </w:p>
    <w:p w14:paraId="72283102" w14:textId="32290CA2" w:rsidR="001238F2" w:rsidRPr="00A241F5" w:rsidRDefault="006D2598" w:rsidP="001238F2">
      <w:pPr>
        <w:widowControl/>
        <w:tabs>
          <w:tab w:val="clear" w:pos="1418"/>
          <w:tab w:val="left" w:pos="1440"/>
        </w:tabs>
      </w:pPr>
      <w:r w:rsidRPr="00A241F5">
        <w:rPr>
          <w:rFonts w:cs="Arial"/>
        </w:rPr>
        <w:t>3.</w:t>
      </w:r>
      <w:r w:rsidR="001238F2" w:rsidRPr="00A241F5">
        <w:rPr>
          <w:rFonts w:cs="Arial"/>
        </w:rPr>
        <w:t>2</w:t>
      </w:r>
      <w:r w:rsidR="001238F2" w:rsidRPr="00A241F5">
        <w:rPr>
          <w:rFonts w:cs="Arial"/>
        </w:rPr>
        <w:tab/>
        <w:t xml:space="preserve">Almost all of the submissions that commented on Recommendation 2 supported the recommendation.  Those in favour included </w:t>
      </w:r>
      <w:r w:rsidR="00E4754C" w:rsidRPr="00A241F5">
        <w:rPr>
          <w:rFonts w:cs="Arial"/>
        </w:rPr>
        <w:t xml:space="preserve">an </w:t>
      </w:r>
      <w:r w:rsidR="001238F2" w:rsidRPr="00A241F5">
        <w:t xml:space="preserve">arbitral institution, an arbitrator/barrister, a chamber of commerce, </w:t>
      </w:r>
      <w:r w:rsidR="000A67C5" w:rsidRPr="00A241F5">
        <w:t xml:space="preserve">a </w:t>
      </w:r>
      <w:r w:rsidR="008D11B8" w:rsidRPr="00A241F5">
        <w:t xml:space="preserve">consumer/public interest group, </w:t>
      </w:r>
      <w:r w:rsidR="001238F2" w:rsidRPr="00A241F5">
        <w:rPr>
          <w:rFonts w:cs="Arial"/>
        </w:rPr>
        <w:t xml:space="preserve">a </w:t>
      </w:r>
      <w:r w:rsidR="001238F2" w:rsidRPr="00A241F5">
        <w:t>Government department, law firms and professional bodies.</w:t>
      </w:r>
    </w:p>
    <w:p w14:paraId="0AED1BBB" w14:textId="77777777" w:rsidR="001238F2" w:rsidRPr="00A241F5" w:rsidRDefault="001238F2" w:rsidP="001238F2">
      <w:pPr>
        <w:widowControl/>
        <w:tabs>
          <w:tab w:val="clear" w:pos="1418"/>
          <w:tab w:val="left" w:pos="1440"/>
        </w:tabs>
        <w:rPr>
          <w:rFonts w:cs="Arial"/>
        </w:rPr>
      </w:pPr>
    </w:p>
    <w:p w14:paraId="4B516BFD" w14:textId="77777777" w:rsidR="001238F2" w:rsidRPr="00A241F5" w:rsidRDefault="001238F2" w:rsidP="001238F2">
      <w:pPr>
        <w:widowControl/>
        <w:tabs>
          <w:tab w:val="clear" w:pos="1418"/>
          <w:tab w:val="left" w:pos="1440"/>
        </w:tabs>
        <w:rPr>
          <w:rFonts w:cs="Arial"/>
        </w:rPr>
      </w:pPr>
    </w:p>
    <w:p w14:paraId="0DA89C02" w14:textId="581851DF" w:rsidR="001238F2" w:rsidRPr="00A241F5" w:rsidRDefault="001238F2" w:rsidP="001238F2">
      <w:pPr>
        <w:pStyle w:val="Heading2"/>
        <w:widowControl/>
        <w:tabs>
          <w:tab w:val="clear" w:pos="1418"/>
          <w:tab w:val="left" w:pos="1440"/>
        </w:tabs>
        <w:rPr>
          <w:rFonts w:cs="Arial"/>
          <w:i/>
          <w:sz w:val="24"/>
        </w:rPr>
      </w:pPr>
      <w:r w:rsidRPr="00A241F5">
        <w:rPr>
          <w:rFonts w:cs="Arial"/>
          <w:i/>
          <w:sz w:val="24"/>
        </w:rPr>
        <w:t>Comments from Respondents who supported Recommendation 2</w:t>
      </w:r>
    </w:p>
    <w:p w14:paraId="1875BD10" w14:textId="77777777" w:rsidR="001238F2" w:rsidRPr="00A241F5" w:rsidRDefault="001238F2" w:rsidP="001238F2">
      <w:pPr>
        <w:widowControl/>
        <w:tabs>
          <w:tab w:val="clear" w:pos="1418"/>
          <w:tab w:val="left" w:pos="1440"/>
        </w:tabs>
        <w:rPr>
          <w:rFonts w:cs="Arial"/>
        </w:rPr>
      </w:pPr>
    </w:p>
    <w:p w14:paraId="2A8832E1" w14:textId="32140B25" w:rsidR="001238F2" w:rsidRPr="00A241F5" w:rsidRDefault="006D2598" w:rsidP="001238F2">
      <w:pPr>
        <w:widowControl/>
        <w:tabs>
          <w:tab w:val="clear" w:pos="1418"/>
          <w:tab w:val="left" w:pos="1440"/>
        </w:tabs>
      </w:pPr>
      <w:r w:rsidRPr="00A241F5">
        <w:rPr>
          <w:rFonts w:cs="Arial"/>
        </w:rPr>
        <w:t>3.</w:t>
      </w:r>
      <w:r w:rsidR="001238F2" w:rsidRPr="00A241F5">
        <w:rPr>
          <w:rFonts w:cs="Arial"/>
        </w:rPr>
        <w:t>3</w:t>
      </w:r>
      <w:r w:rsidR="001238F2" w:rsidRPr="00A241F5">
        <w:rPr>
          <w:rFonts w:cs="Arial"/>
        </w:rPr>
        <w:tab/>
        <w:t xml:space="preserve">As noted above, an overwhelming majority of Respondents agreed with Recommendation 2.  Among them, a </w:t>
      </w:r>
      <w:r w:rsidR="001238F2" w:rsidRPr="00A241F5">
        <w:t>Government department noted that:</w:t>
      </w:r>
    </w:p>
    <w:p w14:paraId="46149C7B" w14:textId="77777777" w:rsidR="001238F2" w:rsidRPr="00A241F5" w:rsidRDefault="001238F2" w:rsidP="001238F2">
      <w:pPr>
        <w:widowControl/>
        <w:tabs>
          <w:tab w:val="clear" w:pos="1418"/>
          <w:tab w:val="left" w:pos="1440"/>
        </w:tabs>
      </w:pPr>
    </w:p>
    <w:p w14:paraId="1FC4041C" w14:textId="27240DB6" w:rsidR="001238F2" w:rsidRPr="00A241F5" w:rsidRDefault="00C61F4B" w:rsidP="001238F2">
      <w:pPr>
        <w:widowControl/>
        <w:tabs>
          <w:tab w:val="clear" w:pos="1418"/>
          <w:tab w:val="left" w:pos="1440"/>
        </w:tabs>
        <w:ind w:left="720" w:right="720"/>
      </w:pPr>
      <w:r w:rsidRPr="00A241F5">
        <w:rPr>
          <w:i/>
        </w:rPr>
        <w:t>"</w:t>
      </w:r>
      <w:r w:rsidR="001238F2" w:rsidRPr="00A241F5">
        <w:rPr>
          <w:i/>
        </w:rPr>
        <w:t>The relevant legislative history in England and Wales shows that allowing claimants to recover ATE insurance premium and success fee has resulted in undesirable consequences, namely (i) the rise in satellite litigation (in which the enforceability of CFA and the quantum of recoverable costs are challenged) and (ii) the inequity between the claimant who commences the proceeding costs-free and risk-free and the losing respondent who is held responsible for those costs of the CFA to which he is not a party.  Statutory reforms had already been implemented in England and Wales so that ATE insurance premium and success fee are no longer recoverable from the losing respondent</w:t>
      </w:r>
      <w:r w:rsidR="00923002" w:rsidRPr="00A241F5">
        <w:t>.</w:t>
      </w:r>
      <w:r w:rsidRPr="00A241F5">
        <w:rPr>
          <w:i/>
        </w:rPr>
        <w:t>"</w:t>
      </w:r>
    </w:p>
    <w:p w14:paraId="3DDE6F74" w14:textId="77777777" w:rsidR="001238F2" w:rsidRPr="00A241F5" w:rsidRDefault="001238F2" w:rsidP="001238F2">
      <w:pPr>
        <w:widowControl/>
        <w:tabs>
          <w:tab w:val="clear" w:pos="1418"/>
          <w:tab w:val="left" w:pos="1440"/>
        </w:tabs>
      </w:pPr>
    </w:p>
    <w:p w14:paraId="19668158" w14:textId="1FB44551" w:rsidR="001238F2" w:rsidRPr="00A241F5" w:rsidRDefault="006D2598" w:rsidP="001238F2">
      <w:pPr>
        <w:widowControl/>
        <w:tabs>
          <w:tab w:val="clear" w:pos="1418"/>
          <w:tab w:val="left" w:pos="1440"/>
        </w:tabs>
      </w:pPr>
      <w:r w:rsidRPr="00A241F5">
        <w:t>3.</w:t>
      </w:r>
      <w:r w:rsidR="001238F2" w:rsidRPr="00A241F5">
        <w:t>4</w:t>
      </w:r>
      <w:r w:rsidR="001238F2" w:rsidRPr="00A241F5">
        <w:tab/>
        <w:t xml:space="preserve">An arbitral institution commented: </w:t>
      </w:r>
      <w:r w:rsidR="00C61F4B" w:rsidRPr="00A241F5">
        <w:rPr>
          <w:i/>
        </w:rPr>
        <w:t>"</w:t>
      </w:r>
      <w:r w:rsidR="001238F2" w:rsidRPr="00A241F5">
        <w:rPr>
          <w:i/>
        </w:rPr>
        <w:t xml:space="preserve">Any success fee or ATE insurance premiums agreed between a party and its lawyers or insurers for the </w:t>
      </w:r>
      <w:r w:rsidR="001238F2" w:rsidRPr="00A241F5">
        <w:rPr>
          <w:i/>
        </w:rPr>
        <w:lastRenderedPageBreak/>
        <w:t>purposes of an ORFS arrangement should not be recoverable from the counterparty.</w:t>
      </w:r>
      <w:r w:rsidR="00C61F4B" w:rsidRPr="00A241F5">
        <w:rPr>
          <w:i/>
        </w:rPr>
        <w:t>"</w:t>
      </w:r>
    </w:p>
    <w:p w14:paraId="0C7CDC65" w14:textId="77777777" w:rsidR="001238F2" w:rsidRPr="00A241F5" w:rsidRDefault="001238F2" w:rsidP="001238F2">
      <w:pPr>
        <w:widowControl/>
        <w:tabs>
          <w:tab w:val="clear" w:pos="1418"/>
          <w:tab w:val="left" w:pos="1440"/>
        </w:tabs>
      </w:pPr>
    </w:p>
    <w:p w14:paraId="2D1FD6D9" w14:textId="4F57A0B9" w:rsidR="001238F2" w:rsidRPr="00A241F5" w:rsidRDefault="006D2598" w:rsidP="001238F2">
      <w:pPr>
        <w:widowControl/>
        <w:tabs>
          <w:tab w:val="clear" w:pos="1418"/>
          <w:tab w:val="left" w:pos="1440"/>
        </w:tabs>
      </w:pPr>
      <w:r w:rsidRPr="00A241F5">
        <w:t>3.5</w:t>
      </w:r>
      <w:r w:rsidR="001238F2" w:rsidRPr="00A241F5">
        <w:tab/>
        <w:t xml:space="preserve">A chamber of commerce also agreed, noting that Recommendation 2 would not only </w:t>
      </w:r>
      <w:r w:rsidR="00C61F4B" w:rsidRPr="00A241F5">
        <w:rPr>
          <w:i/>
        </w:rPr>
        <w:t>"</w:t>
      </w:r>
      <w:r w:rsidR="001238F2" w:rsidRPr="00A241F5">
        <w:rPr>
          <w:i/>
        </w:rPr>
        <w:t xml:space="preserve">avoid the possibility of additional </w:t>
      </w:r>
      <w:r w:rsidR="00C61F4B" w:rsidRPr="00A241F5">
        <w:rPr>
          <w:i/>
        </w:rPr>
        <w:t>'</w:t>
      </w:r>
      <w:r w:rsidR="001238F2" w:rsidRPr="00A241F5">
        <w:rPr>
          <w:i/>
        </w:rPr>
        <w:t>satellite</w:t>
      </w:r>
      <w:r w:rsidR="00C61F4B" w:rsidRPr="00A241F5">
        <w:rPr>
          <w:i/>
        </w:rPr>
        <w:t>'</w:t>
      </w:r>
      <w:r w:rsidR="001238F2" w:rsidRPr="00A241F5">
        <w:rPr>
          <w:i/>
        </w:rPr>
        <w:t xml:space="preserve"> litigation</w:t>
      </w:r>
      <w:r w:rsidR="00C61F4B" w:rsidRPr="00A241F5">
        <w:rPr>
          <w:i/>
        </w:rPr>
        <w:t>"</w:t>
      </w:r>
      <w:r w:rsidR="001238F2" w:rsidRPr="00A241F5">
        <w:t xml:space="preserve"> but it would also be </w:t>
      </w:r>
      <w:r w:rsidR="00C61F4B" w:rsidRPr="00A241F5">
        <w:rPr>
          <w:i/>
        </w:rPr>
        <w:t>"</w:t>
      </w:r>
      <w:r w:rsidR="001238F2" w:rsidRPr="00A241F5">
        <w:rPr>
          <w:i/>
        </w:rPr>
        <w:t xml:space="preserve">unfair for the losing party to be liable for these costs: the amount of the Success Fee and ATE premium should be a matter purely between the claimant and </w:t>
      </w:r>
      <w:r w:rsidR="008D11B8" w:rsidRPr="00A241F5">
        <w:rPr>
          <w:i/>
        </w:rPr>
        <w:t xml:space="preserve">its </w:t>
      </w:r>
      <w:r w:rsidR="001238F2" w:rsidRPr="00A241F5">
        <w:rPr>
          <w:i/>
        </w:rPr>
        <w:t>lawyers</w:t>
      </w:r>
      <w:r w:rsidR="00C61F4B" w:rsidRPr="00A241F5">
        <w:rPr>
          <w:i/>
        </w:rPr>
        <w:t>"</w:t>
      </w:r>
      <w:r w:rsidR="00923002" w:rsidRPr="00A241F5">
        <w:rPr>
          <w:i/>
        </w:rPr>
        <w:t>.</w:t>
      </w:r>
    </w:p>
    <w:p w14:paraId="3982199A" w14:textId="77777777" w:rsidR="001238F2" w:rsidRPr="00A241F5" w:rsidRDefault="001238F2" w:rsidP="001238F2">
      <w:pPr>
        <w:widowControl/>
        <w:tabs>
          <w:tab w:val="clear" w:pos="1418"/>
          <w:tab w:val="left" w:pos="1440"/>
        </w:tabs>
      </w:pPr>
    </w:p>
    <w:p w14:paraId="27E92A23" w14:textId="2D6B1B67" w:rsidR="00BA4102" w:rsidRPr="00A241F5" w:rsidRDefault="006D2598" w:rsidP="001238F2">
      <w:pPr>
        <w:widowControl/>
        <w:tabs>
          <w:tab w:val="clear" w:pos="1418"/>
          <w:tab w:val="left" w:pos="1440"/>
        </w:tabs>
      </w:pPr>
      <w:r w:rsidRPr="00A241F5">
        <w:t>3.6</w:t>
      </w:r>
      <w:r w:rsidR="001238F2" w:rsidRPr="00A241F5">
        <w:t xml:space="preserve"> </w:t>
      </w:r>
      <w:r w:rsidR="001238F2" w:rsidRPr="00A241F5">
        <w:tab/>
        <w:t xml:space="preserve">Another law firm agreed in principle, but expressed the view that only the portion of Success Fee which </w:t>
      </w:r>
      <w:r w:rsidR="001238F2" w:rsidRPr="00A241F5">
        <w:rPr>
          <w:i/>
        </w:rPr>
        <w:t>exceeds</w:t>
      </w:r>
      <w:r w:rsidR="001238F2" w:rsidRPr="00A241F5">
        <w:t xml:space="preserve"> the costs recoverable from the losing party should not be recoverable.  As the law firm put it: </w:t>
      </w:r>
    </w:p>
    <w:p w14:paraId="72C87F8A" w14:textId="77777777" w:rsidR="00BA4102" w:rsidRPr="00A241F5" w:rsidRDefault="00BA4102" w:rsidP="001238F2">
      <w:pPr>
        <w:widowControl/>
        <w:tabs>
          <w:tab w:val="clear" w:pos="1418"/>
          <w:tab w:val="left" w:pos="1440"/>
        </w:tabs>
      </w:pPr>
    </w:p>
    <w:p w14:paraId="4F1CE975" w14:textId="3EBBACF1" w:rsidR="001238F2" w:rsidRPr="00A241F5" w:rsidRDefault="00C61F4B" w:rsidP="00BA4102">
      <w:pPr>
        <w:pStyle w:val="BlockText"/>
      </w:pPr>
      <w:r w:rsidRPr="00A241F5">
        <w:t>"</w:t>
      </w:r>
      <w:r w:rsidR="001238F2" w:rsidRPr="00A241F5">
        <w:t xml:space="preserve">The justification for this approach is that it does not create a situation whereby either the claimant has a disadvantage or the respondent has a windfall in a hybrid CFA situation.  In all circumstances, the respondent will be liable to pay costs under the usual costs indemnity rules, irrespective of whether any part of this formed an element of the </w:t>
      </w:r>
      <w:r w:rsidRPr="00A241F5">
        <w:t>'</w:t>
      </w:r>
      <w:r w:rsidR="001238F2" w:rsidRPr="00A241F5">
        <w:t>Success Fee</w:t>
      </w:r>
      <w:r w:rsidRPr="00A241F5">
        <w:t>'</w:t>
      </w:r>
      <w:r w:rsidR="004F7CF1" w:rsidRPr="00A241F5">
        <w:t>.</w:t>
      </w:r>
      <w:r w:rsidRPr="00A241F5">
        <w:t>"</w:t>
      </w:r>
    </w:p>
    <w:p w14:paraId="23351668" w14:textId="77777777" w:rsidR="001238F2" w:rsidRPr="00A241F5" w:rsidRDefault="001238F2" w:rsidP="001238F2">
      <w:pPr>
        <w:widowControl/>
        <w:tabs>
          <w:tab w:val="clear" w:pos="1418"/>
          <w:tab w:val="left" w:pos="1440"/>
        </w:tabs>
      </w:pPr>
    </w:p>
    <w:p w14:paraId="46A952A5" w14:textId="3C6D8784" w:rsidR="001238F2" w:rsidRPr="00A241F5" w:rsidRDefault="006D2598" w:rsidP="001238F2">
      <w:pPr>
        <w:widowControl/>
        <w:tabs>
          <w:tab w:val="clear" w:pos="1418"/>
          <w:tab w:val="left" w:pos="1440"/>
        </w:tabs>
      </w:pPr>
      <w:r w:rsidRPr="00A241F5">
        <w:t>3.7</w:t>
      </w:r>
      <w:r w:rsidR="001238F2" w:rsidRPr="00A241F5">
        <w:tab/>
        <w:t xml:space="preserve">A second law firm also agreed with Recommendation 2, but noted that this </w:t>
      </w:r>
      <w:r w:rsidR="00C61F4B" w:rsidRPr="00A241F5">
        <w:rPr>
          <w:i/>
        </w:rPr>
        <w:t>"</w:t>
      </w:r>
      <w:r w:rsidR="001238F2" w:rsidRPr="00A241F5">
        <w:rPr>
          <w:i/>
        </w:rPr>
        <w:t xml:space="preserve">potentially gives rise to a divergence between the position under a CFA in relation </w:t>
      </w:r>
      <w:r w:rsidR="001238F2" w:rsidRPr="00A241F5">
        <w:t>[</w:t>
      </w:r>
      <w:r w:rsidR="001238F2" w:rsidRPr="00A241F5">
        <w:rPr>
          <w:i/>
        </w:rPr>
        <w:t>sic</w:t>
      </w:r>
      <w:r w:rsidR="001238F2" w:rsidRPr="00A241F5">
        <w:t xml:space="preserve">] </w:t>
      </w:r>
      <w:r w:rsidR="001238F2" w:rsidRPr="00A241F5">
        <w:rPr>
          <w:i/>
        </w:rPr>
        <w:t xml:space="preserve">a Success Fee and the position in the context of third party funding, where a premium (economically equivalent to a Success Fee) may be recoverable: see, e.g. </w:t>
      </w:r>
      <w:r w:rsidR="001238F2" w:rsidRPr="00A241F5">
        <w:rPr>
          <w:i/>
          <w:u w:val="single"/>
        </w:rPr>
        <w:t>Essar v Norscot</w:t>
      </w:r>
      <w:r w:rsidR="001238F2" w:rsidRPr="00A241F5">
        <w:rPr>
          <w:i/>
        </w:rPr>
        <w:t xml:space="preserve"> [2016] EWHC 2361.  Does this give rise to a potentially unfair playing field between Lawyers and third party funders?</w:t>
      </w:r>
      <w:r w:rsidR="00D55D60" w:rsidRPr="00A241F5">
        <w:rPr>
          <w:i/>
        </w:rPr>
        <w:t> </w:t>
      </w:r>
      <w:r w:rsidR="001238F2" w:rsidRPr="00A241F5">
        <w:rPr>
          <w:i/>
        </w:rPr>
        <w:t xml:space="preserve"> Might this potential lacuna incentivise fee structures intended to circumvent this prohibition, e.g. funder financed no win, low fee arrangement</w:t>
      </w:r>
      <w:r w:rsidR="001238F2" w:rsidRPr="00A241F5">
        <w:t>.</w:t>
      </w:r>
      <w:r w:rsidR="00C61F4B" w:rsidRPr="00A241F5">
        <w:rPr>
          <w:i/>
        </w:rPr>
        <w:t>"</w:t>
      </w:r>
    </w:p>
    <w:p w14:paraId="68D46CFD" w14:textId="77777777" w:rsidR="001238F2" w:rsidRPr="00A241F5" w:rsidRDefault="001238F2" w:rsidP="001238F2">
      <w:pPr>
        <w:widowControl/>
        <w:tabs>
          <w:tab w:val="clear" w:pos="1418"/>
          <w:tab w:val="left" w:pos="1440"/>
        </w:tabs>
      </w:pPr>
    </w:p>
    <w:p w14:paraId="38661913" w14:textId="723ED59C" w:rsidR="001238F2" w:rsidRPr="00A241F5" w:rsidRDefault="006D2598" w:rsidP="001238F2">
      <w:pPr>
        <w:widowControl/>
        <w:tabs>
          <w:tab w:val="clear" w:pos="1418"/>
          <w:tab w:val="left" w:pos="1440"/>
        </w:tabs>
      </w:pPr>
      <w:r w:rsidRPr="00A241F5">
        <w:t>3.8</w:t>
      </w:r>
      <w:r w:rsidR="001238F2" w:rsidRPr="00A241F5">
        <w:tab/>
        <w:t xml:space="preserve">Other Respondents, including an arbitrator/barrister and a professional body, were aligned, and confirmed their view that clients should be able to choose to enter into CFAs for Arbitration with their lawyers, </w:t>
      </w:r>
      <w:r w:rsidR="00C61F4B" w:rsidRPr="00A241F5">
        <w:rPr>
          <w:i/>
        </w:rPr>
        <w:t>"</w:t>
      </w:r>
      <w:r w:rsidR="001238F2" w:rsidRPr="00A241F5">
        <w:rPr>
          <w:i/>
        </w:rPr>
        <w:t xml:space="preserve">subject to </w:t>
      </w:r>
      <w:r w:rsidR="001238F2" w:rsidRPr="00A241F5">
        <w:rPr>
          <w:i/>
          <w:u w:val="single"/>
        </w:rPr>
        <w:t>Recommendation 2</w:t>
      </w:r>
      <w:r w:rsidR="001238F2" w:rsidRPr="00A241F5">
        <w:rPr>
          <w:i/>
        </w:rPr>
        <w:t xml:space="preserve"> that ATE insurance premiums and success fees should not be recoverable from the </w:t>
      </w:r>
      <w:r w:rsidR="0065400A" w:rsidRPr="00A241F5">
        <w:rPr>
          <w:i/>
        </w:rPr>
        <w:t xml:space="preserve">unsuccessful </w:t>
      </w:r>
      <w:r w:rsidR="001238F2" w:rsidRPr="00A241F5">
        <w:rPr>
          <w:i/>
        </w:rPr>
        <w:t>party</w:t>
      </w:r>
      <w:r w:rsidR="00923002" w:rsidRPr="00A241F5">
        <w:t>.</w:t>
      </w:r>
      <w:r w:rsidR="00C61F4B" w:rsidRPr="00A241F5">
        <w:rPr>
          <w:i/>
        </w:rPr>
        <w:t>"</w:t>
      </w:r>
      <w:r w:rsidR="001238F2" w:rsidRPr="00A241F5">
        <w:t xml:space="preserve"> </w:t>
      </w:r>
      <w:r w:rsidR="001238F2" w:rsidRPr="00A241F5">
        <w:rPr>
          <w:i/>
        </w:rPr>
        <w:t xml:space="preserve">  </w:t>
      </w:r>
      <w:r w:rsidR="001238F2" w:rsidRPr="00A241F5">
        <w:t xml:space="preserve"> </w:t>
      </w:r>
      <w:r w:rsidR="001238F2" w:rsidRPr="00A241F5">
        <w:rPr>
          <w:i/>
        </w:rPr>
        <w:t xml:space="preserve">  </w:t>
      </w:r>
      <w:r w:rsidR="001238F2" w:rsidRPr="00A241F5">
        <w:t xml:space="preserve"> </w:t>
      </w:r>
      <w:r w:rsidR="001238F2" w:rsidRPr="00A241F5">
        <w:rPr>
          <w:i/>
        </w:rPr>
        <w:t xml:space="preserve"> </w:t>
      </w:r>
      <w:r w:rsidR="001238F2" w:rsidRPr="00A241F5">
        <w:t xml:space="preserve">  </w:t>
      </w:r>
    </w:p>
    <w:p w14:paraId="3FDCCEB6" w14:textId="77777777" w:rsidR="001238F2" w:rsidRPr="00A241F5" w:rsidRDefault="001238F2" w:rsidP="001238F2">
      <w:pPr>
        <w:widowControl/>
        <w:tabs>
          <w:tab w:val="clear" w:pos="1418"/>
          <w:tab w:val="left" w:pos="1440"/>
        </w:tabs>
      </w:pPr>
    </w:p>
    <w:p w14:paraId="14F2E9AC" w14:textId="77777777" w:rsidR="001238F2" w:rsidRPr="00A241F5" w:rsidRDefault="001238F2" w:rsidP="001238F2">
      <w:pPr>
        <w:widowControl/>
        <w:tabs>
          <w:tab w:val="clear" w:pos="1418"/>
          <w:tab w:val="left" w:pos="1440"/>
        </w:tabs>
      </w:pPr>
    </w:p>
    <w:p w14:paraId="45FB1EE3" w14:textId="611FAA20" w:rsidR="001238F2" w:rsidRPr="00A241F5" w:rsidRDefault="001238F2" w:rsidP="001238F2">
      <w:pPr>
        <w:pStyle w:val="Heading2"/>
        <w:keepLines/>
        <w:widowControl/>
        <w:tabs>
          <w:tab w:val="clear" w:pos="1418"/>
          <w:tab w:val="left" w:pos="1440"/>
        </w:tabs>
        <w:rPr>
          <w:rFonts w:cs="Arial"/>
          <w:i/>
          <w:sz w:val="24"/>
        </w:rPr>
      </w:pPr>
      <w:r w:rsidRPr="00A241F5">
        <w:rPr>
          <w:rFonts w:cs="Arial"/>
          <w:i/>
          <w:sz w:val="24"/>
        </w:rPr>
        <w:t>Comments from the Respondent who opposed Recommendation 2</w:t>
      </w:r>
    </w:p>
    <w:p w14:paraId="4DDCB52B" w14:textId="77777777" w:rsidR="001238F2" w:rsidRPr="00A241F5" w:rsidRDefault="001238F2" w:rsidP="001238F2">
      <w:pPr>
        <w:keepNext/>
        <w:keepLines/>
        <w:widowControl/>
        <w:tabs>
          <w:tab w:val="clear" w:pos="1418"/>
          <w:tab w:val="left" w:pos="1440"/>
        </w:tabs>
        <w:rPr>
          <w:rFonts w:cs="Arial"/>
        </w:rPr>
      </w:pPr>
    </w:p>
    <w:p w14:paraId="361A9416" w14:textId="3710D65D" w:rsidR="007C1549" w:rsidRPr="00A241F5" w:rsidRDefault="006D2598" w:rsidP="001238F2">
      <w:pPr>
        <w:widowControl/>
        <w:tabs>
          <w:tab w:val="clear" w:pos="1418"/>
          <w:tab w:val="left" w:pos="1440"/>
        </w:tabs>
        <w:rPr>
          <w:rFonts w:cs="Arial"/>
        </w:rPr>
      </w:pPr>
      <w:r w:rsidRPr="00A241F5">
        <w:rPr>
          <w:rFonts w:cs="Arial"/>
        </w:rPr>
        <w:t>3.9</w:t>
      </w:r>
      <w:r w:rsidR="001238F2" w:rsidRPr="00A241F5">
        <w:rPr>
          <w:rFonts w:cs="Arial"/>
        </w:rPr>
        <w:tab/>
        <w:t xml:space="preserve">Amongst the responses received, only one – a litigation funder - directly opposed Recommendation 2.  Referring again to </w:t>
      </w:r>
      <w:r w:rsidR="001238F2" w:rsidRPr="00A241F5">
        <w:rPr>
          <w:rFonts w:cs="Arial"/>
          <w:i/>
        </w:rPr>
        <w:t>Essar v Norscot</w:t>
      </w:r>
      <w:r w:rsidR="00D55D60" w:rsidRPr="00A241F5">
        <w:rPr>
          <w:rFonts w:cs="Arial"/>
          <w:i/>
        </w:rPr>
        <w:t>,</w:t>
      </w:r>
      <w:r w:rsidR="001238F2" w:rsidRPr="00A241F5">
        <w:rPr>
          <w:rStyle w:val="FootnoteReference"/>
          <w:rFonts w:cs="Arial"/>
          <w:sz w:val="24"/>
        </w:rPr>
        <w:footnoteReference w:id="24"/>
      </w:r>
      <w:r w:rsidR="001238F2" w:rsidRPr="00A241F5">
        <w:rPr>
          <w:rFonts w:cs="Arial"/>
        </w:rPr>
        <w:t xml:space="preserve"> this Respondent</w:t>
      </w:r>
      <w:r w:rsidR="00C61F4B" w:rsidRPr="00A241F5">
        <w:rPr>
          <w:rFonts w:cs="Arial"/>
        </w:rPr>
        <w:t>'</w:t>
      </w:r>
      <w:r w:rsidR="001238F2" w:rsidRPr="00A241F5">
        <w:rPr>
          <w:rFonts w:cs="Arial"/>
        </w:rPr>
        <w:t>s view is that there should be</w:t>
      </w:r>
      <w:r w:rsidR="007C1549" w:rsidRPr="00A241F5">
        <w:rPr>
          <w:rFonts w:cs="Arial"/>
        </w:rPr>
        <w:t>:</w:t>
      </w:r>
      <w:r w:rsidR="001238F2" w:rsidRPr="00A241F5">
        <w:rPr>
          <w:rFonts w:cs="Arial"/>
        </w:rPr>
        <w:t xml:space="preserve"> </w:t>
      </w:r>
    </w:p>
    <w:p w14:paraId="1FDB0D7E" w14:textId="77777777" w:rsidR="007C1549" w:rsidRPr="00A241F5" w:rsidRDefault="007C1549" w:rsidP="001238F2">
      <w:pPr>
        <w:widowControl/>
        <w:tabs>
          <w:tab w:val="clear" w:pos="1418"/>
          <w:tab w:val="left" w:pos="1440"/>
        </w:tabs>
        <w:rPr>
          <w:rFonts w:cs="Arial"/>
        </w:rPr>
      </w:pPr>
    </w:p>
    <w:p w14:paraId="11E85EC0" w14:textId="77777777" w:rsidR="00B676FA" w:rsidRPr="00A241F5" w:rsidRDefault="00C61F4B" w:rsidP="008B04F6">
      <w:pPr>
        <w:pStyle w:val="BlockText"/>
      </w:pPr>
      <w:r w:rsidRPr="00A241F5">
        <w:t>"</w:t>
      </w:r>
      <w:r w:rsidR="004C69F7" w:rsidRPr="00A241F5">
        <w:t xml:space="preserve">… </w:t>
      </w:r>
      <w:r w:rsidR="001238F2" w:rsidRPr="00A241F5">
        <w:t xml:space="preserve">no express prohibition on the recovery from the respondent of any Success Fee and ATE insurance premium.  The awarding of legal </w:t>
      </w:r>
      <w:r w:rsidRPr="00A241F5">
        <w:t>'</w:t>
      </w:r>
      <w:r w:rsidR="001238F2" w:rsidRPr="00A241F5">
        <w:t>and other costs</w:t>
      </w:r>
      <w:r w:rsidRPr="00A241F5">
        <w:t>'</w:t>
      </w:r>
      <w:r w:rsidR="001238F2" w:rsidRPr="00A241F5">
        <w:t xml:space="preserve"> in an arbitration should continue to be at the discretion of the arbitral tribunal in line with international best practice.  Under section 74(7) of the Arbitration Ordinance, the tribunal must only allow costs </w:t>
      </w:r>
      <w:r w:rsidRPr="00A241F5">
        <w:t>'</w:t>
      </w:r>
      <w:r w:rsidR="001238F2" w:rsidRPr="00A241F5">
        <w:t xml:space="preserve">that are reasonable having regard </w:t>
      </w:r>
      <w:r w:rsidR="001238F2" w:rsidRPr="00A241F5">
        <w:lastRenderedPageBreak/>
        <w:t>to all the circumstances.</w:t>
      </w:r>
      <w:r w:rsidRPr="00A241F5">
        <w:t>'</w:t>
      </w:r>
      <w:r w:rsidR="001238F2" w:rsidRPr="00A241F5">
        <w:t xml:space="preserve">  In the case of a CFA, this may, depending on the circumstances of the case, include any Success Fee and/or ATE insurance premium.  </w:t>
      </w:r>
    </w:p>
    <w:p w14:paraId="21443638" w14:textId="77777777" w:rsidR="00B676FA" w:rsidRPr="00A241F5" w:rsidRDefault="00B676FA" w:rsidP="008B04F6">
      <w:pPr>
        <w:pStyle w:val="BlockText"/>
      </w:pPr>
    </w:p>
    <w:p w14:paraId="271F1022" w14:textId="09DAC0AB" w:rsidR="001238F2" w:rsidRPr="00A241F5" w:rsidRDefault="001238F2" w:rsidP="008B04F6">
      <w:pPr>
        <w:pStyle w:val="BlockText"/>
        <w:rPr>
          <w:lang w:val="en-HK"/>
        </w:rPr>
      </w:pPr>
      <w:r w:rsidRPr="00A241F5">
        <w:t>Consistent with the core arbitral principles of flexibility and party-autonomy, the tribunal should retai</w:t>
      </w:r>
      <w:r w:rsidR="00DB4594" w:rsidRPr="00A241F5">
        <w:t xml:space="preserve">n </w:t>
      </w:r>
      <w:r w:rsidRPr="00A241F5">
        <w:t>flexibility to do justice in the case as it sees fit, subject to any overarching agreement otherwise between the parties</w:t>
      </w:r>
      <w:r w:rsidR="00923002" w:rsidRPr="00A241F5">
        <w:t>.</w:t>
      </w:r>
      <w:r w:rsidR="00C61F4B" w:rsidRPr="00A241F5">
        <w:t>"</w:t>
      </w:r>
      <w:r w:rsidRPr="00A241F5">
        <w:t xml:space="preserve">  </w:t>
      </w:r>
    </w:p>
    <w:p w14:paraId="6DBAB633" w14:textId="77777777" w:rsidR="001238F2" w:rsidRPr="00A241F5" w:rsidRDefault="001238F2" w:rsidP="001238F2">
      <w:pPr>
        <w:widowControl/>
        <w:tabs>
          <w:tab w:val="clear" w:pos="1418"/>
          <w:tab w:val="left" w:pos="1440"/>
        </w:tabs>
        <w:rPr>
          <w:rFonts w:cs="Arial"/>
          <w:lang w:val="en-HK"/>
        </w:rPr>
      </w:pPr>
    </w:p>
    <w:p w14:paraId="2EECB82B" w14:textId="77777777" w:rsidR="001238F2" w:rsidRPr="00A241F5" w:rsidRDefault="001238F2" w:rsidP="001238F2">
      <w:pPr>
        <w:widowControl/>
        <w:tabs>
          <w:tab w:val="clear" w:pos="1418"/>
          <w:tab w:val="left" w:pos="1440"/>
        </w:tabs>
        <w:rPr>
          <w:rFonts w:cs="Arial"/>
          <w:lang w:val="en-HK"/>
        </w:rPr>
      </w:pPr>
    </w:p>
    <w:p w14:paraId="4A6203FD" w14:textId="77777777" w:rsidR="001238F2" w:rsidRPr="00A241F5" w:rsidRDefault="001238F2" w:rsidP="001238F2">
      <w:pPr>
        <w:pStyle w:val="Heading2"/>
        <w:keepLines/>
        <w:widowControl/>
        <w:tabs>
          <w:tab w:val="clear" w:pos="1418"/>
          <w:tab w:val="left" w:pos="1440"/>
        </w:tabs>
        <w:rPr>
          <w:rFonts w:cs="Arial"/>
        </w:rPr>
      </w:pPr>
      <w:r w:rsidRPr="00A241F5">
        <w:rPr>
          <w:rFonts w:cs="Arial"/>
        </w:rPr>
        <w:t>Our analysis and response</w:t>
      </w:r>
    </w:p>
    <w:p w14:paraId="2D3FEDDB" w14:textId="77777777" w:rsidR="001238F2" w:rsidRPr="00A241F5" w:rsidRDefault="001238F2" w:rsidP="001238F2">
      <w:pPr>
        <w:keepNext/>
        <w:keepLines/>
        <w:widowControl/>
        <w:tabs>
          <w:tab w:val="clear" w:pos="1418"/>
          <w:tab w:val="left" w:pos="1440"/>
        </w:tabs>
        <w:rPr>
          <w:rFonts w:cs="Arial"/>
        </w:rPr>
      </w:pPr>
    </w:p>
    <w:p w14:paraId="0894C873" w14:textId="1CDA0E9C" w:rsidR="001238F2" w:rsidRPr="00A241F5" w:rsidRDefault="006D2598" w:rsidP="001238F2">
      <w:pPr>
        <w:widowControl/>
        <w:tabs>
          <w:tab w:val="clear" w:pos="1418"/>
          <w:tab w:val="left" w:pos="1440"/>
        </w:tabs>
        <w:rPr>
          <w:rFonts w:cs="Arial"/>
        </w:rPr>
      </w:pPr>
      <w:r w:rsidRPr="00A241F5">
        <w:rPr>
          <w:rFonts w:cs="Arial"/>
        </w:rPr>
        <w:t>3.10</w:t>
      </w:r>
      <w:r w:rsidR="001238F2" w:rsidRPr="00A241F5">
        <w:rPr>
          <w:rFonts w:cs="Arial"/>
        </w:rPr>
        <w:tab/>
        <w:t>The overwhelming majority of Respondents who commented specifically on Recommendation 2 agree</w:t>
      </w:r>
      <w:r w:rsidR="00027865" w:rsidRPr="00A241F5">
        <w:rPr>
          <w:rFonts w:cs="Arial"/>
        </w:rPr>
        <w:t>d</w:t>
      </w:r>
      <w:r w:rsidR="001238F2" w:rsidRPr="00A241F5">
        <w:rPr>
          <w:rFonts w:cs="Arial"/>
        </w:rPr>
        <w:t xml:space="preserve"> with the Sub-committee</w:t>
      </w:r>
      <w:r w:rsidR="00C61F4B" w:rsidRPr="00A241F5">
        <w:rPr>
          <w:rFonts w:cs="Arial"/>
        </w:rPr>
        <w:t>'</w:t>
      </w:r>
      <w:r w:rsidR="001238F2" w:rsidRPr="00A241F5">
        <w:rPr>
          <w:rFonts w:cs="Arial"/>
        </w:rPr>
        <w:t xml:space="preserve">s view that the losing party should not be responsible for any Success Fee or ATE Insurance premium agreed by a client with its Lawyers or insurers. </w:t>
      </w:r>
    </w:p>
    <w:p w14:paraId="4EDA87BE" w14:textId="77777777" w:rsidR="001238F2" w:rsidRPr="00A241F5" w:rsidRDefault="001238F2" w:rsidP="001238F2">
      <w:pPr>
        <w:widowControl/>
        <w:tabs>
          <w:tab w:val="clear" w:pos="1418"/>
          <w:tab w:val="left" w:pos="1440"/>
        </w:tabs>
        <w:rPr>
          <w:rFonts w:cs="Arial"/>
        </w:rPr>
      </w:pPr>
    </w:p>
    <w:p w14:paraId="3096650F" w14:textId="547C0617" w:rsidR="001238F2" w:rsidRPr="00A241F5" w:rsidRDefault="006D2598" w:rsidP="001238F2">
      <w:pPr>
        <w:widowControl/>
        <w:tabs>
          <w:tab w:val="clear" w:pos="1418"/>
          <w:tab w:val="left" w:pos="1440"/>
        </w:tabs>
        <w:rPr>
          <w:rFonts w:cs="Arial"/>
        </w:rPr>
      </w:pPr>
      <w:r w:rsidRPr="00A241F5">
        <w:rPr>
          <w:rFonts w:cs="Arial"/>
        </w:rPr>
        <w:t>3.11</w:t>
      </w:r>
      <w:r w:rsidR="001238F2" w:rsidRPr="00A241F5">
        <w:rPr>
          <w:rFonts w:cs="Arial"/>
        </w:rPr>
        <w:tab/>
        <w:t xml:space="preserve">The most common view expressed by Respondents is that the ability of a successful claimant to recover any ATE Insurance premium or Success Fee from the losing </w:t>
      </w:r>
      <w:r w:rsidR="00614E5B" w:rsidRPr="00A241F5">
        <w:rPr>
          <w:rFonts w:cs="Arial"/>
        </w:rPr>
        <w:t xml:space="preserve">opponent </w:t>
      </w:r>
      <w:r w:rsidR="001238F2" w:rsidRPr="00A241F5">
        <w:rPr>
          <w:rFonts w:cs="Arial"/>
        </w:rPr>
        <w:t xml:space="preserve">might lead to </w:t>
      </w:r>
      <w:r w:rsidR="00C61F4B" w:rsidRPr="00A241F5">
        <w:rPr>
          <w:rFonts w:cs="Arial"/>
          <w:i/>
        </w:rPr>
        <w:t>"</w:t>
      </w:r>
      <w:r w:rsidR="001238F2" w:rsidRPr="00A241F5">
        <w:rPr>
          <w:rFonts w:cs="Arial"/>
          <w:i/>
        </w:rPr>
        <w:t>an explosion of litigation</w:t>
      </w:r>
      <w:r w:rsidR="00C61F4B" w:rsidRPr="00A241F5">
        <w:rPr>
          <w:rFonts w:cs="Arial"/>
          <w:i/>
        </w:rPr>
        <w:t>"</w:t>
      </w:r>
      <w:r w:rsidR="001238F2" w:rsidRPr="00A241F5">
        <w:rPr>
          <w:rFonts w:cs="Arial"/>
        </w:rPr>
        <w:t xml:space="preserve">.  We agree, and indeed this is a point highlighted in the Consultation Paper, which commented that this historic feature of English law had been one of the major criticisms of the conditional fee regime in England and Wales, before its reform in 2013.  </w:t>
      </w:r>
    </w:p>
    <w:p w14:paraId="14AFAC8B" w14:textId="77777777" w:rsidR="001238F2" w:rsidRPr="00A241F5" w:rsidRDefault="001238F2" w:rsidP="001238F2">
      <w:pPr>
        <w:widowControl/>
        <w:tabs>
          <w:tab w:val="clear" w:pos="1418"/>
          <w:tab w:val="left" w:pos="1440"/>
        </w:tabs>
        <w:rPr>
          <w:rFonts w:cs="Arial"/>
        </w:rPr>
      </w:pPr>
    </w:p>
    <w:p w14:paraId="327B1DE6" w14:textId="5325D8CC" w:rsidR="001238F2" w:rsidRPr="00A241F5" w:rsidRDefault="006D2598" w:rsidP="001238F2">
      <w:pPr>
        <w:widowControl/>
        <w:tabs>
          <w:tab w:val="clear" w:pos="1418"/>
          <w:tab w:val="left" w:pos="1440"/>
        </w:tabs>
        <w:rPr>
          <w:rFonts w:cs="Arial"/>
        </w:rPr>
      </w:pPr>
      <w:r w:rsidRPr="00A241F5">
        <w:rPr>
          <w:rFonts w:cs="Arial"/>
        </w:rPr>
        <w:t>3.12</w:t>
      </w:r>
      <w:r w:rsidR="001238F2" w:rsidRPr="00A241F5">
        <w:rPr>
          <w:rFonts w:cs="Arial"/>
        </w:rPr>
        <w:tab/>
        <w:t xml:space="preserve">Further, and as noted by one Respondent above, we agree that it would also, in most circumstances at least, be </w:t>
      </w:r>
      <w:r w:rsidR="00C61F4B" w:rsidRPr="00A241F5">
        <w:rPr>
          <w:rFonts w:cs="Arial"/>
          <w:i/>
        </w:rPr>
        <w:t>"</w:t>
      </w:r>
      <w:r w:rsidR="001238F2" w:rsidRPr="00A241F5">
        <w:rPr>
          <w:rFonts w:cs="Arial"/>
          <w:i/>
        </w:rPr>
        <w:t>unfair</w:t>
      </w:r>
      <w:r w:rsidR="001238F2" w:rsidRPr="00A241F5">
        <w:rPr>
          <w:rFonts w:cs="Arial"/>
        </w:rPr>
        <w:t xml:space="preserve"> </w:t>
      </w:r>
      <w:r w:rsidR="001238F2" w:rsidRPr="00A241F5">
        <w:rPr>
          <w:i/>
        </w:rPr>
        <w:t>for the losing party to be liable for these costs</w:t>
      </w:r>
      <w:r w:rsidR="003B7019" w:rsidRPr="00A241F5">
        <w:rPr>
          <w:i/>
        </w:rPr>
        <w:t xml:space="preserve"> </w:t>
      </w:r>
      <w:r w:rsidR="001238F2" w:rsidRPr="00A241F5">
        <w:rPr>
          <w:i/>
        </w:rPr>
        <w:t>.</w:t>
      </w:r>
      <w:r w:rsidR="0065400A" w:rsidRPr="00A241F5">
        <w:rPr>
          <w:i/>
        </w:rPr>
        <w:t>..</w:t>
      </w:r>
      <w:r w:rsidR="00B7429A" w:rsidRPr="00A241F5">
        <w:rPr>
          <w:i/>
        </w:rPr>
        <w:t xml:space="preserve"> </w:t>
      </w:r>
      <w:r w:rsidR="00C61F4B" w:rsidRPr="00A241F5">
        <w:rPr>
          <w:rFonts w:cs="Arial"/>
          <w:i/>
        </w:rPr>
        <w:t>"</w:t>
      </w:r>
      <w:r w:rsidR="0065400A" w:rsidRPr="00A241F5">
        <w:rPr>
          <w:rFonts w:cs="Arial"/>
        </w:rPr>
        <w:t>.</w:t>
      </w:r>
      <w:r w:rsidR="001238F2" w:rsidRPr="00A241F5">
        <w:rPr>
          <w:rFonts w:cs="Arial"/>
        </w:rPr>
        <w:t xml:space="preserve">  This is consistent with the statement in the Consultation Paper published by the Conditional Fees Sub-committee of the LRC in September 2005, cited in the Consultation Paper, namely that it would be </w:t>
      </w:r>
      <w:r w:rsidR="00C61F4B" w:rsidRPr="00A241F5">
        <w:rPr>
          <w:rFonts w:cs="Arial"/>
          <w:i/>
        </w:rPr>
        <w:t>"</w:t>
      </w:r>
      <w:r w:rsidR="001238F2" w:rsidRPr="00A241F5">
        <w:rPr>
          <w:rFonts w:cs="Arial"/>
          <w:i/>
        </w:rPr>
        <w:t>inequitable, irrational and unfair to make insurance premiums and success fee recoverable from the losing party</w:t>
      </w:r>
      <w:r w:rsidR="00C61F4B" w:rsidRPr="00A241F5">
        <w:rPr>
          <w:rFonts w:cs="Arial"/>
          <w:i/>
        </w:rPr>
        <w:t>"</w:t>
      </w:r>
      <w:r w:rsidR="00923002" w:rsidRPr="00A241F5">
        <w:rPr>
          <w:rFonts w:cs="Arial"/>
        </w:rPr>
        <w:t>.</w:t>
      </w:r>
      <w:r w:rsidR="001238F2" w:rsidRPr="00A241F5">
        <w:rPr>
          <w:rStyle w:val="FootnoteReference"/>
          <w:rFonts w:cs="Arial"/>
          <w:sz w:val="24"/>
        </w:rPr>
        <w:footnoteReference w:id="25"/>
      </w:r>
      <w:r w:rsidR="001238F2" w:rsidRPr="00A241F5">
        <w:rPr>
          <w:rFonts w:cs="Arial"/>
        </w:rPr>
        <w:t xml:space="preserve">  It would be unfair because the respondent is not party to the contracts between client and Lawyer and/or insurer, and accordingly has no control or say over any pricing which is ultimately agreed. </w:t>
      </w:r>
    </w:p>
    <w:p w14:paraId="3836CC62" w14:textId="77777777" w:rsidR="001238F2" w:rsidRPr="00A241F5" w:rsidRDefault="001238F2" w:rsidP="001238F2">
      <w:pPr>
        <w:widowControl/>
        <w:tabs>
          <w:tab w:val="clear" w:pos="1418"/>
          <w:tab w:val="left" w:pos="1440"/>
        </w:tabs>
        <w:rPr>
          <w:rFonts w:cs="Arial"/>
        </w:rPr>
      </w:pPr>
    </w:p>
    <w:p w14:paraId="294B9E8D" w14:textId="17462153" w:rsidR="001238F2" w:rsidRPr="00A241F5" w:rsidRDefault="006D2598" w:rsidP="001238F2">
      <w:pPr>
        <w:widowControl/>
        <w:tabs>
          <w:tab w:val="clear" w:pos="1418"/>
          <w:tab w:val="left" w:pos="1440"/>
        </w:tabs>
        <w:rPr>
          <w:rFonts w:cs="Arial"/>
        </w:rPr>
      </w:pPr>
      <w:r w:rsidRPr="00A241F5">
        <w:rPr>
          <w:rFonts w:cs="Arial"/>
        </w:rPr>
        <w:t>3.13</w:t>
      </w:r>
      <w:r w:rsidR="001238F2" w:rsidRPr="00A241F5">
        <w:rPr>
          <w:rFonts w:cs="Arial"/>
        </w:rPr>
        <w:tab/>
        <w:t>One Respondent pointed out that the definition of success fee</w:t>
      </w:r>
      <w:r w:rsidRPr="00A241F5">
        <w:rPr>
          <w:rFonts w:cs="Arial"/>
        </w:rPr>
        <w:t xml:space="preserve"> </w:t>
      </w:r>
      <w:r w:rsidR="001238F2" w:rsidRPr="00A241F5">
        <w:rPr>
          <w:rFonts w:cs="Arial"/>
        </w:rPr>
        <w:t xml:space="preserve">in </w:t>
      </w:r>
      <w:r w:rsidR="0065400A" w:rsidRPr="00A241F5">
        <w:rPr>
          <w:rFonts w:cs="Arial"/>
        </w:rPr>
        <w:t xml:space="preserve">Recommendation 2 of </w:t>
      </w:r>
      <w:r w:rsidR="001238F2" w:rsidRPr="00A241F5">
        <w:rPr>
          <w:rFonts w:cs="Arial"/>
        </w:rPr>
        <w:t xml:space="preserve">the Consultation Paper was not clear.  For the avoidance of doubt, in this context, success fee means the Success Fee premium, as illustrated in the worked example in paragraph 1.7 above.  The question of what </w:t>
      </w:r>
      <w:r w:rsidR="00C61F4B" w:rsidRPr="00A241F5">
        <w:rPr>
          <w:rFonts w:cs="Arial"/>
        </w:rPr>
        <w:t>"</w:t>
      </w:r>
      <w:r w:rsidR="001238F2" w:rsidRPr="00A241F5">
        <w:rPr>
          <w:rFonts w:cs="Arial"/>
        </w:rPr>
        <w:t>reasonable</w:t>
      </w:r>
      <w:r w:rsidR="00C61F4B" w:rsidRPr="00A241F5">
        <w:rPr>
          <w:rFonts w:cs="Arial"/>
        </w:rPr>
        <w:t>"</w:t>
      </w:r>
      <w:r w:rsidR="001238F2" w:rsidRPr="00A241F5">
        <w:rPr>
          <w:rFonts w:cs="Arial"/>
        </w:rPr>
        <w:t xml:space="preserve"> fees should be recovered from the losing party would, in general, be assessed by reference to </w:t>
      </w:r>
      <w:r w:rsidR="00C61F4B" w:rsidRPr="00A241F5">
        <w:rPr>
          <w:rFonts w:cs="Arial"/>
        </w:rPr>
        <w:t>"</w:t>
      </w:r>
      <w:r w:rsidR="001238F2" w:rsidRPr="00A241F5">
        <w:rPr>
          <w:rFonts w:cs="Arial"/>
        </w:rPr>
        <w:t>benchmark</w:t>
      </w:r>
      <w:r w:rsidR="00C61F4B" w:rsidRPr="00A241F5">
        <w:rPr>
          <w:rFonts w:cs="Arial"/>
        </w:rPr>
        <w:t>"</w:t>
      </w:r>
      <w:r w:rsidR="001238F2" w:rsidRPr="00A241F5">
        <w:rPr>
          <w:rFonts w:cs="Arial"/>
        </w:rPr>
        <w:t xml:space="preserve"> costs in the usual way.  This was what the Sub-committee had intended when it made Recommendation 2, and this has been clarified in Final Recommendation 2.</w:t>
      </w:r>
    </w:p>
    <w:p w14:paraId="550E3D9F" w14:textId="77777777" w:rsidR="001238F2" w:rsidRPr="00A241F5" w:rsidRDefault="001238F2" w:rsidP="001238F2">
      <w:pPr>
        <w:widowControl/>
        <w:tabs>
          <w:tab w:val="clear" w:pos="1418"/>
          <w:tab w:val="left" w:pos="1440"/>
        </w:tabs>
        <w:rPr>
          <w:rFonts w:cs="Arial"/>
        </w:rPr>
      </w:pPr>
    </w:p>
    <w:p w14:paraId="1E5ED1A8" w14:textId="6F726745" w:rsidR="001238F2" w:rsidRPr="00A241F5" w:rsidRDefault="006D2598" w:rsidP="001238F2">
      <w:pPr>
        <w:widowControl/>
        <w:tabs>
          <w:tab w:val="clear" w:pos="1418"/>
          <w:tab w:val="left" w:pos="1440"/>
        </w:tabs>
        <w:rPr>
          <w:rFonts w:cs="Arial"/>
        </w:rPr>
      </w:pPr>
      <w:r w:rsidRPr="00A241F5">
        <w:rPr>
          <w:rFonts w:cs="Arial"/>
        </w:rPr>
        <w:lastRenderedPageBreak/>
        <w:t>3.14</w:t>
      </w:r>
      <w:r w:rsidR="001238F2" w:rsidRPr="00A241F5">
        <w:rPr>
          <w:rFonts w:cs="Arial"/>
        </w:rPr>
        <w:tab/>
      </w:r>
      <w:r w:rsidR="00027865" w:rsidRPr="00A241F5">
        <w:rPr>
          <w:rFonts w:cs="Arial"/>
        </w:rPr>
        <w:t>We</w:t>
      </w:r>
      <w:r w:rsidR="001238F2" w:rsidRPr="00A241F5">
        <w:rPr>
          <w:rFonts w:cs="Arial"/>
        </w:rPr>
        <w:t xml:space="preserve"> also consider the arguments made by the litigation funder that the Tribunal</w:t>
      </w:r>
      <w:r w:rsidR="000D0CA6" w:rsidRPr="00A241F5">
        <w:rPr>
          <w:rStyle w:val="FootnoteReference"/>
          <w:rFonts w:cs="Arial"/>
          <w:sz w:val="24"/>
        </w:rPr>
        <w:footnoteReference w:id="26"/>
      </w:r>
      <w:r w:rsidR="001238F2" w:rsidRPr="00A241F5">
        <w:rPr>
          <w:rFonts w:cs="Arial"/>
        </w:rPr>
        <w:t xml:space="preserve"> should have complete discretion over whether, and on what basis, to award legal and other costs, as well as the related references made by another Respondent to the English decision of </w:t>
      </w:r>
      <w:r w:rsidR="001238F2" w:rsidRPr="00A241F5">
        <w:rPr>
          <w:rFonts w:cs="Arial"/>
          <w:i/>
        </w:rPr>
        <w:t>Essar v Norscot</w:t>
      </w:r>
      <w:r w:rsidR="001238F2" w:rsidRPr="00A241F5">
        <w:rPr>
          <w:rFonts w:cs="Arial"/>
        </w:rPr>
        <w:t>.</w:t>
      </w:r>
      <w:r w:rsidR="001238F2" w:rsidRPr="00A241F5">
        <w:rPr>
          <w:rStyle w:val="FootnoteReference"/>
          <w:rFonts w:cs="Arial"/>
          <w:sz w:val="24"/>
        </w:rPr>
        <w:footnoteReference w:id="27"/>
      </w:r>
      <w:r w:rsidR="001238F2" w:rsidRPr="00A241F5">
        <w:rPr>
          <w:rFonts w:cs="Arial"/>
        </w:rPr>
        <w:t xml:space="preserve"> </w:t>
      </w:r>
    </w:p>
    <w:p w14:paraId="369DEC27" w14:textId="77777777" w:rsidR="001238F2" w:rsidRPr="00A241F5" w:rsidRDefault="001238F2" w:rsidP="001238F2">
      <w:pPr>
        <w:widowControl/>
        <w:tabs>
          <w:tab w:val="clear" w:pos="1418"/>
          <w:tab w:val="left" w:pos="1440"/>
        </w:tabs>
        <w:rPr>
          <w:rFonts w:cs="Arial"/>
        </w:rPr>
      </w:pPr>
    </w:p>
    <w:p w14:paraId="63797101" w14:textId="6C619338" w:rsidR="001238F2" w:rsidRPr="00A241F5" w:rsidRDefault="006D2598" w:rsidP="001238F2">
      <w:pPr>
        <w:widowControl/>
        <w:tabs>
          <w:tab w:val="clear" w:pos="1418"/>
          <w:tab w:val="left" w:pos="1440"/>
        </w:tabs>
        <w:rPr>
          <w:rFonts w:cs="Arial"/>
        </w:rPr>
      </w:pPr>
      <w:r w:rsidRPr="00A241F5">
        <w:rPr>
          <w:rFonts w:cs="Arial"/>
        </w:rPr>
        <w:t>3.15</w:t>
      </w:r>
      <w:r w:rsidR="001238F2" w:rsidRPr="00A241F5">
        <w:rPr>
          <w:rFonts w:cs="Arial"/>
        </w:rPr>
        <w:tab/>
      </w:r>
      <w:r w:rsidR="00027865" w:rsidRPr="00A241F5">
        <w:rPr>
          <w:rFonts w:cs="Arial"/>
        </w:rPr>
        <w:t>We</w:t>
      </w:r>
      <w:r w:rsidR="001238F2" w:rsidRPr="00A241F5">
        <w:rPr>
          <w:rFonts w:cs="Arial"/>
        </w:rPr>
        <w:t xml:space="preserve"> note that </w:t>
      </w:r>
      <w:r w:rsidR="001238F2" w:rsidRPr="00A241F5">
        <w:rPr>
          <w:rFonts w:cs="Arial"/>
          <w:i/>
        </w:rPr>
        <w:t>Essar v Norscot</w:t>
      </w:r>
      <w:r w:rsidR="001238F2" w:rsidRPr="00A241F5">
        <w:rPr>
          <w:rFonts w:cs="Arial"/>
        </w:rPr>
        <w:t xml:space="preserve"> involved an International Chamber of Commerce arbitration before a sole arbitrator, in which Essar was found liable to pay damages to Norscot for repudiatory breach of an operations management agreement.  The award which came before the English court was the fifth partial </w:t>
      </w:r>
      <w:r w:rsidR="002F6BCC" w:rsidRPr="00A241F5">
        <w:rPr>
          <w:rFonts w:cs="Arial"/>
        </w:rPr>
        <w:t>a</w:t>
      </w:r>
      <w:r w:rsidR="001238F2" w:rsidRPr="00A241F5">
        <w:rPr>
          <w:rFonts w:cs="Arial"/>
        </w:rPr>
        <w:t>ward, in which the arbitrator found Essar liable to Norscot for approximately US$ 4 million in costs.  The costs award included the GBP</w:t>
      </w:r>
      <w:r w:rsidR="001C07B2" w:rsidRPr="00A241F5">
        <w:rPr>
          <w:rFonts w:cs="Arial"/>
        </w:rPr>
        <w:t> </w:t>
      </w:r>
      <w:r w:rsidR="001238F2" w:rsidRPr="00A241F5">
        <w:rPr>
          <w:rFonts w:cs="Arial"/>
        </w:rPr>
        <w:t>1.94 million costs of third party funding which Norscot had obtained in order to bring the arbitration.  The arbitrator</w:t>
      </w:r>
      <w:r w:rsidR="00C61F4B" w:rsidRPr="00A241F5">
        <w:rPr>
          <w:rFonts w:cs="Arial"/>
        </w:rPr>
        <w:t>'</w:t>
      </w:r>
      <w:r w:rsidR="001238F2" w:rsidRPr="00A241F5">
        <w:rPr>
          <w:rFonts w:cs="Arial"/>
        </w:rPr>
        <w:t>s findings on Essar</w:t>
      </w:r>
      <w:r w:rsidR="00C61F4B" w:rsidRPr="00A241F5">
        <w:rPr>
          <w:rFonts w:cs="Arial"/>
        </w:rPr>
        <w:t>'</w:t>
      </w:r>
      <w:r w:rsidR="001238F2" w:rsidRPr="00A241F5">
        <w:rPr>
          <w:rFonts w:cs="Arial"/>
        </w:rPr>
        <w:t>s conduct in the arbitration were a key consideration in the arbitrator</w:t>
      </w:r>
      <w:r w:rsidR="00C61F4B" w:rsidRPr="00A241F5">
        <w:rPr>
          <w:rFonts w:cs="Arial"/>
        </w:rPr>
        <w:t>'</w:t>
      </w:r>
      <w:r w:rsidR="001238F2" w:rsidRPr="00A241F5">
        <w:rPr>
          <w:rFonts w:cs="Arial"/>
        </w:rPr>
        <w:t xml:space="preserve">s decision on costs.  </w:t>
      </w:r>
    </w:p>
    <w:p w14:paraId="44F10F3A" w14:textId="77777777" w:rsidR="001238F2" w:rsidRPr="00A241F5" w:rsidRDefault="001238F2" w:rsidP="001238F2">
      <w:pPr>
        <w:widowControl/>
        <w:tabs>
          <w:tab w:val="clear" w:pos="1418"/>
          <w:tab w:val="left" w:pos="1440"/>
        </w:tabs>
        <w:rPr>
          <w:rFonts w:cs="Arial"/>
        </w:rPr>
      </w:pPr>
    </w:p>
    <w:p w14:paraId="6EE1F211" w14:textId="35028DFA" w:rsidR="001238F2" w:rsidRPr="00A241F5" w:rsidRDefault="006D2598" w:rsidP="001238F2">
      <w:pPr>
        <w:widowControl/>
        <w:tabs>
          <w:tab w:val="clear" w:pos="1418"/>
          <w:tab w:val="left" w:pos="1440"/>
        </w:tabs>
        <w:rPr>
          <w:rFonts w:cs="Arial"/>
        </w:rPr>
      </w:pPr>
      <w:r w:rsidRPr="00A241F5">
        <w:rPr>
          <w:rFonts w:cs="Arial"/>
        </w:rPr>
        <w:t>3.16</w:t>
      </w:r>
      <w:r w:rsidR="001238F2" w:rsidRPr="00A241F5">
        <w:rPr>
          <w:rFonts w:cs="Arial"/>
        </w:rPr>
        <w:tab/>
        <w:t>Relevantly, the arbitrator considered that Essar had set out to cripple Norscot financially and that, as a consequence of Essar</w:t>
      </w:r>
      <w:r w:rsidR="00C61F4B" w:rsidRPr="00A241F5">
        <w:rPr>
          <w:rFonts w:cs="Arial"/>
        </w:rPr>
        <w:t>'</w:t>
      </w:r>
      <w:r w:rsidR="001238F2" w:rsidRPr="00A241F5">
        <w:rPr>
          <w:rFonts w:cs="Arial"/>
        </w:rPr>
        <w:t xml:space="preserve">s treatment, </w:t>
      </w:r>
      <w:r w:rsidR="00C61F4B" w:rsidRPr="00A241F5">
        <w:rPr>
          <w:rFonts w:cs="Arial"/>
          <w:i/>
        </w:rPr>
        <w:t>"</w:t>
      </w:r>
      <w:r w:rsidR="001238F2" w:rsidRPr="00A241F5">
        <w:rPr>
          <w:rFonts w:cs="Arial"/>
          <w:i/>
        </w:rPr>
        <w:t>Norscot had no alternative, but was forced to enter into the litigation funding … The funding costs reflect standard market rates and terms for such facility, …</w:t>
      </w:r>
      <w:r w:rsidR="00B7429A" w:rsidRPr="00A241F5">
        <w:rPr>
          <w:rFonts w:cs="Arial"/>
          <w:i/>
          <w:lang w:val="en-US"/>
        </w:rPr>
        <w:t> </w:t>
      </w:r>
      <w:r w:rsidR="00B7429A" w:rsidRPr="00A241F5">
        <w:rPr>
          <w:rFonts w:cs="Arial"/>
        </w:rPr>
        <w:t>.</w:t>
      </w:r>
      <w:r w:rsidR="00C61F4B" w:rsidRPr="00A241F5">
        <w:rPr>
          <w:rFonts w:cs="Arial"/>
          <w:i/>
        </w:rPr>
        <w:t>"</w:t>
      </w:r>
      <w:r w:rsidR="001238F2" w:rsidRPr="00A241F5">
        <w:rPr>
          <w:rStyle w:val="FootnoteReference"/>
          <w:rFonts w:cs="Arial"/>
          <w:sz w:val="24"/>
        </w:rPr>
        <w:footnoteReference w:id="28"/>
      </w:r>
      <w:r w:rsidR="001238F2" w:rsidRPr="00A241F5">
        <w:rPr>
          <w:rFonts w:cs="Arial"/>
        </w:rPr>
        <w:t xml:space="preserve">  The arbitrator also found that</w:t>
      </w:r>
      <w:r w:rsidR="003C79C9" w:rsidRPr="00A241F5">
        <w:rPr>
          <w:rFonts w:cs="Arial"/>
        </w:rPr>
        <w:t>:</w:t>
      </w:r>
    </w:p>
    <w:p w14:paraId="6D1079BF" w14:textId="77777777" w:rsidR="001238F2" w:rsidRPr="00A241F5" w:rsidRDefault="001238F2" w:rsidP="001238F2">
      <w:pPr>
        <w:widowControl/>
        <w:tabs>
          <w:tab w:val="clear" w:pos="1418"/>
          <w:tab w:val="left" w:pos="1440"/>
        </w:tabs>
        <w:rPr>
          <w:rFonts w:cs="Arial"/>
        </w:rPr>
      </w:pPr>
    </w:p>
    <w:p w14:paraId="2C1B9318" w14:textId="58D01C4E" w:rsidR="001238F2" w:rsidRPr="00A241F5" w:rsidRDefault="00C61F4B" w:rsidP="001238F2">
      <w:pPr>
        <w:widowControl/>
        <w:tabs>
          <w:tab w:val="clear" w:pos="1418"/>
          <w:tab w:val="left" w:pos="1440"/>
        </w:tabs>
        <w:ind w:left="720" w:right="720"/>
        <w:rPr>
          <w:rFonts w:cs="Arial"/>
        </w:rPr>
      </w:pPr>
      <w:r w:rsidRPr="00A241F5">
        <w:rPr>
          <w:rFonts w:cs="Arial"/>
          <w:i/>
        </w:rPr>
        <w:t>"</w:t>
      </w:r>
      <w:r w:rsidR="001238F2" w:rsidRPr="00A241F5">
        <w:rPr>
          <w:rFonts w:cs="Arial"/>
          <w:i/>
        </w:rPr>
        <w:t>It was blindingly obvious to [Essar]</w:t>
      </w:r>
      <w:r w:rsidR="001238F2" w:rsidRPr="00A241F5">
        <w:rPr>
          <w:rFonts w:cs="Arial"/>
        </w:rPr>
        <w:t xml:space="preserve"> </w:t>
      </w:r>
      <w:r w:rsidR="001238F2" w:rsidRPr="00A241F5">
        <w:rPr>
          <w:rFonts w:cs="Arial"/>
          <w:i/>
        </w:rPr>
        <w:t>that the claimant … would find it difficult if not impossible to pursue its claims by relying on its own resources.  The respondent probably hoped that this financial imbalance would force the claimant to abandon its claims.</w:t>
      </w:r>
      <w:r w:rsidRPr="00A241F5">
        <w:rPr>
          <w:rFonts w:cs="Arial"/>
          <w:i/>
        </w:rPr>
        <w:t>"</w:t>
      </w:r>
      <w:r w:rsidR="001238F2" w:rsidRPr="00A241F5">
        <w:rPr>
          <w:rStyle w:val="FootnoteReference"/>
          <w:rFonts w:cs="Arial"/>
          <w:sz w:val="24"/>
        </w:rPr>
        <w:footnoteReference w:id="29"/>
      </w:r>
      <w:r w:rsidR="001238F2" w:rsidRPr="00A241F5">
        <w:rPr>
          <w:rFonts w:cs="Arial"/>
        </w:rPr>
        <w:t xml:space="preserve"> </w:t>
      </w:r>
    </w:p>
    <w:p w14:paraId="38E6B931" w14:textId="77777777" w:rsidR="001238F2" w:rsidRPr="00A241F5" w:rsidRDefault="001238F2" w:rsidP="001238F2">
      <w:pPr>
        <w:widowControl/>
        <w:tabs>
          <w:tab w:val="clear" w:pos="1418"/>
          <w:tab w:val="left" w:pos="1440"/>
        </w:tabs>
        <w:rPr>
          <w:rFonts w:cs="Arial"/>
        </w:rPr>
      </w:pPr>
      <w:r w:rsidRPr="00A241F5">
        <w:rPr>
          <w:rFonts w:cs="Arial"/>
        </w:rPr>
        <w:t xml:space="preserve"> </w:t>
      </w:r>
    </w:p>
    <w:p w14:paraId="065B4C7E" w14:textId="08EE22BF" w:rsidR="001238F2" w:rsidRPr="00A241F5" w:rsidRDefault="001238F2" w:rsidP="001238F2">
      <w:pPr>
        <w:widowControl/>
        <w:tabs>
          <w:tab w:val="clear" w:pos="1418"/>
          <w:tab w:val="left" w:pos="1440"/>
        </w:tabs>
        <w:rPr>
          <w:rFonts w:cs="Arial"/>
          <w:i/>
        </w:rPr>
      </w:pPr>
      <w:r w:rsidRPr="00A241F5">
        <w:rPr>
          <w:rFonts w:cs="Arial"/>
        </w:rPr>
        <w:t>The arbitrator considered that he had wide discretion to decide which costs should be awarded in the arbitration, and held that Norscot was entitled to recover the sum of GBP 1.94 million, being the sum owed to the third party funder for advancing Norscot its legal costs to bring the claim</w:t>
      </w:r>
      <w:r w:rsidR="005C2865" w:rsidRPr="00A241F5">
        <w:rPr>
          <w:rFonts w:cs="Arial"/>
        </w:rPr>
        <w:t>s</w:t>
      </w:r>
      <w:r w:rsidRPr="00A241F5">
        <w:rPr>
          <w:rFonts w:cs="Arial"/>
        </w:rPr>
        <w:t xml:space="preserve">.      </w:t>
      </w:r>
    </w:p>
    <w:p w14:paraId="77924062" w14:textId="77777777" w:rsidR="001238F2" w:rsidRPr="00A241F5" w:rsidRDefault="001238F2" w:rsidP="001238F2">
      <w:pPr>
        <w:widowControl/>
        <w:tabs>
          <w:tab w:val="clear" w:pos="1418"/>
          <w:tab w:val="left" w:pos="1440"/>
        </w:tabs>
        <w:rPr>
          <w:rFonts w:cs="Arial"/>
        </w:rPr>
      </w:pPr>
    </w:p>
    <w:p w14:paraId="40BCDBCC" w14:textId="27ADB9C0" w:rsidR="001238F2" w:rsidRPr="00A241F5" w:rsidRDefault="006D2598" w:rsidP="001238F2">
      <w:pPr>
        <w:widowControl/>
        <w:tabs>
          <w:tab w:val="clear" w:pos="1418"/>
          <w:tab w:val="left" w:pos="1440"/>
        </w:tabs>
        <w:rPr>
          <w:rFonts w:cs="Arial"/>
        </w:rPr>
      </w:pPr>
      <w:r w:rsidRPr="00A241F5">
        <w:rPr>
          <w:rFonts w:cs="Arial"/>
        </w:rPr>
        <w:t>3.17</w:t>
      </w:r>
      <w:r w:rsidR="001238F2" w:rsidRPr="00A241F5">
        <w:rPr>
          <w:rFonts w:cs="Arial"/>
        </w:rPr>
        <w:tab/>
        <w:t>The facts of that case were clearly unusual.  The arbitrator found that Essar had deliberately tried to hurt Norscot financially, with the aim of preventing Norscot from being able to pursue its (legitimate) claim.  Moreover, it was directly because of Essar</w:t>
      </w:r>
      <w:r w:rsidR="00C61F4B" w:rsidRPr="00A241F5">
        <w:rPr>
          <w:rFonts w:cs="Arial"/>
        </w:rPr>
        <w:t>'</w:t>
      </w:r>
      <w:r w:rsidR="001238F2" w:rsidRPr="00A241F5">
        <w:rPr>
          <w:rFonts w:cs="Arial"/>
        </w:rPr>
        <w:t xml:space="preserve">s conduct that Norscot had no choice but to obtain third party funding to be able to protect its legal rights.  This went beyond the usual tussles which feature in contentious proceedings, and beyond the needs of an impecunious party looking for financial assistance to advance a meritorious claim. </w:t>
      </w:r>
    </w:p>
    <w:p w14:paraId="2849060A" w14:textId="77777777" w:rsidR="001238F2" w:rsidRPr="00A241F5" w:rsidRDefault="001238F2" w:rsidP="001238F2">
      <w:pPr>
        <w:widowControl/>
        <w:tabs>
          <w:tab w:val="clear" w:pos="1418"/>
          <w:tab w:val="left" w:pos="1440"/>
        </w:tabs>
        <w:rPr>
          <w:rFonts w:cs="Arial"/>
        </w:rPr>
      </w:pPr>
    </w:p>
    <w:p w14:paraId="14797AD0" w14:textId="6534247B" w:rsidR="001238F2" w:rsidRPr="00A241F5" w:rsidRDefault="006D2598" w:rsidP="001238F2">
      <w:pPr>
        <w:widowControl/>
        <w:tabs>
          <w:tab w:val="clear" w:pos="1418"/>
          <w:tab w:val="left" w:pos="1440"/>
        </w:tabs>
        <w:rPr>
          <w:rFonts w:cs="Arial"/>
        </w:rPr>
      </w:pPr>
      <w:r w:rsidRPr="00A241F5">
        <w:rPr>
          <w:rFonts w:cs="Arial"/>
        </w:rPr>
        <w:t>3.18</w:t>
      </w:r>
      <w:r w:rsidR="001238F2" w:rsidRPr="00A241F5">
        <w:rPr>
          <w:rFonts w:cs="Arial"/>
        </w:rPr>
        <w:tab/>
        <w:t xml:space="preserve">Nevertheless, </w:t>
      </w:r>
      <w:r w:rsidR="00027865" w:rsidRPr="00A241F5">
        <w:rPr>
          <w:rFonts w:cs="Arial"/>
        </w:rPr>
        <w:t>we</w:t>
      </w:r>
      <w:r w:rsidR="001238F2" w:rsidRPr="00A241F5">
        <w:rPr>
          <w:rFonts w:cs="Arial"/>
        </w:rPr>
        <w:t xml:space="preserve"> note that guerrilla tactics in commercial arbitration do happen, and that there may be some extreme situations, albeit limited, where it would be fair and equitable to pass part or all of the additional </w:t>
      </w:r>
      <w:r w:rsidR="001238F2" w:rsidRPr="00A241F5">
        <w:rPr>
          <w:rFonts w:cs="Arial"/>
        </w:rPr>
        <w:lastRenderedPageBreak/>
        <w:t>costs of a Success Fee premium or Legal Expense Insurance</w:t>
      </w:r>
      <w:r w:rsidR="004D326A" w:rsidRPr="00A241F5">
        <w:rPr>
          <w:rStyle w:val="FootnoteReference"/>
          <w:rFonts w:cs="Arial"/>
          <w:sz w:val="24"/>
        </w:rPr>
        <w:footnoteReference w:id="30"/>
      </w:r>
      <w:r w:rsidR="001238F2" w:rsidRPr="00A241F5">
        <w:rPr>
          <w:rFonts w:cs="Arial"/>
        </w:rPr>
        <w:t xml:space="preserve"> (including ATE Insurance) premium onto the losing party.  We have considered this carefully, and the comments made by a number of the Respondents, and agree</w:t>
      </w:r>
      <w:r w:rsidR="00027865" w:rsidRPr="00A241F5">
        <w:rPr>
          <w:rFonts w:cs="Arial"/>
        </w:rPr>
        <w:t xml:space="preserve"> with them</w:t>
      </w:r>
      <w:r w:rsidR="001238F2" w:rsidRPr="00A241F5">
        <w:rPr>
          <w:rFonts w:cs="Arial"/>
        </w:rPr>
        <w:t xml:space="preserve">.  </w:t>
      </w:r>
    </w:p>
    <w:p w14:paraId="1369347D" w14:textId="77777777" w:rsidR="001238F2" w:rsidRPr="00A241F5" w:rsidRDefault="001238F2" w:rsidP="001238F2">
      <w:pPr>
        <w:widowControl/>
        <w:tabs>
          <w:tab w:val="clear" w:pos="1418"/>
          <w:tab w:val="left" w:pos="1440"/>
        </w:tabs>
        <w:rPr>
          <w:rFonts w:cs="Arial"/>
        </w:rPr>
      </w:pPr>
    </w:p>
    <w:p w14:paraId="460F585B" w14:textId="18B382A9" w:rsidR="001238F2" w:rsidRPr="00A241F5" w:rsidRDefault="006D2598" w:rsidP="001238F2">
      <w:pPr>
        <w:widowControl/>
        <w:tabs>
          <w:tab w:val="clear" w:pos="1418"/>
          <w:tab w:val="left" w:pos="1440"/>
        </w:tabs>
        <w:rPr>
          <w:rFonts w:cs="Arial"/>
        </w:rPr>
      </w:pPr>
      <w:r w:rsidRPr="00A241F5">
        <w:rPr>
          <w:rFonts w:cs="Arial"/>
        </w:rPr>
        <w:t>3.19</w:t>
      </w:r>
      <w:r w:rsidR="001238F2" w:rsidRPr="00A241F5">
        <w:rPr>
          <w:rFonts w:cs="Arial"/>
        </w:rPr>
        <w:tab/>
        <w:t xml:space="preserve">On balance, therefore, we consider that there is merit in leaving the door open to Tribunals to order the losing party to pay the Success Fee premium and Legal Expense Insurance premium in genuinely exceptional circumstances, similar to those that existed in </w:t>
      </w:r>
      <w:r w:rsidR="001238F2" w:rsidRPr="00A241F5">
        <w:rPr>
          <w:rFonts w:cs="Arial"/>
          <w:i/>
        </w:rPr>
        <w:t>Essar v Norscot</w:t>
      </w:r>
      <w:r w:rsidR="001238F2" w:rsidRPr="00A241F5">
        <w:rPr>
          <w:rFonts w:cs="Arial"/>
        </w:rPr>
        <w:t>.</w:t>
      </w:r>
      <w:r w:rsidR="00C133BA" w:rsidRPr="00A241F5">
        <w:rPr>
          <w:rFonts w:cs="Arial"/>
        </w:rPr>
        <w:t xml:space="preserve">  This will also address the concern raised by a law firm who considered that the irrecoverablity of Success Fee proposed under Recommendation 2 in the Consultation Paper may give rise to an unfair playing field that put</w:t>
      </w:r>
      <w:r w:rsidR="00EF5B1B" w:rsidRPr="00A241F5">
        <w:rPr>
          <w:rFonts w:cs="Arial"/>
        </w:rPr>
        <w:t>s</w:t>
      </w:r>
      <w:r w:rsidR="00C133BA" w:rsidRPr="00A241F5">
        <w:rPr>
          <w:rFonts w:cs="Arial"/>
        </w:rPr>
        <w:t xml:space="preserve"> Lawyers at a disadvantage </w:t>
      </w:r>
      <w:r w:rsidR="00EF5B1B" w:rsidRPr="00A241F5">
        <w:rPr>
          <w:rFonts w:cs="Arial"/>
        </w:rPr>
        <w:t>(</w:t>
      </w:r>
      <w:r w:rsidR="00C133BA" w:rsidRPr="00A241F5">
        <w:rPr>
          <w:rFonts w:cs="Arial"/>
        </w:rPr>
        <w:t xml:space="preserve">as discussed in paragraph </w:t>
      </w:r>
      <w:r w:rsidR="00A75119" w:rsidRPr="00A241F5">
        <w:rPr>
          <w:rFonts w:cs="Arial"/>
        </w:rPr>
        <w:t>3</w:t>
      </w:r>
      <w:r w:rsidR="00C133BA" w:rsidRPr="00A241F5">
        <w:rPr>
          <w:rFonts w:cs="Arial"/>
        </w:rPr>
        <w:t>.</w:t>
      </w:r>
      <w:r w:rsidR="00BC7A93" w:rsidRPr="00A241F5">
        <w:rPr>
          <w:rFonts w:cs="Arial"/>
        </w:rPr>
        <w:t>7</w:t>
      </w:r>
      <w:r w:rsidR="00C133BA" w:rsidRPr="00A241F5">
        <w:rPr>
          <w:rFonts w:cs="Arial"/>
        </w:rPr>
        <w:t xml:space="preserve"> above</w:t>
      </w:r>
      <w:r w:rsidR="00EF5B1B" w:rsidRPr="00A241F5">
        <w:rPr>
          <w:rFonts w:cs="Arial"/>
        </w:rPr>
        <w:t>)</w:t>
      </w:r>
      <w:r w:rsidR="00DF02C6" w:rsidRPr="00A241F5">
        <w:rPr>
          <w:rFonts w:cs="Arial"/>
        </w:rPr>
        <w:t xml:space="preserve"> by way of treating Lawyers and Third Party Funders</w:t>
      </w:r>
      <w:r w:rsidR="001010AC" w:rsidRPr="00A241F5">
        <w:rPr>
          <w:rStyle w:val="FootnoteReference"/>
          <w:rFonts w:cs="Arial"/>
          <w:sz w:val="24"/>
        </w:rPr>
        <w:footnoteReference w:id="31"/>
      </w:r>
      <w:r w:rsidR="00DF02C6" w:rsidRPr="00A241F5">
        <w:rPr>
          <w:rFonts w:cs="Arial"/>
        </w:rPr>
        <w:t xml:space="preserve"> equally in respect of the recoverability of the Success Fee premium and Third </w:t>
      </w:r>
      <w:r w:rsidR="00A75376" w:rsidRPr="00A241F5">
        <w:rPr>
          <w:rFonts w:cs="Arial"/>
        </w:rPr>
        <w:t>P</w:t>
      </w:r>
      <w:r w:rsidR="00DF02C6" w:rsidRPr="00A241F5">
        <w:rPr>
          <w:rFonts w:cs="Arial"/>
        </w:rPr>
        <w:t>arty Funder premium</w:t>
      </w:r>
      <w:r w:rsidR="00C133BA" w:rsidRPr="00A241F5">
        <w:rPr>
          <w:rFonts w:cs="Arial"/>
        </w:rPr>
        <w:t>.</w:t>
      </w:r>
      <w:r w:rsidR="001238F2" w:rsidRPr="00A241F5">
        <w:rPr>
          <w:rFonts w:cs="Arial"/>
        </w:rPr>
        <w:t xml:space="preserve">  </w:t>
      </w:r>
    </w:p>
    <w:p w14:paraId="55BD76B2" w14:textId="77777777" w:rsidR="001238F2" w:rsidRPr="00A241F5" w:rsidRDefault="001238F2" w:rsidP="001238F2">
      <w:pPr>
        <w:widowControl/>
        <w:tabs>
          <w:tab w:val="clear" w:pos="1418"/>
          <w:tab w:val="left" w:pos="1440"/>
        </w:tabs>
        <w:rPr>
          <w:rFonts w:cs="Arial"/>
        </w:rPr>
      </w:pPr>
    </w:p>
    <w:p w14:paraId="607F6A1F" w14:textId="1F267D5A" w:rsidR="001238F2" w:rsidRPr="00A241F5" w:rsidRDefault="006D2598" w:rsidP="001238F2">
      <w:pPr>
        <w:widowControl/>
        <w:tabs>
          <w:tab w:val="clear" w:pos="1418"/>
          <w:tab w:val="left" w:pos="1440"/>
        </w:tabs>
        <w:rPr>
          <w:rFonts w:cs="Arial"/>
        </w:rPr>
      </w:pPr>
      <w:r w:rsidRPr="00A241F5">
        <w:rPr>
          <w:rFonts w:cs="Arial"/>
        </w:rPr>
        <w:t>3.20</w:t>
      </w:r>
      <w:r w:rsidR="001238F2" w:rsidRPr="00A241F5">
        <w:rPr>
          <w:rFonts w:cs="Arial"/>
        </w:rPr>
        <w:tab/>
        <w:t>For all these reasons, our final recommendation is that the position under Hong Kong law for Arbitration should be that the losing party should not, in principle, be liable to pay any Success Fee premium or Legal Expense Insurance premium agreed by the winning party respectively with its Lawyers and/or insurers.  However, in exceptional circumstances, the Tribunal should have the power to apportion those fees between the parties in the Arbitration based on the exceptional circumstanc</w:t>
      </w:r>
      <w:r w:rsidR="00614E5B" w:rsidRPr="00A241F5">
        <w:rPr>
          <w:rFonts w:cs="Arial"/>
        </w:rPr>
        <w:t>es of the</w:t>
      </w:r>
      <w:r w:rsidR="001238F2" w:rsidRPr="00A241F5">
        <w:rPr>
          <w:rFonts w:cs="Arial"/>
        </w:rPr>
        <w:t xml:space="preserve"> case. </w:t>
      </w:r>
    </w:p>
    <w:p w14:paraId="131710D7" w14:textId="77777777" w:rsidR="001238F2" w:rsidRPr="00A241F5" w:rsidRDefault="001238F2" w:rsidP="001238F2">
      <w:pPr>
        <w:widowControl/>
        <w:tabs>
          <w:tab w:val="clear" w:pos="1418"/>
          <w:tab w:val="left" w:pos="1440"/>
        </w:tabs>
        <w:rPr>
          <w:rFonts w:cs="Arial"/>
        </w:rPr>
      </w:pPr>
      <w:r w:rsidRPr="00A241F5">
        <w:rPr>
          <w:rFonts w:cs="Arial"/>
        </w:rPr>
        <w:t xml:space="preserve"> </w:t>
      </w:r>
    </w:p>
    <w:p w14:paraId="76EDB8F5" w14:textId="77777777" w:rsidR="001238F2" w:rsidRPr="00A241F5" w:rsidRDefault="001238F2" w:rsidP="001238F2">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t>Final Recommendation 2</w:t>
      </w:r>
    </w:p>
    <w:p w14:paraId="18DD7954" w14:textId="77777777" w:rsidR="001238F2" w:rsidRPr="00A241F5" w:rsidRDefault="001238F2" w:rsidP="001238F2">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03845BC5" w14:textId="77777777" w:rsidR="001238F2" w:rsidRPr="00A241F5" w:rsidRDefault="001238F2" w:rsidP="001238F2">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rPr>
          <w:rFonts w:cs="Arial"/>
        </w:rPr>
        <w:t xml:space="preserve">Where a CFA is in place, we recommend that any Success Fee premium and any Legal Expense Insurance premium agreed by a client with its Lawyers and insurers respectively shall not, in principle, be borne by the unsuccessful party.  However, where in the opinion of the Tribunal there are exceptional circumstances, the Tribunal may apportion such Success Fee premium and/or Legal Expense Insurance premium between the parties if it determines that apportionment is reasonable, taking into account the exceptional circumstances of the case. </w:t>
      </w:r>
    </w:p>
    <w:p w14:paraId="07C1364A" w14:textId="77777777" w:rsidR="001238F2" w:rsidRPr="00A241F5" w:rsidRDefault="001238F2" w:rsidP="001238F2">
      <w:pPr>
        <w:widowControl/>
        <w:tabs>
          <w:tab w:val="clear" w:pos="1418"/>
          <w:tab w:val="left" w:pos="1440"/>
        </w:tabs>
        <w:rPr>
          <w:rFonts w:cs="Arial"/>
        </w:rPr>
      </w:pPr>
    </w:p>
    <w:p w14:paraId="1A4C5E52" w14:textId="77777777" w:rsidR="001238F2" w:rsidRPr="00A241F5" w:rsidRDefault="001238F2" w:rsidP="001238F2">
      <w:pPr>
        <w:rPr>
          <w:rFonts w:cs="Arial"/>
        </w:rPr>
      </w:pPr>
    </w:p>
    <w:p w14:paraId="7ECB346B" w14:textId="77777777" w:rsidR="001238F2" w:rsidRPr="00A241F5" w:rsidRDefault="001238F2" w:rsidP="001238F2">
      <w:pPr>
        <w:pStyle w:val="Heading1"/>
        <w:widowControl/>
        <w:rPr>
          <w:rFonts w:cs="Arial"/>
        </w:rPr>
        <w:sectPr w:rsidR="001238F2" w:rsidRPr="00A241F5" w:rsidSect="00AC7FE5">
          <w:footnotePr>
            <w:numRestart w:val="eachSect"/>
          </w:footnotePr>
          <w:pgSz w:w="11909" w:h="16834" w:code="9"/>
          <w:pgMar w:top="1440" w:right="1800" w:bottom="1440" w:left="1800" w:header="720" w:footer="720" w:gutter="0"/>
          <w:cols w:space="425"/>
          <w:docGrid w:linePitch="360"/>
        </w:sectPr>
      </w:pPr>
    </w:p>
    <w:p w14:paraId="54A6FBC2" w14:textId="32E0DFAC" w:rsidR="001238F2" w:rsidRPr="00A241F5" w:rsidRDefault="001238F2" w:rsidP="00BE0A49">
      <w:pPr>
        <w:pStyle w:val="Heading1"/>
      </w:pPr>
      <w:bookmarkStart w:id="16" w:name="Chapter04"/>
      <w:bookmarkEnd w:id="16"/>
      <w:r w:rsidRPr="00A241F5">
        <w:lastRenderedPageBreak/>
        <w:t xml:space="preserve">Chapter </w:t>
      </w:r>
      <w:r w:rsidR="00070C53" w:rsidRPr="00A241F5">
        <w:t>4</w:t>
      </w:r>
    </w:p>
    <w:p w14:paraId="25152A4E" w14:textId="77777777" w:rsidR="001238F2" w:rsidRPr="00A241F5" w:rsidRDefault="001238F2" w:rsidP="001238F2">
      <w:pPr>
        <w:pStyle w:val="Heading2"/>
        <w:rPr>
          <w:rFonts w:cs="Arial"/>
        </w:rPr>
      </w:pPr>
    </w:p>
    <w:p w14:paraId="2603869B" w14:textId="56AD3DCC" w:rsidR="001238F2" w:rsidRPr="00A241F5" w:rsidRDefault="009B76AD" w:rsidP="00BE0A49">
      <w:pPr>
        <w:pStyle w:val="Heading1"/>
      </w:pPr>
      <w:r w:rsidRPr="00A241F5">
        <w:t>C</w:t>
      </w:r>
      <w:r w:rsidR="001238F2" w:rsidRPr="00A241F5">
        <w:t xml:space="preserve">ap on the Success Fee </w:t>
      </w:r>
    </w:p>
    <w:p w14:paraId="704FB4BC" w14:textId="14341C65" w:rsidR="001238F2" w:rsidRPr="00A241F5" w:rsidRDefault="001238F2" w:rsidP="00BE0A49">
      <w:pPr>
        <w:rPr>
          <w:u w:val="single"/>
        </w:rPr>
      </w:pPr>
      <w:r w:rsidRPr="00A241F5">
        <w:t>_________________________</w:t>
      </w:r>
      <w:r w:rsidR="009021A0" w:rsidRPr="00A241F5">
        <w:t>______</w:t>
      </w:r>
    </w:p>
    <w:p w14:paraId="3CD574A0" w14:textId="77777777" w:rsidR="001238F2" w:rsidRPr="00A241F5" w:rsidRDefault="001238F2" w:rsidP="001238F2"/>
    <w:p w14:paraId="63E8005B" w14:textId="77777777" w:rsidR="001238F2" w:rsidRPr="00A241F5" w:rsidRDefault="001238F2" w:rsidP="001238F2"/>
    <w:p w14:paraId="566281EB" w14:textId="77777777" w:rsidR="001238F2" w:rsidRPr="00A241F5" w:rsidRDefault="001238F2" w:rsidP="001238F2">
      <w:pPr>
        <w:pStyle w:val="Heading2"/>
        <w:rPr>
          <w:rFonts w:cs="Arial"/>
        </w:rPr>
      </w:pPr>
    </w:p>
    <w:p w14:paraId="1C1EEC90" w14:textId="166FFB30" w:rsidR="001238F2" w:rsidRPr="00A241F5" w:rsidRDefault="001238F2" w:rsidP="001117EF">
      <w:pPr>
        <w:pStyle w:val="Heading2"/>
      </w:pPr>
      <w:r w:rsidRPr="00A241F5">
        <w:t>Responses to the Sub-committee</w:t>
      </w:r>
      <w:r w:rsidR="00C61F4B" w:rsidRPr="00A241F5">
        <w:t>'</w:t>
      </w:r>
      <w:r w:rsidRPr="00A241F5">
        <w:t>s Recommendation 3</w:t>
      </w:r>
    </w:p>
    <w:p w14:paraId="69662222" w14:textId="77777777" w:rsidR="001238F2" w:rsidRPr="00A241F5" w:rsidRDefault="001238F2" w:rsidP="001238F2">
      <w:pPr>
        <w:rPr>
          <w:rFonts w:cs="Arial"/>
        </w:rPr>
      </w:pPr>
    </w:p>
    <w:p w14:paraId="0E3859AE" w14:textId="666217DB" w:rsidR="001238F2" w:rsidRPr="00A241F5" w:rsidRDefault="001117EF" w:rsidP="00C22562">
      <w:pPr>
        <w:ind w:rightChars="35" w:right="84"/>
        <w:rPr>
          <w:rFonts w:cs="Arial"/>
        </w:rPr>
      </w:pPr>
      <w:r w:rsidRPr="00A241F5">
        <w:rPr>
          <w:rFonts w:cs="Arial"/>
        </w:rPr>
        <w:t>4.</w:t>
      </w:r>
      <w:r w:rsidR="001238F2" w:rsidRPr="00A241F5">
        <w:rPr>
          <w:rFonts w:cs="Arial"/>
        </w:rPr>
        <w:t>1</w:t>
      </w:r>
      <w:r w:rsidR="001238F2" w:rsidRPr="00A241F5">
        <w:rPr>
          <w:rFonts w:cs="Arial"/>
        </w:rPr>
        <w:tab/>
        <w:t xml:space="preserve">This Chapter discusses the responses to Recommendation 3 in the Consultation Paper: </w:t>
      </w:r>
    </w:p>
    <w:p w14:paraId="22D52E32" w14:textId="77777777" w:rsidR="001238F2" w:rsidRPr="00A241F5" w:rsidRDefault="001238F2" w:rsidP="00C22562">
      <w:pPr>
        <w:ind w:rightChars="271" w:right="650"/>
        <w:rPr>
          <w:rFonts w:cs="Arial"/>
        </w:rPr>
      </w:pPr>
    </w:p>
    <w:p w14:paraId="675A00AA" w14:textId="589F403D" w:rsidR="001238F2" w:rsidRPr="00A241F5" w:rsidRDefault="00C61F4B" w:rsidP="00C22562">
      <w:pPr>
        <w:ind w:left="720" w:rightChars="271" w:right="650"/>
        <w:rPr>
          <w:rFonts w:cs="Arial"/>
          <w:i/>
        </w:rPr>
      </w:pPr>
      <w:r w:rsidRPr="00A241F5">
        <w:rPr>
          <w:rFonts w:cs="Arial"/>
          <w:i/>
        </w:rPr>
        <w:t>"</w:t>
      </w:r>
      <w:r w:rsidR="001238F2" w:rsidRPr="00A241F5">
        <w:rPr>
          <w:rFonts w:cs="Arial"/>
          <w:i/>
        </w:rPr>
        <w:t xml:space="preserve">Where a CFA is in place, the Sub-committee recommends that there should be a cap on the Success Fee which is expressed as a percentage of normal or </w:t>
      </w:r>
      <w:r w:rsidRPr="00A241F5">
        <w:rPr>
          <w:rFonts w:cs="Arial"/>
          <w:i/>
        </w:rPr>
        <w:t>'</w:t>
      </w:r>
      <w:r w:rsidR="001238F2" w:rsidRPr="00A241F5">
        <w:rPr>
          <w:rFonts w:cs="Arial"/>
          <w:i/>
        </w:rPr>
        <w:t>benchmark</w:t>
      </w:r>
      <w:r w:rsidRPr="00A241F5">
        <w:rPr>
          <w:rFonts w:cs="Arial"/>
          <w:i/>
        </w:rPr>
        <w:t>'</w:t>
      </w:r>
      <w:r w:rsidR="001238F2" w:rsidRPr="00A241F5">
        <w:rPr>
          <w:rFonts w:cs="Arial"/>
          <w:i/>
        </w:rPr>
        <w:t xml:space="preserve"> costs</w:t>
      </w:r>
      <w:r w:rsidR="001238F2" w:rsidRPr="00A241F5">
        <w:rPr>
          <w:rFonts w:cs="Arial"/>
        </w:rPr>
        <w:t xml:space="preserve">. </w:t>
      </w:r>
      <w:r w:rsidR="001238F2" w:rsidRPr="00A241F5">
        <w:rPr>
          <w:rFonts w:cs="Arial"/>
          <w:i/>
        </w:rPr>
        <w:t xml:space="preserve"> The Sub-committee invites proposals on what an appropriate cap should be, up to a maximum of 100%.</w:t>
      </w:r>
    </w:p>
    <w:p w14:paraId="02D8650F" w14:textId="77777777" w:rsidR="001238F2" w:rsidRPr="00A241F5" w:rsidRDefault="001238F2" w:rsidP="00C22562">
      <w:pPr>
        <w:ind w:left="720" w:rightChars="271" w:right="650"/>
        <w:rPr>
          <w:rFonts w:cs="Arial"/>
          <w:i/>
        </w:rPr>
      </w:pPr>
    </w:p>
    <w:p w14:paraId="42A9A81F" w14:textId="21C4C87A" w:rsidR="001238F2" w:rsidRPr="00A241F5" w:rsidRDefault="001238F2" w:rsidP="00C22562">
      <w:pPr>
        <w:ind w:left="720" w:rightChars="271" w:right="650"/>
        <w:rPr>
          <w:rFonts w:cs="Arial"/>
        </w:rPr>
      </w:pPr>
      <w:r w:rsidRPr="00A241F5">
        <w:rPr>
          <w:rFonts w:cs="Arial"/>
          <w:i/>
        </w:rPr>
        <w:t>The Sub-committee also invites proposals on whether barristers should be subject to the same, or a different, cap and, if different, what that cap should be, up to a maximum of 100%.</w:t>
      </w:r>
      <w:r w:rsidR="00C61F4B" w:rsidRPr="00A241F5">
        <w:rPr>
          <w:rFonts w:cs="Arial"/>
          <w:i/>
        </w:rPr>
        <w:t>"</w:t>
      </w:r>
      <w:r w:rsidRPr="00A241F5">
        <w:rPr>
          <w:rStyle w:val="FootnoteReference"/>
          <w:rFonts w:cs="Arial"/>
          <w:sz w:val="24"/>
        </w:rPr>
        <w:footnoteReference w:id="32"/>
      </w:r>
    </w:p>
    <w:p w14:paraId="01A38589" w14:textId="77777777" w:rsidR="001238F2" w:rsidRPr="00A241F5" w:rsidRDefault="001238F2" w:rsidP="001238F2">
      <w:pPr>
        <w:rPr>
          <w:rFonts w:cs="Arial"/>
        </w:rPr>
      </w:pPr>
    </w:p>
    <w:p w14:paraId="79467BD5" w14:textId="5C3A20C5" w:rsidR="001238F2" w:rsidRPr="00A241F5" w:rsidRDefault="001117EF" w:rsidP="001238F2">
      <w:pPr>
        <w:rPr>
          <w:rFonts w:cs="Arial"/>
        </w:rPr>
      </w:pPr>
      <w:r w:rsidRPr="00A241F5">
        <w:rPr>
          <w:rFonts w:cs="Arial"/>
        </w:rPr>
        <w:t>4.</w:t>
      </w:r>
      <w:r w:rsidR="001238F2" w:rsidRPr="00A241F5">
        <w:rPr>
          <w:rFonts w:cs="Arial"/>
        </w:rPr>
        <w:t>2</w:t>
      </w:r>
      <w:r w:rsidR="001238F2" w:rsidRPr="00A241F5">
        <w:rPr>
          <w:rFonts w:cs="Arial"/>
        </w:rPr>
        <w:tab/>
        <w:t>A substantial majority of Respondents agreed with Recommendation 3.  Where Respondents expressed a specific view on what the appropriate cap should be, the cap ranged from 30% to 100%.  Nevertheless, the majority of those who commented specifically preferred the higher cap of 100%.  Only two Respondents advocated for no cap at all.</w:t>
      </w:r>
    </w:p>
    <w:p w14:paraId="20099AE2" w14:textId="77777777" w:rsidR="001238F2" w:rsidRPr="00A241F5" w:rsidRDefault="001238F2" w:rsidP="001238F2">
      <w:pPr>
        <w:rPr>
          <w:rFonts w:cs="Arial"/>
        </w:rPr>
      </w:pPr>
    </w:p>
    <w:p w14:paraId="2B87A2E6" w14:textId="3D081B34" w:rsidR="001238F2" w:rsidRPr="00A241F5" w:rsidRDefault="001117EF" w:rsidP="001238F2">
      <w:pPr>
        <w:rPr>
          <w:rFonts w:cs="Arial"/>
        </w:rPr>
      </w:pPr>
      <w:r w:rsidRPr="00A241F5">
        <w:rPr>
          <w:rFonts w:cs="Arial"/>
        </w:rPr>
        <w:t>4.</w:t>
      </w:r>
      <w:r w:rsidR="001238F2" w:rsidRPr="00A241F5">
        <w:rPr>
          <w:rFonts w:cs="Arial"/>
        </w:rPr>
        <w:t>3</w:t>
      </w:r>
      <w:r w:rsidR="001238F2" w:rsidRPr="00A241F5">
        <w:rPr>
          <w:rFonts w:cs="Arial"/>
        </w:rPr>
        <w:tab/>
        <w:t>Respondents, including the HKBA, agreed that where barristers entered into CFAs with clients, there was no reason for barristers to be subject to a different cap.</w:t>
      </w:r>
    </w:p>
    <w:p w14:paraId="0D812062" w14:textId="77777777" w:rsidR="001238F2" w:rsidRPr="00A241F5" w:rsidRDefault="001238F2" w:rsidP="001238F2">
      <w:pPr>
        <w:rPr>
          <w:rFonts w:cs="Arial"/>
        </w:rPr>
      </w:pPr>
    </w:p>
    <w:p w14:paraId="2DC40660" w14:textId="77777777" w:rsidR="001238F2" w:rsidRPr="00A241F5" w:rsidRDefault="001238F2" w:rsidP="001238F2">
      <w:pPr>
        <w:rPr>
          <w:rFonts w:cs="Arial"/>
        </w:rPr>
      </w:pPr>
    </w:p>
    <w:p w14:paraId="5435623F" w14:textId="210E50C9" w:rsidR="001238F2" w:rsidRPr="00A241F5" w:rsidRDefault="001238F2" w:rsidP="001238F2">
      <w:pPr>
        <w:pStyle w:val="Heading2"/>
        <w:keepLines/>
        <w:rPr>
          <w:rFonts w:cs="Arial"/>
          <w:i/>
          <w:sz w:val="24"/>
        </w:rPr>
      </w:pPr>
      <w:r w:rsidRPr="00A241F5">
        <w:rPr>
          <w:rFonts w:cs="Arial"/>
          <w:i/>
          <w:sz w:val="24"/>
        </w:rPr>
        <w:t>Comments from Respondents who supported Recommendation 3</w:t>
      </w:r>
    </w:p>
    <w:p w14:paraId="1F06EEC5" w14:textId="77777777" w:rsidR="001238F2" w:rsidRPr="00A241F5" w:rsidRDefault="001238F2" w:rsidP="001238F2">
      <w:pPr>
        <w:keepNext/>
        <w:keepLines/>
        <w:rPr>
          <w:rFonts w:cs="Arial"/>
        </w:rPr>
      </w:pPr>
    </w:p>
    <w:p w14:paraId="6802B3E9" w14:textId="72821D8D" w:rsidR="001238F2" w:rsidRPr="00A241F5" w:rsidRDefault="001117EF" w:rsidP="001238F2">
      <w:pPr>
        <w:rPr>
          <w:rFonts w:cs="Arial"/>
        </w:rPr>
      </w:pPr>
      <w:r w:rsidRPr="00A241F5">
        <w:rPr>
          <w:rFonts w:cs="Arial"/>
        </w:rPr>
        <w:t>4.</w:t>
      </w:r>
      <w:r w:rsidR="001238F2" w:rsidRPr="00A241F5">
        <w:rPr>
          <w:rFonts w:cs="Arial"/>
        </w:rPr>
        <w:t>4</w:t>
      </w:r>
      <w:r w:rsidR="001238F2" w:rsidRPr="00A241F5">
        <w:rPr>
          <w:rFonts w:cs="Arial"/>
        </w:rPr>
        <w:tab/>
        <w:t xml:space="preserve">A clear majority of the Respondents who commented on Recommendation 3 agreed that there should be a cap on the Success Fee, expressed as a percentage of normal or </w:t>
      </w:r>
      <w:r w:rsidR="00C61F4B" w:rsidRPr="00A241F5">
        <w:rPr>
          <w:rFonts w:cs="Arial"/>
        </w:rPr>
        <w:t>"</w:t>
      </w:r>
      <w:r w:rsidR="001238F2" w:rsidRPr="00A241F5">
        <w:rPr>
          <w:rFonts w:cs="Arial"/>
        </w:rPr>
        <w:t>benchmark</w:t>
      </w:r>
      <w:r w:rsidR="00C61F4B" w:rsidRPr="00A241F5">
        <w:rPr>
          <w:rFonts w:cs="Arial"/>
        </w:rPr>
        <w:t>"</w:t>
      </w:r>
      <w:r w:rsidR="001238F2" w:rsidRPr="00A241F5">
        <w:rPr>
          <w:rFonts w:cs="Arial"/>
        </w:rPr>
        <w:t xml:space="preserve"> costs.  </w:t>
      </w:r>
    </w:p>
    <w:p w14:paraId="4ABCE243" w14:textId="77777777" w:rsidR="001238F2" w:rsidRPr="00A241F5" w:rsidRDefault="001238F2" w:rsidP="001238F2">
      <w:pPr>
        <w:rPr>
          <w:rFonts w:cs="Arial"/>
        </w:rPr>
      </w:pPr>
    </w:p>
    <w:p w14:paraId="4B40FE67" w14:textId="5E93859F" w:rsidR="001238F2" w:rsidRPr="00A241F5" w:rsidRDefault="001117EF" w:rsidP="001238F2">
      <w:pPr>
        <w:rPr>
          <w:rFonts w:cs="Arial"/>
        </w:rPr>
      </w:pPr>
      <w:r w:rsidRPr="00A241F5">
        <w:rPr>
          <w:rFonts w:cs="Arial"/>
        </w:rPr>
        <w:t>4.</w:t>
      </w:r>
      <w:r w:rsidR="001238F2" w:rsidRPr="00A241F5">
        <w:rPr>
          <w:rFonts w:cs="Arial"/>
        </w:rPr>
        <w:t>5</w:t>
      </w:r>
      <w:r w:rsidR="001238F2" w:rsidRPr="00A241F5">
        <w:rPr>
          <w:rFonts w:cs="Arial"/>
        </w:rPr>
        <w:tab/>
      </w:r>
      <w:r w:rsidR="001238F2" w:rsidRPr="00A241F5">
        <w:rPr>
          <w:rFonts w:cs="Arial"/>
        </w:rPr>
        <w:tab/>
        <w:t xml:space="preserve">A Government department commented that there should be a cap, and that the appropriate cap should be </w:t>
      </w:r>
      <w:r w:rsidR="00C61F4B" w:rsidRPr="00A241F5">
        <w:rPr>
          <w:rFonts w:cs="Arial"/>
          <w:i/>
        </w:rPr>
        <w:t>"</w:t>
      </w:r>
      <w:r w:rsidR="001238F2" w:rsidRPr="00A241F5">
        <w:rPr>
          <w:rFonts w:cs="Arial"/>
          <w:i/>
        </w:rPr>
        <w:t>decided with reference to the prevailing practice in other jurisdictions (capped at 100% of normal cost in England and Wales and at 25% (excluding disbursements) of legal fee in Australia) and any views from other stakeholders</w:t>
      </w:r>
      <w:r w:rsidR="00C61F4B" w:rsidRPr="00A241F5">
        <w:rPr>
          <w:rFonts w:cs="Arial"/>
          <w:i/>
        </w:rPr>
        <w:t>"</w:t>
      </w:r>
      <w:r w:rsidR="00923002" w:rsidRPr="00A241F5">
        <w:rPr>
          <w:rFonts w:cs="Arial"/>
        </w:rPr>
        <w:t>.</w:t>
      </w:r>
      <w:r w:rsidR="001238F2" w:rsidRPr="00A241F5">
        <w:rPr>
          <w:rFonts w:cs="Arial"/>
        </w:rPr>
        <w:t xml:space="preserve">  This Respondent stated that it would be </w:t>
      </w:r>
      <w:r w:rsidR="00C61F4B" w:rsidRPr="00A241F5">
        <w:rPr>
          <w:rFonts w:cs="Arial"/>
          <w:i/>
        </w:rPr>
        <w:t>"</w:t>
      </w:r>
      <w:r w:rsidR="001238F2" w:rsidRPr="00A241F5">
        <w:rPr>
          <w:rFonts w:cs="Arial"/>
          <w:i/>
        </w:rPr>
        <w:t xml:space="preserve">desirable for the cap to reflect </w:t>
      </w:r>
      <w:r w:rsidR="0065400A" w:rsidRPr="00A241F5">
        <w:rPr>
          <w:rFonts w:cs="Arial"/>
          <w:i/>
        </w:rPr>
        <w:t xml:space="preserve">a </w:t>
      </w:r>
      <w:r w:rsidR="001238F2" w:rsidRPr="00A241F5">
        <w:rPr>
          <w:rFonts w:cs="Arial"/>
          <w:i/>
        </w:rPr>
        <w:t>proper balance between the extent of risk assumption</w:t>
      </w:r>
      <w:r w:rsidRPr="00A241F5">
        <w:rPr>
          <w:rFonts w:cs="Arial"/>
          <w:i/>
        </w:rPr>
        <w:t xml:space="preserve"> </w:t>
      </w:r>
      <w:r w:rsidR="001238F2" w:rsidRPr="00A241F5">
        <w:rPr>
          <w:rFonts w:cs="Arial"/>
          <w:i/>
        </w:rPr>
        <w:t>by lawyers and the remuneration payable to lawyers</w:t>
      </w:r>
      <w:r w:rsidR="00C61F4B" w:rsidRPr="00A241F5">
        <w:rPr>
          <w:rFonts w:cs="Arial"/>
          <w:i/>
        </w:rPr>
        <w:t>"</w:t>
      </w:r>
      <w:r w:rsidR="00923002" w:rsidRPr="00A241F5">
        <w:rPr>
          <w:rFonts w:cs="Arial"/>
        </w:rPr>
        <w:t>.</w:t>
      </w:r>
      <w:r w:rsidR="001238F2" w:rsidRPr="00A241F5">
        <w:rPr>
          <w:rFonts w:cs="Arial"/>
        </w:rPr>
        <w:t xml:space="preserve"> </w:t>
      </w:r>
    </w:p>
    <w:p w14:paraId="176C9BFF" w14:textId="77777777" w:rsidR="001238F2" w:rsidRPr="00A241F5" w:rsidRDefault="001238F2" w:rsidP="001238F2">
      <w:pPr>
        <w:rPr>
          <w:rFonts w:cs="Arial"/>
        </w:rPr>
      </w:pPr>
    </w:p>
    <w:p w14:paraId="3CA952AA" w14:textId="23C9C57F" w:rsidR="001238F2" w:rsidRPr="00A241F5" w:rsidRDefault="001117EF" w:rsidP="001238F2">
      <w:pPr>
        <w:rPr>
          <w:rFonts w:cs="Arial"/>
        </w:rPr>
      </w:pPr>
      <w:r w:rsidRPr="00A241F5">
        <w:rPr>
          <w:rFonts w:cs="Arial"/>
        </w:rPr>
        <w:lastRenderedPageBreak/>
        <w:t>4.</w:t>
      </w:r>
      <w:r w:rsidR="001238F2" w:rsidRPr="00A241F5">
        <w:rPr>
          <w:rFonts w:cs="Arial"/>
        </w:rPr>
        <w:t>6</w:t>
      </w:r>
      <w:r w:rsidR="001238F2" w:rsidRPr="00A241F5">
        <w:rPr>
          <w:rFonts w:cs="Arial"/>
        </w:rPr>
        <w:tab/>
        <w:t xml:space="preserve">Likewise, the Consumer Council also agreed with there being a cap, and would leave it to the legal profession to decide what that cap should be.  It nevertheless noted that the cap should be reasonable and </w:t>
      </w:r>
      <w:r w:rsidR="00C61F4B" w:rsidRPr="00A241F5">
        <w:rPr>
          <w:rFonts w:cs="Arial"/>
          <w:i/>
        </w:rPr>
        <w:t>"</w:t>
      </w:r>
      <w:r w:rsidR="001238F2" w:rsidRPr="00A241F5">
        <w:rPr>
          <w:rFonts w:cs="Arial"/>
          <w:i/>
        </w:rPr>
        <w:t xml:space="preserve">a proportionate return for the consumer who embark </w:t>
      </w:r>
      <w:r w:rsidR="001238F2" w:rsidRPr="00A241F5">
        <w:rPr>
          <w:rFonts w:cs="Arial"/>
        </w:rPr>
        <w:t>[</w:t>
      </w:r>
      <w:r w:rsidR="001238F2" w:rsidRPr="00A241F5">
        <w:rPr>
          <w:rFonts w:cs="Arial"/>
          <w:i/>
        </w:rPr>
        <w:t>sic</w:t>
      </w:r>
      <w:r w:rsidR="001238F2" w:rsidRPr="00A241F5">
        <w:rPr>
          <w:rFonts w:cs="Arial"/>
        </w:rPr>
        <w:t>]</w:t>
      </w:r>
      <w:r w:rsidR="001238F2" w:rsidRPr="00A241F5">
        <w:rPr>
          <w:rFonts w:cs="Arial"/>
          <w:i/>
        </w:rPr>
        <w:t xml:space="preserve"> on such an arrangement with his/her legal counsel should be factors to be taken into account</w:t>
      </w:r>
      <w:r w:rsidR="00C61F4B" w:rsidRPr="00A241F5">
        <w:rPr>
          <w:rFonts w:cs="Arial"/>
          <w:i/>
        </w:rPr>
        <w:t>"</w:t>
      </w:r>
      <w:r w:rsidR="00923002" w:rsidRPr="00A241F5">
        <w:rPr>
          <w:rFonts w:cs="Arial"/>
        </w:rPr>
        <w:t>.</w:t>
      </w:r>
      <w:r w:rsidR="001238F2" w:rsidRPr="00A241F5">
        <w:rPr>
          <w:rFonts w:cs="Arial"/>
        </w:rPr>
        <w:t xml:space="preserve"> </w:t>
      </w:r>
    </w:p>
    <w:p w14:paraId="46D5131B" w14:textId="77777777" w:rsidR="001238F2" w:rsidRPr="00A241F5" w:rsidRDefault="001238F2" w:rsidP="001238F2">
      <w:pPr>
        <w:rPr>
          <w:rFonts w:cs="Arial"/>
        </w:rPr>
      </w:pPr>
    </w:p>
    <w:p w14:paraId="774ADA5B" w14:textId="3E0D7FB2" w:rsidR="001238F2" w:rsidRPr="00A241F5" w:rsidRDefault="001117EF" w:rsidP="001238F2">
      <w:pPr>
        <w:rPr>
          <w:rFonts w:cs="Arial"/>
        </w:rPr>
      </w:pPr>
      <w:r w:rsidRPr="00A241F5">
        <w:rPr>
          <w:rFonts w:cs="Arial"/>
        </w:rPr>
        <w:t>4.</w:t>
      </w:r>
      <w:r w:rsidR="001238F2" w:rsidRPr="00A241F5">
        <w:rPr>
          <w:rFonts w:cs="Arial"/>
        </w:rPr>
        <w:t>7</w:t>
      </w:r>
      <w:r w:rsidR="001238F2" w:rsidRPr="00A241F5">
        <w:rPr>
          <w:rFonts w:cs="Arial"/>
        </w:rPr>
        <w:tab/>
        <w:t xml:space="preserve">A </w:t>
      </w:r>
      <w:r w:rsidR="00530EFB" w:rsidRPr="00A241F5">
        <w:rPr>
          <w:rFonts w:cs="Arial"/>
        </w:rPr>
        <w:t>consumer/public interest group</w:t>
      </w:r>
      <w:r w:rsidR="001238F2" w:rsidRPr="00A241F5">
        <w:rPr>
          <w:rFonts w:cs="Arial"/>
        </w:rPr>
        <w:t xml:space="preserve"> also agreed that there should be a cap, and proposed that the cap be </w:t>
      </w:r>
      <w:r w:rsidR="00C61F4B" w:rsidRPr="00A241F5">
        <w:rPr>
          <w:rFonts w:cs="Arial"/>
          <w:i/>
        </w:rPr>
        <w:t>"</w:t>
      </w:r>
      <w:r w:rsidR="001238F2" w:rsidRPr="00A241F5">
        <w:rPr>
          <w:rFonts w:cs="Arial"/>
          <w:i/>
        </w:rPr>
        <w:t>100% of normal costs</w:t>
      </w:r>
      <w:r w:rsidR="00C61F4B" w:rsidRPr="00A241F5">
        <w:rPr>
          <w:rFonts w:cs="Arial"/>
          <w:i/>
        </w:rPr>
        <w:t>"</w:t>
      </w:r>
      <w:r w:rsidR="001238F2" w:rsidRPr="00A241F5">
        <w:rPr>
          <w:rFonts w:cs="Arial"/>
        </w:rPr>
        <w:t xml:space="preserve">.  This Respondent noted that </w:t>
      </w:r>
      <w:r w:rsidR="00C61F4B" w:rsidRPr="00A241F5">
        <w:rPr>
          <w:rFonts w:cs="Arial"/>
          <w:i/>
        </w:rPr>
        <w:t>"</w:t>
      </w:r>
      <w:r w:rsidR="001238F2" w:rsidRPr="00A241F5">
        <w:rPr>
          <w:rFonts w:cs="Arial"/>
          <w:i/>
        </w:rPr>
        <w:t>applying a cap of 100% does not mean requiring a client to pay the double of the normal costs in every case.  Rather, prior negotiation will take place between the client and the lawyer and the interests of the client hence will not be prejudiced</w:t>
      </w:r>
      <w:r w:rsidR="00923002" w:rsidRPr="00A241F5">
        <w:rPr>
          <w:rFonts w:cs="Arial"/>
        </w:rPr>
        <w:t>.</w:t>
      </w:r>
      <w:r w:rsidR="00C61F4B" w:rsidRPr="00A241F5">
        <w:rPr>
          <w:rFonts w:cs="Arial"/>
          <w:i/>
        </w:rPr>
        <w:t>"</w:t>
      </w:r>
    </w:p>
    <w:p w14:paraId="0DA7D650" w14:textId="77777777" w:rsidR="001238F2" w:rsidRPr="00A241F5" w:rsidRDefault="001238F2" w:rsidP="001238F2">
      <w:pPr>
        <w:rPr>
          <w:rFonts w:cs="Arial"/>
        </w:rPr>
      </w:pPr>
    </w:p>
    <w:p w14:paraId="7AD57B46" w14:textId="4499641B" w:rsidR="001238F2" w:rsidRPr="00A241F5" w:rsidRDefault="001117EF" w:rsidP="001238F2">
      <w:pPr>
        <w:rPr>
          <w:rFonts w:cs="Arial"/>
          <w:i/>
        </w:rPr>
      </w:pPr>
      <w:r w:rsidRPr="00A241F5">
        <w:rPr>
          <w:rFonts w:cs="Arial"/>
        </w:rPr>
        <w:t>4.</w:t>
      </w:r>
      <w:r w:rsidR="001238F2" w:rsidRPr="00A241F5">
        <w:rPr>
          <w:rFonts w:cs="Arial"/>
        </w:rPr>
        <w:t>8</w:t>
      </w:r>
      <w:r w:rsidR="001238F2" w:rsidRPr="00A241F5">
        <w:rPr>
          <w:rFonts w:cs="Arial"/>
        </w:rPr>
        <w:tab/>
        <w:t xml:space="preserve">A law firm that agreed on implementing a cap noted that </w:t>
      </w:r>
      <w:r w:rsidR="00C61F4B" w:rsidRPr="00A241F5">
        <w:rPr>
          <w:rFonts w:cs="Arial"/>
          <w:i/>
        </w:rPr>
        <w:t>"</w:t>
      </w:r>
      <w:r w:rsidR="00F56657" w:rsidRPr="00A241F5">
        <w:rPr>
          <w:rFonts w:cs="Arial"/>
        </w:rPr>
        <w:t>[</w:t>
      </w:r>
      <w:r w:rsidR="00F56657" w:rsidRPr="00A241F5">
        <w:rPr>
          <w:rFonts w:cs="Arial"/>
          <w:i/>
        </w:rPr>
        <w:t>o</w:t>
      </w:r>
      <w:r w:rsidR="00F56657" w:rsidRPr="00A241F5">
        <w:rPr>
          <w:rFonts w:cs="Arial"/>
        </w:rPr>
        <w:t>]</w:t>
      </w:r>
      <w:r w:rsidR="001238F2" w:rsidRPr="00A241F5">
        <w:rPr>
          <w:rFonts w:cs="Arial"/>
          <w:i/>
        </w:rPr>
        <w:t xml:space="preserve">bviously there are good policy reason </w:t>
      </w:r>
      <w:r w:rsidR="001238F2" w:rsidRPr="00A241F5">
        <w:rPr>
          <w:rFonts w:cs="Arial"/>
        </w:rPr>
        <w:t>[</w:t>
      </w:r>
      <w:r w:rsidR="001238F2" w:rsidRPr="00A241F5">
        <w:rPr>
          <w:rFonts w:cs="Arial"/>
          <w:i/>
        </w:rPr>
        <w:t>sic</w:t>
      </w:r>
      <w:r w:rsidR="001238F2" w:rsidRPr="00A241F5">
        <w:rPr>
          <w:rFonts w:cs="Arial"/>
        </w:rPr>
        <w:t xml:space="preserve">] </w:t>
      </w:r>
      <w:r w:rsidR="001238F2" w:rsidRPr="00A241F5">
        <w:rPr>
          <w:rFonts w:cs="Arial"/>
          <w:i/>
        </w:rPr>
        <w:t>for imposing a cap, but setting this cap involves a careful balancing act between the risk of the proliferation of substantially unmeritorious cases (by setting the cap too high) and rendering CFAs unattractive by not permitting risk to be properly priced (by setting the cap too low)</w:t>
      </w:r>
      <w:r w:rsidR="00923002" w:rsidRPr="00A241F5">
        <w:rPr>
          <w:rFonts w:cs="Arial"/>
        </w:rPr>
        <w:t>.</w:t>
      </w:r>
      <w:r w:rsidR="00C61F4B" w:rsidRPr="00A241F5">
        <w:rPr>
          <w:rFonts w:cs="Arial"/>
          <w:i/>
        </w:rPr>
        <w:t>"</w:t>
      </w:r>
      <w:r w:rsidR="001238F2" w:rsidRPr="00A241F5">
        <w:rPr>
          <w:rFonts w:cs="Arial"/>
        </w:rPr>
        <w:t xml:space="preserve">  This Respondent stated that, balancing these considerations, </w:t>
      </w:r>
      <w:r w:rsidR="00C61F4B" w:rsidRPr="00A241F5">
        <w:rPr>
          <w:rFonts w:cs="Arial"/>
          <w:i/>
        </w:rPr>
        <w:t>"</w:t>
      </w:r>
      <w:r w:rsidR="001238F2" w:rsidRPr="00A241F5">
        <w:rPr>
          <w:rFonts w:cs="Arial"/>
          <w:i/>
        </w:rPr>
        <w:t>we favour a higher cap and would suggest following the lead of England and Wales</w:t>
      </w:r>
      <w:r w:rsidR="00923002" w:rsidRPr="00A241F5">
        <w:rPr>
          <w:rFonts w:cs="Arial"/>
        </w:rPr>
        <w:t>.</w:t>
      </w:r>
      <w:r w:rsidR="00C61F4B" w:rsidRPr="00A241F5">
        <w:rPr>
          <w:rFonts w:cs="Arial"/>
          <w:i/>
        </w:rPr>
        <w:t>"</w:t>
      </w:r>
      <w:r w:rsidR="001238F2" w:rsidRPr="00A241F5">
        <w:rPr>
          <w:rFonts w:cs="Arial"/>
        </w:rPr>
        <w:t xml:space="preserve">  The same Respondent did not see any reason for differentiating between barristers and other Lawyers, and also raised an important question about who would be the ultimate arbiter on what are </w:t>
      </w:r>
      <w:r w:rsidR="00C61F4B" w:rsidRPr="00A241F5">
        <w:rPr>
          <w:rFonts w:cs="Arial"/>
        </w:rPr>
        <w:t>"</w:t>
      </w:r>
      <w:r w:rsidR="001238F2" w:rsidRPr="00A241F5">
        <w:rPr>
          <w:rFonts w:cs="Arial"/>
          <w:i/>
        </w:rPr>
        <w:t xml:space="preserve">normal or </w:t>
      </w:r>
      <w:r w:rsidR="00C61F4B" w:rsidRPr="00A241F5">
        <w:rPr>
          <w:rFonts w:cs="Arial"/>
          <w:i/>
        </w:rPr>
        <w:t>'</w:t>
      </w:r>
      <w:r w:rsidR="001238F2" w:rsidRPr="00A241F5">
        <w:rPr>
          <w:rFonts w:cs="Arial"/>
          <w:i/>
        </w:rPr>
        <w:t>benchmark</w:t>
      </w:r>
      <w:r w:rsidR="00C61F4B" w:rsidRPr="00A241F5">
        <w:rPr>
          <w:rFonts w:cs="Arial"/>
          <w:i/>
        </w:rPr>
        <w:t>'</w:t>
      </w:r>
      <w:r w:rsidR="001238F2" w:rsidRPr="00A241F5">
        <w:rPr>
          <w:rFonts w:cs="Arial"/>
          <w:i/>
        </w:rPr>
        <w:t xml:space="preserve"> costs</w:t>
      </w:r>
      <w:r w:rsidR="00C61F4B" w:rsidRPr="00A241F5">
        <w:rPr>
          <w:rFonts w:cs="Arial"/>
        </w:rPr>
        <w:t>"</w:t>
      </w:r>
      <w:r w:rsidR="001238F2" w:rsidRPr="00A241F5">
        <w:rPr>
          <w:rFonts w:cs="Arial"/>
        </w:rPr>
        <w:t xml:space="preserve"> and what, if any, impact an assessment of recoverable costs by the Tribunal would have on this figure.  We address this question below.   </w:t>
      </w:r>
      <w:r w:rsidR="001238F2" w:rsidRPr="00A241F5">
        <w:rPr>
          <w:rFonts w:cs="Arial"/>
          <w:i/>
        </w:rPr>
        <w:t xml:space="preserve"> </w:t>
      </w:r>
    </w:p>
    <w:p w14:paraId="6AE71FD1" w14:textId="77777777" w:rsidR="001238F2" w:rsidRPr="00A241F5" w:rsidRDefault="001238F2" w:rsidP="001238F2">
      <w:pPr>
        <w:rPr>
          <w:rFonts w:cs="Arial"/>
          <w:i/>
        </w:rPr>
      </w:pPr>
    </w:p>
    <w:p w14:paraId="3FBC8AA3" w14:textId="7E54F31B" w:rsidR="001238F2" w:rsidRPr="00A241F5" w:rsidRDefault="001117EF" w:rsidP="001238F2">
      <w:pPr>
        <w:rPr>
          <w:rFonts w:cs="Arial"/>
        </w:rPr>
      </w:pPr>
      <w:r w:rsidRPr="00A241F5">
        <w:rPr>
          <w:rFonts w:cs="Arial"/>
        </w:rPr>
        <w:t>4.</w:t>
      </w:r>
      <w:r w:rsidR="001238F2" w:rsidRPr="00A241F5">
        <w:rPr>
          <w:rFonts w:cs="Arial"/>
        </w:rPr>
        <w:t>9</w:t>
      </w:r>
      <w:r w:rsidR="001238F2" w:rsidRPr="00A241F5">
        <w:rPr>
          <w:rFonts w:cs="Arial"/>
        </w:rPr>
        <w:tab/>
        <w:t xml:space="preserve">Two arbitral institutions also agreed that there should be an appropriate cap, consistent with the position in other jurisdictions.  One institution did not comment specifically on what the cap should be, but noted that it was </w:t>
      </w:r>
      <w:r w:rsidR="00C61F4B" w:rsidRPr="00A241F5">
        <w:rPr>
          <w:rFonts w:cs="Arial"/>
          <w:i/>
        </w:rPr>
        <w:t>"</w:t>
      </w:r>
      <w:r w:rsidR="001238F2" w:rsidRPr="00A241F5">
        <w:rPr>
          <w:rFonts w:cs="Arial"/>
          <w:i/>
        </w:rPr>
        <w:t>important … that such caps and other safeguards are carefully drawn so as not to have the effect of unduly limiting the circumstances in which ORFSs can be used (e</w:t>
      </w:r>
      <w:r w:rsidR="00DF0A99" w:rsidRPr="00A241F5">
        <w:rPr>
          <w:rFonts w:cs="Arial"/>
          <w:i/>
        </w:rPr>
        <w:t>.</w:t>
      </w:r>
      <w:r w:rsidR="001238F2" w:rsidRPr="00A241F5">
        <w:rPr>
          <w:rFonts w:cs="Arial"/>
          <w:i/>
        </w:rPr>
        <w:t>g</w:t>
      </w:r>
      <w:r w:rsidR="00DF0A99" w:rsidRPr="00A241F5">
        <w:rPr>
          <w:rFonts w:cs="Arial"/>
          <w:i/>
        </w:rPr>
        <w:t>.</w:t>
      </w:r>
      <w:r w:rsidR="001238F2" w:rsidRPr="00A241F5">
        <w:rPr>
          <w:rFonts w:cs="Arial"/>
          <w:i/>
        </w:rPr>
        <w:t xml:space="preserve"> by preventing parties and their lawyers from being able to appropriately share the risk and reward of a dispute…</w:t>
      </w:r>
      <w:r w:rsidR="00C61F4B" w:rsidRPr="00A241F5">
        <w:rPr>
          <w:rFonts w:cs="Arial"/>
          <w:i/>
        </w:rPr>
        <w:t>"</w:t>
      </w:r>
      <w:r w:rsidR="001238F2" w:rsidRPr="00A241F5">
        <w:rPr>
          <w:rFonts w:cs="Arial"/>
        </w:rPr>
        <w:t>.  The other institution</w:t>
      </w:r>
      <w:r w:rsidR="00C61F4B" w:rsidRPr="00A241F5">
        <w:rPr>
          <w:rFonts w:cs="Arial"/>
        </w:rPr>
        <w:t>'</w:t>
      </w:r>
      <w:r w:rsidR="001238F2" w:rsidRPr="00A241F5">
        <w:rPr>
          <w:rFonts w:cs="Arial"/>
        </w:rPr>
        <w:t xml:space="preserve">s view was that the </w:t>
      </w:r>
      <w:r w:rsidR="00C61F4B" w:rsidRPr="00A241F5">
        <w:rPr>
          <w:rFonts w:cs="Arial"/>
          <w:i/>
        </w:rPr>
        <w:t>"</w:t>
      </w:r>
      <w:r w:rsidR="001238F2" w:rsidRPr="00A241F5">
        <w:rPr>
          <w:rFonts w:cs="Arial"/>
          <w:i/>
        </w:rPr>
        <w:t>Success Fee should be capped at 75 per cent of normal costs</w:t>
      </w:r>
      <w:r w:rsidR="00C61F4B" w:rsidRPr="00A241F5">
        <w:rPr>
          <w:rFonts w:cs="Arial"/>
          <w:i/>
        </w:rPr>
        <w:t>"</w:t>
      </w:r>
      <w:r w:rsidR="00923002" w:rsidRPr="00A241F5">
        <w:rPr>
          <w:rFonts w:cs="Arial"/>
        </w:rPr>
        <w:t>.</w:t>
      </w:r>
    </w:p>
    <w:p w14:paraId="3F1F76D7" w14:textId="77777777" w:rsidR="001238F2" w:rsidRPr="00A241F5" w:rsidRDefault="001238F2" w:rsidP="001238F2">
      <w:pPr>
        <w:rPr>
          <w:rFonts w:cs="Arial"/>
        </w:rPr>
      </w:pPr>
    </w:p>
    <w:p w14:paraId="351EF7F6" w14:textId="1231D3D4" w:rsidR="001238F2" w:rsidRPr="00A241F5" w:rsidRDefault="001117EF" w:rsidP="001238F2">
      <w:pPr>
        <w:rPr>
          <w:rFonts w:cs="Arial"/>
          <w:i/>
        </w:rPr>
      </w:pPr>
      <w:r w:rsidRPr="00A241F5">
        <w:rPr>
          <w:rFonts w:cs="Arial"/>
        </w:rPr>
        <w:t>4.</w:t>
      </w:r>
      <w:r w:rsidR="001238F2" w:rsidRPr="00A241F5">
        <w:rPr>
          <w:rFonts w:cs="Arial"/>
        </w:rPr>
        <w:t>10</w:t>
      </w:r>
      <w:r w:rsidR="001238F2" w:rsidRPr="00A241F5">
        <w:rPr>
          <w:rFonts w:cs="Arial"/>
        </w:rPr>
        <w:tab/>
        <w:t>Another Respondent took the view that the cap should be higher and, consistent with the position in England and Wales, stated simply that</w:t>
      </w:r>
      <w:r w:rsidR="00DF0A99" w:rsidRPr="00A241F5">
        <w:rPr>
          <w:rFonts w:cs="Arial"/>
        </w:rPr>
        <w:t>:</w:t>
      </w:r>
      <w:r w:rsidR="001238F2" w:rsidRPr="00A241F5">
        <w:rPr>
          <w:rFonts w:cs="Arial"/>
        </w:rPr>
        <w:t xml:space="preserve"> </w:t>
      </w:r>
      <w:r w:rsidR="00C61F4B" w:rsidRPr="00A241F5">
        <w:rPr>
          <w:rFonts w:cs="Arial"/>
          <w:i/>
        </w:rPr>
        <w:t>"</w:t>
      </w:r>
      <w:r w:rsidR="001238F2" w:rsidRPr="00A241F5">
        <w:rPr>
          <w:rFonts w:cs="Arial"/>
          <w:i/>
        </w:rPr>
        <w:t>The appropriate cap should be … up to a maximum of 100%.</w:t>
      </w:r>
      <w:r w:rsidR="00C61F4B" w:rsidRPr="00A241F5">
        <w:rPr>
          <w:rFonts w:cs="Arial"/>
          <w:i/>
        </w:rPr>
        <w:t>"</w:t>
      </w:r>
      <w:r w:rsidR="001238F2" w:rsidRPr="00A241F5">
        <w:rPr>
          <w:rFonts w:cs="Arial"/>
          <w:i/>
        </w:rPr>
        <w:t xml:space="preserve"> </w:t>
      </w:r>
    </w:p>
    <w:p w14:paraId="001B7AC1" w14:textId="77777777" w:rsidR="001238F2" w:rsidRPr="00A241F5" w:rsidRDefault="001238F2" w:rsidP="001238F2">
      <w:pPr>
        <w:rPr>
          <w:rFonts w:cs="Arial"/>
        </w:rPr>
      </w:pPr>
    </w:p>
    <w:p w14:paraId="3940DE2F" w14:textId="236EA80E" w:rsidR="001238F2" w:rsidRPr="00A241F5" w:rsidRDefault="001117EF" w:rsidP="001238F2">
      <w:pPr>
        <w:rPr>
          <w:rFonts w:cs="Arial"/>
        </w:rPr>
      </w:pPr>
      <w:r w:rsidRPr="00A241F5">
        <w:rPr>
          <w:rFonts w:cs="Arial"/>
        </w:rPr>
        <w:t>4.</w:t>
      </w:r>
      <w:r w:rsidR="001238F2" w:rsidRPr="00A241F5">
        <w:rPr>
          <w:rFonts w:cs="Arial"/>
        </w:rPr>
        <w:t>11</w:t>
      </w:r>
      <w:r w:rsidR="001238F2" w:rsidRPr="00A241F5">
        <w:rPr>
          <w:rFonts w:cs="Arial"/>
        </w:rPr>
        <w:tab/>
        <w:t xml:space="preserve">The Law Society also agreed with a cap, and commented that the cap should be 100% for the following reasons: </w:t>
      </w:r>
      <w:r w:rsidR="00C61F4B" w:rsidRPr="00A241F5">
        <w:rPr>
          <w:rFonts w:cs="Arial"/>
          <w:i/>
        </w:rPr>
        <w:t>"</w:t>
      </w:r>
      <w:r w:rsidR="001238F2" w:rsidRPr="00A241F5">
        <w:rPr>
          <w:rFonts w:cs="Arial"/>
          <w:i/>
        </w:rPr>
        <w:t xml:space="preserve">(a) freedom of contract; (b) </w:t>
      </w:r>
      <w:r w:rsidR="002F6BCC" w:rsidRPr="00A241F5">
        <w:rPr>
          <w:rFonts w:cs="Arial"/>
        </w:rPr>
        <w:t>[</w:t>
      </w:r>
      <w:r w:rsidR="002F6BCC" w:rsidRPr="00A241F5">
        <w:rPr>
          <w:rFonts w:cs="Arial"/>
          <w:i/>
        </w:rPr>
        <w:t>the cap</w:t>
      </w:r>
      <w:r w:rsidR="002F6BCC" w:rsidRPr="00A241F5">
        <w:rPr>
          <w:rFonts w:cs="Arial"/>
        </w:rPr>
        <w:t>]</w:t>
      </w:r>
      <w:r w:rsidR="002F6BCC" w:rsidRPr="00A241F5">
        <w:rPr>
          <w:rFonts w:cs="Arial"/>
          <w:i/>
        </w:rPr>
        <w:t xml:space="preserve"> </w:t>
      </w:r>
      <w:r w:rsidR="001238F2" w:rsidRPr="00A241F5">
        <w:rPr>
          <w:rFonts w:cs="Arial"/>
          <w:i/>
        </w:rPr>
        <w:t>only affects claimant and their lawyers, not respondent (assuming not recoverable – see … Recommendation 2 in the above); and (c) lower cap would penalise smaller firms and firms with lower fee scales</w:t>
      </w:r>
      <w:r w:rsidR="00C61F4B" w:rsidRPr="00A241F5">
        <w:rPr>
          <w:rFonts w:cs="Arial"/>
          <w:i/>
        </w:rPr>
        <w:t>"</w:t>
      </w:r>
      <w:r w:rsidR="00923002" w:rsidRPr="00A241F5">
        <w:rPr>
          <w:rFonts w:cs="Arial"/>
        </w:rPr>
        <w:t>.</w:t>
      </w:r>
      <w:r w:rsidR="001238F2" w:rsidRPr="00A241F5">
        <w:rPr>
          <w:rFonts w:cs="Arial"/>
        </w:rPr>
        <w:t xml:space="preserve">  While the HKBA also agreed with a cap, it proposed that the appropriate level should be 50% of </w:t>
      </w:r>
      <w:r w:rsidR="00C61F4B" w:rsidRPr="00A241F5">
        <w:rPr>
          <w:rFonts w:cs="Arial"/>
        </w:rPr>
        <w:t>"</w:t>
      </w:r>
      <w:r w:rsidR="001238F2" w:rsidRPr="00A241F5">
        <w:rPr>
          <w:rFonts w:cs="Arial"/>
        </w:rPr>
        <w:t>benchmark</w:t>
      </w:r>
      <w:r w:rsidR="00C61F4B" w:rsidRPr="00A241F5">
        <w:rPr>
          <w:rFonts w:cs="Arial"/>
        </w:rPr>
        <w:t>"</w:t>
      </w:r>
      <w:r w:rsidR="001238F2" w:rsidRPr="00A241F5">
        <w:rPr>
          <w:rFonts w:cs="Arial"/>
        </w:rPr>
        <w:t xml:space="preserve"> costs. </w:t>
      </w:r>
    </w:p>
    <w:p w14:paraId="08988107" w14:textId="77777777" w:rsidR="001238F2" w:rsidRPr="00A241F5" w:rsidRDefault="001238F2" w:rsidP="001238F2">
      <w:pPr>
        <w:rPr>
          <w:rFonts w:cs="Arial"/>
        </w:rPr>
      </w:pPr>
    </w:p>
    <w:p w14:paraId="5D9AA423" w14:textId="31678200" w:rsidR="001238F2" w:rsidRPr="00A241F5" w:rsidRDefault="001117EF" w:rsidP="001238F2">
      <w:pPr>
        <w:keepNext/>
        <w:keepLines/>
        <w:rPr>
          <w:rFonts w:cs="Arial"/>
        </w:rPr>
      </w:pPr>
      <w:r w:rsidRPr="00A241F5">
        <w:rPr>
          <w:rFonts w:cs="Arial"/>
        </w:rPr>
        <w:lastRenderedPageBreak/>
        <w:t>4.</w:t>
      </w:r>
      <w:r w:rsidR="001238F2" w:rsidRPr="00A241F5">
        <w:rPr>
          <w:rFonts w:cs="Arial"/>
        </w:rPr>
        <w:t>12</w:t>
      </w:r>
      <w:r w:rsidR="001238F2" w:rsidRPr="00A241F5">
        <w:rPr>
          <w:rFonts w:cs="Arial"/>
        </w:rPr>
        <w:tab/>
        <w:t xml:space="preserve">A litigation funder agreed with the 100% cap, noting that </w:t>
      </w:r>
      <w:r w:rsidR="00C61F4B" w:rsidRPr="00A241F5">
        <w:rPr>
          <w:rFonts w:cs="Arial"/>
          <w:i/>
        </w:rPr>
        <w:t>"</w:t>
      </w:r>
      <w:r w:rsidR="001238F2" w:rsidRPr="00A241F5">
        <w:rPr>
          <w:rFonts w:cs="Arial"/>
          <w:i/>
        </w:rPr>
        <w:t>a cap of 100 per cent should enable some lawyers to offer no-win no-fee (or low fee) arrangements which they may not otherwise have offered (and taken the risk of non-payment or a discounted payment) if a lower cap was fixed</w:t>
      </w:r>
      <w:r w:rsidR="00C61F4B" w:rsidRPr="00A241F5">
        <w:rPr>
          <w:rFonts w:cs="Arial"/>
          <w:i/>
        </w:rPr>
        <w:t>"</w:t>
      </w:r>
      <w:r w:rsidR="00923002" w:rsidRPr="00A241F5">
        <w:rPr>
          <w:rFonts w:cs="Arial"/>
        </w:rPr>
        <w:t>.</w:t>
      </w:r>
      <w:r w:rsidR="001238F2" w:rsidRPr="00A241F5">
        <w:rPr>
          <w:rFonts w:cs="Arial"/>
        </w:rPr>
        <w:t xml:space="preserve">  The funder added that, in its view, </w:t>
      </w:r>
      <w:r w:rsidR="00C61F4B" w:rsidRPr="00A241F5">
        <w:rPr>
          <w:rFonts w:cs="Arial"/>
          <w:i/>
        </w:rPr>
        <w:t>"</w:t>
      </w:r>
      <w:r w:rsidR="001238F2" w:rsidRPr="00A241F5">
        <w:rPr>
          <w:rFonts w:cs="Arial"/>
          <w:i/>
        </w:rPr>
        <w:t>most parties in arbitrations in Hong Kong are sophisticated users and it is appropriate to permit the parties and lawyers the autonomy to negotiate the terms of the CFA, including an appropriate Success Fee up to the cap, depending on the circumstances of the case</w:t>
      </w:r>
      <w:r w:rsidR="00C61F4B" w:rsidRPr="00A241F5">
        <w:rPr>
          <w:rFonts w:cs="Arial"/>
          <w:i/>
        </w:rPr>
        <w:t>"</w:t>
      </w:r>
      <w:r w:rsidR="00923002" w:rsidRPr="00A241F5">
        <w:rPr>
          <w:rFonts w:cs="Arial"/>
        </w:rPr>
        <w:t>.</w:t>
      </w:r>
      <w:r w:rsidR="001238F2" w:rsidRPr="00A241F5">
        <w:rPr>
          <w:rFonts w:cs="Arial"/>
        </w:rPr>
        <w:t xml:space="preserve">  The funder concluded that barristers should be subject to the same 100% cap.</w:t>
      </w:r>
      <w:r w:rsidR="001238F2" w:rsidRPr="00A241F5">
        <w:rPr>
          <w:rFonts w:cs="Arial"/>
        </w:rPr>
        <w:br/>
      </w:r>
    </w:p>
    <w:p w14:paraId="6891E29A" w14:textId="04C31386" w:rsidR="00917CD2" w:rsidRPr="00A241F5" w:rsidRDefault="001117EF" w:rsidP="001238F2">
      <w:pPr>
        <w:rPr>
          <w:rFonts w:cs="Arial"/>
        </w:rPr>
      </w:pPr>
      <w:r w:rsidRPr="00A241F5">
        <w:rPr>
          <w:rFonts w:cs="Arial"/>
        </w:rPr>
        <w:t>4.</w:t>
      </w:r>
      <w:r w:rsidR="001238F2" w:rsidRPr="00A241F5">
        <w:rPr>
          <w:rFonts w:cs="Arial"/>
        </w:rPr>
        <w:t>13</w:t>
      </w:r>
      <w:r w:rsidR="001238F2" w:rsidRPr="00A241F5">
        <w:rPr>
          <w:rFonts w:cs="Arial"/>
        </w:rPr>
        <w:tab/>
        <w:t xml:space="preserve">Another Respondent, a law firm, also considered that the maximum Success Fee should be capped at 100% of </w:t>
      </w:r>
      <w:r w:rsidR="00C61F4B" w:rsidRPr="00A241F5">
        <w:rPr>
          <w:rFonts w:cs="Arial"/>
        </w:rPr>
        <w:t>"</w:t>
      </w:r>
      <w:r w:rsidR="001238F2" w:rsidRPr="00A241F5">
        <w:rPr>
          <w:rFonts w:cs="Arial"/>
        </w:rPr>
        <w:t>benchmark</w:t>
      </w:r>
      <w:r w:rsidR="00C61F4B" w:rsidRPr="00A241F5">
        <w:rPr>
          <w:rFonts w:cs="Arial"/>
        </w:rPr>
        <w:t>"</w:t>
      </w:r>
      <w:r w:rsidR="001238F2" w:rsidRPr="00A241F5">
        <w:rPr>
          <w:rFonts w:cs="Arial"/>
        </w:rPr>
        <w:t xml:space="preserve"> costs.  The reasons given were consistent with other Respondents, as follows: </w:t>
      </w:r>
    </w:p>
    <w:p w14:paraId="7CB12360" w14:textId="77777777" w:rsidR="00917CD2" w:rsidRPr="00A241F5" w:rsidRDefault="00917CD2" w:rsidP="001238F2">
      <w:pPr>
        <w:rPr>
          <w:rFonts w:cs="Arial"/>
        </w:rPr>
      </w:pPr>
    </w:p>
    <w:p w14:paraId="699A6F96" w14:textId="3A5F78E3" w:rsidR="00917CD2" w:rsidRPr="00A241F5" w:rsidRDefault="00C61F4B" w:rsidP="00917CD2">
      <w:pPr>
        <w:pStyle w:val="BlockText"/>
      </w:pPr>
      <w:r w:rsidRPr="00A241F5">
        <w:t>"</w:t>
      </w:r>
      <w:r w:rsidR="001238F2" w:rsidRPr="00A241F5">
        <w:t>(a) On the basis that Recommendation 2 (i</w:t>
      </w:r>
      <w:r w:rsidR="00DF0A99" w:rsidRPr="00A241F5">
        <w:t>.</w:t>
      </w:r>
      <w:r w:rsidR="001238F2" w:rsidRPr="00A241F5">
        <w:t>e</w:t>
      </w:r>
      <w:r w:rsidR="00DF0A99" w:rsidRPr="00A241F5">
        <w:t>.</w:t>
      </w:r>
      <w:r w:rsidR="001238F2" w:rsidRPr="00A241F5">
        <w:t xml:space="preserve"> Success Fees and ATE Insurance premium should not be recoverable from a losing respondent) is accepted, clients should be free to negotiate an appropriate level of Success Fee with their Lawyers. </w:t>
      </w:r>
      <w:r w:rsidR="001238F2" w:rsidRPr="00A241F5">
        <w:rPr>
          <w:i w:val="0"/>
        </w:rPr>
        <w:t>[</w:t>
      </w:r>
      <w:r w:rsidR="001238F2" w:rsidRPr="00A241F5">
        <w:t>and</w:t>
      </w:r>
      <w:r w:rsidR="001238F2" w:rsidRPr="00A241F5">
        <w:rPr>
          <w:i w:val="0"/>
        </w:rPr>
        <w:t>]</w:t>
      </w:r>
      <w:r w:rsidR="001238F2" w:rsidRPr="00A241F5">
        <w:t xml:space="preserve"> (b) Due to the nature of international arbitration, Lawyers often work with colleagues in several jurisdictions for complex cases.  London is one such key legal hub where most international firms with international arbitration practice have an office.  Given that the cap for the Success Fee in England and Wales is at 100%, a lower cap for Hong Kong could lead to international law firms switching their profit centre to London and engaging the client from their London office in attempts to circumvent relevant restrictions in Hong Kong and to take advantage of the ambiguity under law regarding the applicable ORFS regime where Lawyers from multiple jurisdictions are engaged under a single retainer</w:t>
      </w:r>
      <w:r w:rsidR="00923002" w:rsidRPr="00A241F5">
        <w:t>.</w:t>
      </w:r>
      <w:r w:rsidRPr="00A241F5">
        <w:t>"</w:t>
      </w:r>
    </w:p>
    <w:p w14:paraId="6BAC8EBF" w14:textId="77777777" w:rsidR="00917CD2" w:rsidRPr="00A241F5" w:rsidRDefault="00917CD2" w:rsidP="001238F2">
      <w:pPr>
        <w:rPr>
          <w:rFonts w:cs="Arial"/>
        </w:rPr>
      </w:pPr>
    </w:p>
    <w:p w14:paraId="1097AE35" w14:textId="4AAC3CB0" w:rsidR="001238F2" w:rsidRPr="00A241F5" w:rsidRDefault="001238F2" w:rsidP="001238F2">
      <w:pPr>
        <w:rPr>
          <w:rFonts w:cs="Arial"/>
        </w:rPr>
      </w:pPr>
      <w:r w:rsidRPr="00A241F5">
        <w:rPr>
          <w:rFonts w:cs="Arial"/>
        </w:rPr>
        <w:t xml:space="preserve">As the law firm put it: </w:t>
      </w:r>
      <w:r w:rsidR="00C61F4B" w:rsidRPr="00A241F5">
        <w:rPr>
          <w:rFonts w:cs="Arial"/>
          <w:i/>
        </w:rPr>
        <w:t>"</w:t>
      </w:r>
      <w:r w:rsidRPr="00A241F5">
        <w:rPr>
          <w:rFonts w:cs="Arial"/>
          <w:i/>
        </w:rPr>
        <w:t>Setting the cap at 100% for Hong Kong will ensure a level playing field for Lawyers in Hong Kong</w:t>
      </w:r>
      <w:r w:rsidR="00923002" w:rsidRPr="00A241F5">
        <w:rPr>
          <w:rFonts w:cs="Arial"/>
        </w:rPr>
        <w:t>.</w:t>
      </w:r>
      <w:r w:rsidR="00C61F4B" w:rsidRPr="00A241F5">
        <w:rPr>
          <w:rFonts w:cs="Arial"/>
          <w:i/>
        </w:rPr>
        <w:t>"</w:t>
      </w:r>
      <w:r w:rsidRPr="00A241F5">
        <w:rPr>
          <w:rFonts w:cs="Arial"/>
          <w:i/>
        </w:rPr>
        <w:t xml:space="preserve"> </w:t>
      </w:r>
      <w:r w:rsidRPr="00A241F5">
        <w:rPr>
          <w:rFonts w:cs="Arial"/>
        </w:rPr>
        <w:t xml:space="preserve">  </w:t>
      </w:r>
      <w:r w:rsidRPr="00A241F5">
        <w:rPr>
          <w:rFonts w:cs="Arial"/>
        </w:rPr>
        <w:tab/>
      </w:r>
    </w:p>
    <w:p w14:paraId="2602D26A" w14:textId="77777777" w:rsidR="001238F2" w:rsidRPr="00A241F5" w:rsidRDefault="001238F2" w:rsidP="001238F2">
      <w:pPr>
        <w:rPr>
          <w:rFonts w:cs="Arial"/>
        </w:rPr>
      </w:pPr>
    </w:p>
    <w:p w14:paraId="554EF7F6" w14:textId="10D909FA" w:rsidR="001238F2" w:rsidRPr="00A241F5" w:rsidRDefault="001117EF" w:rsidP="001238F2">
      <w:pPr>
        <w:rPr>
          <w:rFonts w:cs="Arial"/>
        </w:rPr>
      </w:pPr>
      <w:r w:rsidRPr="00A241F5">
        <w:rPr>
          <w:rFonts w:cs="Arial"/>
        </w:rPr>
        <w:t>4.</w:t>
      </w:r>
      <w:r w:rsidR="001238F2" w:rsidRPr="00A241F5">
        <w:rPr>
          <w:rFonts w:cs="Arial"/>
        </w:rPr>
        <w:t>14</w:t>
      </w:r>
      <w:r w:rsidR="001238F2" w:rsidRPr="00A241F5">
        <w:rPr>
          <w:rFonts w:cs="Arial"/>
        </w:rPr>
        <w:tab/>
      </w:r>
      <w:r w:rsidR="001238F2" w:rsidRPr="00A241F5">
        <w:rPr>
          <w:rFonts w:cs="Arial"/>
        </w:rPr>
        <w:tab/>
        <w:t xml:space="preserve">The same Respondent commented that it preferred to refer to </w:t>
      </w:r>
      <w:r w:rsidR="00C61F4B" w:rsidRPr="00A241F5">
        <w:rPr>
          <w:rFonts w:cs="Arial"/>
        </w:rPr>
        <w:t>"</w:t>
      </w:r>
      <w:r w:rsidR="001238F2" w:rsidRPr="00A241F5">
        <w:rPr>
          <w:rFonts w:cs="Arial"/>
        </w:rPr>
        <w:t>benchmark</w:t>
      </w:r>
      <w:r w:rsidR="00C61F4B" w:rsidRPr="00A241F5">
        <w:rPr>
          <w:rFonts w:cs="Arial"/>
        </w:rPr>
        <w:t>"</w:t>
      </w:r>
      <w:r w:rsidR="001238F2" w:rsidRPr="00A241F5">
        <w:rPr>
          <w:rFonts w:cs="Arial"/>
        </w:rPr>
        <w:t xml:space="preserve"> costs as the reference point for any cap.  The law firm considered that </w:t>
      </w:r>
      <w:r w:rsidR="00C61F4B" w:rsidRPr="00A241F5">
        <w:rPr>
          <w:rFonts w:cs="Arial"/>
        </w:rPr>
        <w:t>"</w:t>
      </w:r>
      <w:r w:rsidR="001238F2" w:rsidRPr="00A241F5">
        <w:rPr>
          <w:rFonts w:cs="Arial"/>
        </w:rPr>
        <w:t>normal</w:t>
      </w:r>
      <w:r w:rsidR="00C61F4B" w:rsidRPr="00A241F5">
        <w:rPr>
          <w:rFonts w:cs="Arial"/>
        </w:rPr>
        <w:t>"</w:t>
      </w:r>
      <w:r w:rsidR="001238F2" w:rsidRPr="00A241F5">
        <w:rPr>
          <w:rFonts w:cs="Arial"/>
        </w:rPr>
        <w:t xml:space="preserve"> costs would be subject to a reasonableness assessment under the </w:t>
      </w:r>
      <w:r w:rsidR="00C61F4B" w:rsidRPr="00A241F5">
        <w:rPr>
          <w:rFonts w:cs="Arial"/>
        </w:rPr>
        <w:t>"</w:t>
      </w:r>
      <w:r w:rsidR="001238F2" w:rsidRPr="00A241F5">
        <w:rPr>
          <w:rFonts w:cs="Arial"/>
        </w:rPr>
        <w:t>costs indemnity rules</w:t>
      </w:r>
      <w:r w:rsidR="00C61F4B" w:rsidRPr="00A241F5">
        <w:rPr>
          <w:rFonts w:cs="Arial"/>
        </w:rPr>
        <w:t>"</w:t>
      </w:r>
      <w:r w:rsidR="001238F2" w:rsidRPr="00A241F5">
        <w:rPr>
          <w:rFonts w:cs="Arial"/>
        </w:rPr>
        <w:t xml:space="preserve">, so removing the reference to </w:t>
      </w:r>
      <w:r w:rsidR="00C61F4B" w:rsidRPr="00A241F5">
        <w:rPr>
          <w:rFonts w:cs="Arial"/>
        </w:rPr>
        <w:t>"</w:t>
      </w:r>
      <w:r w:rsidR="001238F2" w:rsidRPr="00A241F5">
        <w:rPr>
          <w:rFonts w:cs="Arial"/>
        </w:rPr>
        <w:t>normal</w:t>
      </w:r>
      <w:r w:rsidR="00C61F4B" w:rsidRPr="00A241F5">
        <w:rPr>
          <w:rFonts w:cs="Arial"/>
        </w:rPr>
        <w:t>"</w:t>
      </w:r>
      <w:r w:rsidR="001238F2" w:rsidRPr="00A241F5">
        <w:rPr>
          <w:rFonts w:cs="Arial"/>
        </w:rPr>
        <w:t xml:space="preserve"> costs might remove the propensity for unnecessary litigation in particular. </w:t>
      </w:r>
    </w:p>
    <w:p w14:paraId="518B6ED5" w14:textId="77777777" w:rsidR="001238F2" w:rsidRPr="00A241F5" w:rsidRDefault="001238F2" w:rsidP="001238F2">
      <w:pPr>
        <w:rPr>
          <w:rFonts w:cs="Arial"/>
        </w:rPr>
      </w:pPr>
    </w:p>
    <w:p w14:paraId="6D27D2BE" w14:textId="66CC1779" w:rsidR="001238F2" w:rsidRPr="00A241F5" w:rsidRDefault="001117EF" w:rsidP="001238F2">
      <w:pPr>
        <w:rPr>
          <w:rFonts w:cs="Arial"/>
        </w:rPr>
      </w:pPr>
      <w:r w:rsidRPr="00A241F5">
        <w:rPr>
          <w:rFonts w:cs="Arial"/>
        </w:rPr>
        <w:t>4.</w:t>
      </w:r>
      <w:r w:rsidR="001238F2" w:rsidRPr="00A241F5">
        <w:rPr>
          <w:rFonts w:cs="Arial"/>
        </w:rPr>
        <w:t xml:space="preserve">15 </w:t>
      </w:r>
      <w:r w:rsidR="001238F2" w:rsidRPr="00A241F5">
        <w:rPr>
          <w:rFonts w:cs="Arial"/>
        </w:rPr>
        <w:tab/>
        <w:t xml:space="preserve">This law firm saw no reason why barristers should be subject to a different standard or cap, and accordingly proposed that </w:t>
      </w:r>
      <w:r w:rsidR="00C61F4B" w:rsidRPr="00A241F5">
        <w:rPr>
          <w:rFonts w:cs="Arial"/>
          <w:i/>
        </w:rPr>
        <w:t>"</w:t>
      </w:r>
      <w:r w:rsidR="001238F2" w:rsidRPr="00A241F5">
        <w:rPr>
          <w:rFonts w:cs="Arial"/>
          <w:i/>
        </w:rPr>
        <w:t>barristers should be subject to the same cap at 100% of any agreed hourly rate</w:t>
      </w:r>
      <w:r w:rsidR="00C61F4B" w:rsidRPr="00A241F5">
        <w:rPr>
          <w:rFonts w:cs="Arial"/>
          <w:i/>
        </w:rPr>
        <w:t>"</w:t>
      </w:r>
      <w:r w:rsidR="001238F2" w:rsidRPr="00A241F5">
        <w:rPr>
          <w:rFonts w:cs="Arial"/>
        </w:rPr>
        <w:t>.</w:t>
      </w:r>
    </w:p>
    <w:p w14:paraId="2BCCBC69" w14:textId="77777777" w:rsidR="001238F2" w:rsidRPr="00A241F5" w:rsidRDefault="001238F2" w:rsidP="001238F2">
      <w:pPr>
        <w:rPr>
          <w:rFonts w:cs="Arial"/>
        </w:rPr>
      </w:pPr>
    </w:p>
    <w:p w14:paraId="6864C582" w14:textId="03719119" w:rsidR="001238F2" w:rsidRPr="00A241F5" w:rsidRDefault="001117EF" w:rsidP="001238F2">
      <w:pPr>
        <w:rPr>
          <w:rFonts w:cs="Arial"/>
          <w:i/>
        </w:rPr>
      </w:pPr>
      <w:r w:rsidRPr="00A241F5">
        <w:rPr>
          <w:rFonts w:cs="Arial"/>
        </w:rPr>
        <w:t>4.</w:t>
      </w:r>
      <w:r w:rsidR="001238F2" w:rsidRPr="00A241F5">
        <w:rPr>
          <w:rFonts w:cs="Arial"/>
        </w:rPr>
        <w:t>16</w:t>
      </w:r>
      <w:r w:rsidR="001238F2" w:rsidRPr="00A241F5">
        <w:rPr>
          <w:rFonts w:cs="Arial"/>
        </w:rPr>
        <w:tab/>
        <w:t xml:space="preserve">Finally, a chamber of commerce agreed on there being a cap, but suggested a lower cap of 30%: </w:t>
      </w:r>
      <w:r w:rsidR="00C61F4B" w:rsidRPr="00A241F5">
        <w:rPr>
          <w:rFonts w:cs="Arial"/>
          <w:i/>
        </w:rPr>
        <w:t>"</w:t>
      </w:r>
      <w:r w:rsidR="001238F2" w:rsidRPr="00A241F5">
        <w:rPr>
          <w:rFonts w:cs="Arial"/>
          <w:i/>
        </w:rPr>
        <w:t>We suggest that the cap is 30 per cent of normal legal costs (slightly higher than the 25 per cent in Australia, lower than the 100 per cent in England and Wales, and the same percentage as that which we suggest applies to DBAs ...</w:t>
      </w:r>
      <w:r w:rsidR="00B7429A" w:rsidRPr="00A241F5">
        <w:rPr>
          <w:rFonts w:cs="Arial"/>
          <w:i/>
        </w:rPr>
        <w:t xml:space="preserve"> </w:t>
      </w:r>
      <w:r w:rsidR="00486E13" w:rsidRPr="00A241F5">
        <w:rPr>
          <w:rFonts w:cs="Arial"/>
        </w:rPr>
        <w:t>.</w:t>
      </w:r>
      <w:r w:rsidR="00C61F4B" w:rsidRPr="00A241F5">
        <w:rPr>
          <w:rFonts w:cs="Arial"/>
          <w:i/>
        </w:rPr>
        <w:t>"</w:t>
      </w:r>
      <w:r w:rsidR="001238F2" w:rsidRPr="00A241F5">
        <w:rPr>
          <w:rFonts w:cs="Arial"/>
          <w:i/>
        </w:rPr>
        <w:t xml:space="preserve"> </w:t>
      </w:r>
    </w:p>
    <w:p w14:paraId="7CFA035C" w14:textId="77777777" w:rsidR="001238F2" w:rsidRPr="00A241F5" w:rsidRDefault="001238F2" w:rsidP="001238F2">
      <w:pPr>
        <w:rPr>
          <w:rFonts w:cs="Arial"/>
        </w:rPr>
      </w:pPr>
    </w:p>
    <w:p w14:paraId="1E5FD949" w14:textId="77777777" w:rsidR="001238F2" w:rsidRPr="00A241F5" w:rsidRDefault="001238F2" w:rsidP="001238F2">
      <w:pPr>
        <w:rPr>
          <w:rFonts w:cs="Arial"/>
        </w:rPr>
      </w:pPr>
    </w:p>
    <w:p w14:paraId="5E1F788B" w14:textId="3B2B9043" w:rsidR="001238F2" w:rsidRPr="00A241F5" w:rsidRDefault="001238F2" w:rsidP="001238F2">
      <w:pPr>
        <w:pStyle w:val="Heading2"/>
        <w:keepLines/>
        <w:rPr>
          <w:rFonts w:cs="Arial"/>
          <w:i/>
          <w:sz w:val="24"/>
        </w:rPr>
      </w:pPr>
      <w:r w:rsidRPr="00A241F5">
        <w:rPr>
          <w:rFonts w:cs="Arial"/>
          <w:i/>
          <w:sz w:val="24"/>
        </w:rPr>
        <w:lastRenderedPageBreak/>
        <w:t>Comments from Respondents who opposed Recommendation 3</w:t>
      </w:r>
    </w:p>
    <w:p w14:paraId="78606115" w14:textId="77777777" w:rsidR="001238F2" w:rsidRPr="00A241F5" w:rsidRDefault="001238F2" w:rsidP="001238F2">
      <w:pPr>
        <w:keepNext/>
        <w:keepLines/>
        <w:rPr>
          <w:rFonts w:cs="Arial"/>
        </w:rPr>
      </w:pPr>
    </w:p>
    <w:p w14:paraId="247954BF" w14:textId="2BD4CC98" w:rsidR="001238F2" w:rsidRPr="00A241F5" w:rsidRDefault="001117EF" w:rsidP="001238F2">
      <w:pPr>
        <w:widowControl/>
        <w:tabs>
          <w:tab w:val="clear" w:pos="1418"/>
          <w:tab w:val="left" w:pos="1440"/>
        </w:tabs>
        <w:rPr>
          <w:rFonts w:cs="Arial"/>
        </w:rPr>
      </w:pPr>
      <w:r w:rsidRPr="00A241F5">
        <w:rPr>
          <w:rFonts w:cs="Arial"/>
        </w:rPr>
        <w:t>4.</w:t>
      </w:r>
      <w:r w:rsidR="001238F2" w:rsidRPr="00A241F5">
        <w:rPr>
          <w:rFonts w:cs="Arial"/>
        </w:rPr>
        <w:t>17</w:t>
      </w:r>
      <w:r w:rsidR="001238F2" w:rsidRPr="00A241F5">
        <w:rPr>
          <w:rFonts w:cs="Arial"/>
        </w:rPr>
        <w:tab/>
        <w:t xml:space="preserve">Amongst the responses received, two opposed Recommendation 3.  The reasons given were the same, namely that </w:t>
      </w:r>
      <w:r w:rsidR="00C61F4B" w:rsidRPr="00A241F5">
        <w:rPr>
          <w:rFonts w:cs="Arial"/>
          <w:i/>
        </w:rPr>
        <w:t>"</w:t>
      </w:r>
      <w:r w:rsidR="001238F2" w:rsidRPr="00A241F5">
        <w:rPr>
          <w:rFonts w:cs="Arial"/>
          <w:i/>
        </w:rPr>
        <w:t>this is entirely a matter to be agreed by the parties and the lawyers (the solicitors and barristers) involved and any capping would necessarily be arbitrary</w:t>
      </w:r>
      <w:r w:rsidR="00C61F4B" w:rsidRPr="00A241F5">
        <w:rPr>
          <w:rFonts w:cs="Arial"/>
          <w:i/>
        </w:rPr>
        <w:t>"</w:t>
      </w:r>
      <w:r w:rsidR="00923002" w:rsidRPr="00A241F5">
        <w:rPr>
          <w:rFonts w:cs="Arial"/>
        </w:rPr>
        <w:t>.</w:t>
      </w:r>
      <w:r w:rsidR="001238F2" w:rsidRPr="00A241F5">
        <w:rPr>
          <w:rFonts w:cs="Arial"/>
        </w:rPr>
        <w:t xml:space="preserve">  In short, these Respondents (a professional body and an arbitrator/barrister) considered that a cap would be </w:t>
      </w:r>
      <w:r w:rsidR="00C61F4B" w:rsidRPr="00A241F5">
        <w:rPr>
          <w:rFonts w:cs="Arial"/>
          <w:i/>
        </w:rPr>
        <w:t>"</w:t>
      </w:r>
      <w:r w:rsidR="001238F2" w:rsidRPr="00A241F5">
        <w:rPr>
          <w:rFonts w:cs="Arial"/>
          <w:i/>
        </w:rPr>
        <w:t>unnecessary and unworkable</w:t>
      </w:r>
      <w:r w:rsidR="00C61F4B" w:rsidRPr="00A241F5">
        <w:rPr>
          <w:rFonts w:cs="Arial"/>
          <w:i/>
        </w:rPr>
        <w:t>"</w:t>
      </w:r>
      <w:r w:rsidR="00923002" w:rsidRPr="00A241F5">
        <w:rPr>
          <w:rFonts w:cs="Arial"/>
        </w:rPr>
        <w:t>.</w:t>
      </w:r>
    </w:p>
    <w:p w14:paraId="5DB4EF70" w14:textId="77777777" w:rsidR="001238F2" w:rsidRPr="00A241F5" w:rsidRDefault="001238F2" w:rsidP="001238F2">
      <w:pPr>
        <w:widowControl/>
        <w:tabs>
          <w:tab w:val="clear" w:pos="1418"/>
          <w:tab w:val="left" w:pos="1440"/>
        </w:tabs>
        <w:rPr>
          <w:rFonts w:cs="Arial"/>
          <w:sz w:val="20"/>
          <w:szCs w:val="20"/>
        </w:rPr>
      </w:pPr>
    </w:p>
    <w:p w14:paraId="0152838B" w14:textId="77777777" w:rsidR="001238F2" w:rsidRPr="00A241F5" w:rsidRDefault="001238F2" w:rsidP="001238F2">
      <w:pPr>
        <w:widowControl/>
        <w:tabs>
          <w:tab w:val="clear" w:pos="1418"/>
          <w:tab w:val="left" w:pos="1440"/>
        </w:tabs>
        <w:rPr>
          <w:rFonts w:cs="Arial"/>
          <w:sz w:val="20"/>
          <w:szCs w:val="20"/>
        </w:rPr>
      </w:pPr>
    </w:p>
    <w:p w14:paraId="558D1588" w14:textId="77777777" w:rsidR="001238F2" w:rsidRPr="00A241F5" w:rsidRDefault="001238F2" w:rsidP="001238F2">
      <w:pPr>
        <w:pStyle w:val="Heading2"/>
        <w:rPr>
          <w:rFonts w:cs="Arial"/>
        </w:rPr>
      </w:pPr>
      <w:r w:rsidRPr="00A241F5">
        <w:rPr>
          <w:rFonts w:cs="Arial"/>
        </w:rPr>
        <w:t>Our analysis and response</w:t>
      </w:r>
    </w:p>
    <w:p w14:paraId="207FD86D" w14:textId="77777777" w:rsidR="001238F2" w:rsidRPr="00A241F5" w:rsidRDefault="001238F2" w:rsidP="001238F2"/>
    <w:p w14:paraId="639EA09E" w14:textId="18B14042" w:rsidR="001238F2" w:rsidRPr="00A241F5" w:rsidRDefault="001117EF" w:rsidP="001238F2">
      <w:r w:rsidRPr="00A241F5">
        <w:t>4.</w:t>
      </w:r>
      <w:r w:rsidR="001238F2" w:rsidRPr="00A241F5">
        <w:t>18</w:t>
      </w:r>
      <w:r w:rsidR="001238F2" w:rsidRPr="00A241F5">
        <w:tab/>
        <w:t xml:space="preserve">When considering the question of capping the Success Fee, we have considered in detail the submissions received from all Respondents, as well as the approach to addressing this issue in other comparable common law jurisdictions, in particular England and Wales.  Like almost all Respondents who commented on this issue, and for the reasons stated, we agree that there should be a cap.  Indeed, the support for a cap in some form is overwhelming.  As noted in paragraph </w:t>
      </w:r>
      <w:r w:rsidRPr="00A241F5">
        <w:t>4.</w:t>
      </w:r>
      <w:r w:rsidR="001238F2" w:rsidRPr="00A241F5">
        <w:t xml:space="preserve">14 of the Consultation Paper, this is also consistent with the legal regime in other jurisdictions, and we see no reason to depart from that position in Hong Kong.  </w:t>
      </w:r>
    </w:p>
    <w:p w14:paraId="5784B120" w14:textId="77777777" w:rsidR="001238F2" w:rsidRPr="00A241F5" w:rsidRDefault="001238F2" w:rsidP="001238F2"/>
    <w:p w14:paraId="188C0FC4" w14:textId="62FAD295" w:rsidR="001238F2" w:rsidRPr="00A241F5" w:rsidRDefault="001117EF" w:rsidP="001238F2">
      <w:r w:rsidRPr="00A241F5">
        <w:t>4.</w:t>
      </w:r>
      <w:r w:rsidR="001238F2" w:rsidRPr="00A241F5">
        <w:t>19</w:t>
      </w:r>
      <w:r w:rsidR="001238F2" w:rsidRPr="00A241F5">
        <w:tab/>
        <w:t xml:space="preserve">As some Respondents noted, having a cap would not mean that the maximum uplift will be applied in every case.  Clients would still be free to negotiate and agree on the Success Fee with their Lawyers, subject only to the cap, and so this would be consistent with freedom of contract, whilst ensuring at the same time that sufficient safeguards would be in place to protect clients.  </w:t>
      </w:r>
    </w:p>
    <w:p w14:paraId="50457E56" w14:textId="77777777" w:rsidR="001238F2" w:rsidRPr="00A241F5" w:rsidRDefault="001238F2" w:rsidP="001238F2">
      <w:pPr>
        <w:rPr>
          <w:b/>
          <w:i/>
          <w:sz w:val="20"/>
          <w:szCs w:val="20"/>
        </w:rPr>
      </w:pPr>
    </w:p>
    <w:p w14:paraId="150C828F" w14:textId="77777777" w:rsidR="001238F2" w:rsidRPr="00A241F5" w:rsidRDefault="001238F2" w:rsidP="001238F2">
      <w:pPr>
        <w:rPr>
          <w:b/>
          <w:i/>
          <w:sz w:val="20"/>
          <w:szCs w:val="20"/>
        </w:rPr>
      </w:pPr>
    </w:p>
    <w:p w14:paraId="1BF96F35" w14:textId="77777777" w:rsidR="001238F2" w:rsidRPr="00A241F5" w:rsidRDefault="001238F2" w:rsidP="001238F2">
      <w:pPr>
        <w:rPr>
          <w:b/>
          <w:i/>
        </w:rPr>
      </w:pPr>
      <w:r w:rsidRPr="00A241F5">
        <w:rPr>
          <w:b/>
          <w:i/>
        </w:rPr>
        <w:t>Appropriate cap on the Success Fee</w:t>
      </w:r>
    </w:p>
    <w:p w14:paraId="4B2C1421" w14:textId="77777777" w:rsidR="001238F2" w:rsidRPr="00A241F5" w:rsidRDefault="001238F2" w:rsidP="001238F2">
      <w:pPr>
        <w:rPr>
          <w:b/>
        </w:rPr>
      </w:pPr>
    </w:p>
    <w:p w14:paraId="750D0197" w14:textId="4B6D7738" w:rsidR="001238F2" w:rsidRPr="00A241F5" w:rsidRDefault="001117EF" w:rsidP="001238F2">
      <w:pPr>
        <w:rPr>
          <w:rFonts w:cs="Arial"/>
        </w:rPr>
      </w:pPr>
      <w:r w:rsidRPr="00A241F5">
        <w:t>4.</w:t>
      </w:r>
      <w:r w:rsidR="001238F2" w:rsidRPr="00A241F5">
        <w:t>20</w:t>
      </w:r>
      <w:r w:rsidR="001238F2" w:rsidRPr="00A241F5">
        <w:tab/>
        <w:t xml:space="preserve">In terms of what specific cap should be applied, there is again overwhelming support for the same 100% cap as applies in England and Wales.  </w:t>
      </w:r>
      <w:r w:rsidR="001238F2" w:rsidRPr="00A241F5">
        <w:rPr>
          <w:rFonts w:cs="Arial"/>
        </w:rPr>
        <w:t xml:space="preserve">As a number of Respondents noted, the question of what that cap should be is a careful balancing act, with a key concern being to ensure that clients can appropriately share – and price – risk with their Lawyers. </w:t>
      </w:r>
    </w:p>
    <w:p w14:paraId="0F02E243" w14:textId="77777777" w:rsidR="001238F2" w:rsidRPr="00A241F5" w:rsidRDefault="001238F2" w:rsidP="001238F2">
      <w:pPr>
        <w:rPr>
          <w:rFonts w:cs="Arial"/>
        </w:rPr>
      </w:pPr>
    </w:p>
    <w:p w14:paraId="7CAEE719" w14:textId="54E1BFF6" w:rsidR="001238F2" w:rsidRPr="00A241F5" w:rsidRDefault="001117EF" w:rsidP="001238F2">
      <w:pPr>
        <w:rPr>
          <w:rFonts w:cs="Arial"/>
        </w:rPr>
      </w:pPr>
      <w:r w:rsidRPr="00A241F5">
        <w:rPr>
          <w:rFonts w:cs="Arial"/>
        </w:rPr>
        <w:t>4.</w:t>
      </w:r>
      <w:r w:rsidR="001238F2" w:rsidRPr="00A241F5">
        <w:rPr>
          <w:rFonts w:cs="Arial"/>
        </w:rPr>
        <w:t>21</w:t>
      </w:r>
      <w:r w:rsidR="001238F2" w:rsidRPr="00A241F5">
        <w:rPr>
          <w:rFonts w:cs="Arial"/>
        </w:rPr>
        <w:tab/>
        <w:t xml:space="preserve">Only three Respondents advocated for a lower cap: one suggesting 75%, the other one suggesting 50% and the third one suggesting 30% on the basis that this was in-between England and Wales (at 100%) and Australia (at 25%) (which is also consistent with the 30% cap on recoveries for DBAs and the DBA Payment as suggested by this Respondent).  We have considered these submissions carefully.  We note, however, that it is at odds with the many other Respondents who supported a cap of 100%, as well as the tried and tested regime in England and Wales.  There is also no reason, in our view, to align the cap on fees relevant to CFAs, to the cap on </w:t>
      </w:r>
      <w:r w:rsidR="00C61F4B" w:rsidRPr="00A241F5">
        <w:rPr>
          <w:rFonts w:cs="Arial"/>
        </w:rPr>
        <w:t>"</w:t>
      </w:r>
      <w:r w:rsidR="001238F2" w:rsidRPr="00A241F5">
        <w:rPr>
          <w:rFonts w:cs="Arial"/>
        </w:rPr>
        <w:t>financial success</w:t>
      </w:r>
      <w:r w:rsidR="00C61F4B" w:rsidRPr="00A241F5">
        <w:rPr>
          <w:rFonts w:cs="Arial"/>
        </w:rPr>
        <w:t>"</w:t>
      </w:r>
      <w:r w:rsidR="001238F2" w:rsidRPr="00A241F5">
        <w:rPr>
          <w:rFonts w:cs="Arial"/>
        </w:rPr>
        <w:t xml:space="preserve"> relevant to DBAs</w:t>
      </w:r>
      <w:r w:rsidR="00030E0F" w:rsidRPr="00A241F5">
        <w:rPr>
          <w:rFonts w:cs="Arial"/>
        </w:rPr>
        <w:t xml:space="preserve"> (including Hybrid DBAs)</w:t>
      </w:r>
      <w:r w:rsidR="001238F2" w:rsidRPr="00A241F5">
        <w:rPr>
          <w:rFonts w:cs="Arial"/>
        </w:rPr>
        <w:t>, given that the structure</w:t>
      </w:r>
      <w:r w:rsidR="002F6BCC" w:rsidRPr="00A241F5">
        <w:rPr>
          <w:rFonts w:cs="Arial"/>
        </w:rPr>
        <w:t>s</w:t>
      </w:r>
      <w:r w:rsidR="001238F2" w:rsidRPr="00A241F5">
        <w:rPr>
          <w:rFonts w:cs="Arial"/>
        </w:rPr>
        <w:t xml:space="preserve"> of CFAs and DBAs are different. </w:t>
      </w:r>
    </w:p>
    <w:p w14:paraId="5CE4A437" w14:textId="77777777" w:rsidR="001238F2" w:rsidRPr="00A241F5" w:rsidRDefault="001238F2" w:rsidP="001238F2">
      <w:pPr>
        <w:rPr>
          <w:rFonts w:cs="Arial"/>
        </w:rPr>
      </w:pPr>
    </w:p>
    <w:p w14:paraId="4A7CAED1" w14:textId="7D093209" w:rsidR="001238F2" w:rsidRPr="00A241F5" w:rsidRDefault="001117EF" w:rsidP="001238F2">
      <w:pPr>
        <w:widowControl/>
        <w:rPr>
          <w:rFonts w:cs="Arial"/>
        </w:rPr>
      </w:pPr>
      <w:r w:rsidRPr="00A241F5">
        <w:rPr>
          <w:rFonts w:cs="Arial"/>
        </w:rPr>
        <w:t>4.</w:t>
      </w:r>
      <w:r w:rsidR="001238F2" w:rsidRPr="00A241F5">
        <w:rPr>
          <w:rFonts w:cs="Arial"/>
        </w:rPr>
        <w:t>22</w:t>
      </w:r>
      <w:r w:rsidR="001238F2" w:rsidRPr="00A241F5">
        <w:rPr>
          <w:rFonts w:cs="Arial"/>
        </w:rPr>
        <w:tab/>
        <w:t xml:space="preserve">On balance, after considering all the responses received and the position in other comparable jurisdictions, and England and Wales in particular, </w:t>
      </w:r>
      <w:r w:rsidR="001238F2" w:rsidRPr="00A241F5">
        <w:rPr>
          <w:rFonts w:cs="Arial"/>
        </w:rPr>
        <w:lastRenderedPageBreak/>
        <w:t xml:space="preserve">we recommend that there should be a cap of 100% on the Success Fee, which is expressed as a percentage of </w:t>
      </w:r>
      <w:r w:rsidR="00C61F4B" w:rsidRPr="00A241F5">
        <w:rPr>
          <w:rFonts w:cs="Arial"/>
        </w:rPr>
        <w:t>"</w:t>
      </w:r>
      <w:r w:rsidR="001238F2" w:rsidRPr="00A241F5">
        <w:rPr>
          <w:rFonts w:cs="Arial"/>
        </w:rPr>
        <w:t>benchmark</w:t>
      </w:r>
      <w:r w:rsidR="00C61F4B" w:rsidRPr="00A241F5">
        <w:rPr>
          <w:rFonts w:cs="Arial"/>
        </w:rPr>
        <w:t>"</w:t>
      </w:r>
      <w:r w:rsidR="001238F2" w:rsidRPr="00A241F5">
        <w:rPr>
          <w:rFonts w:cs="Arial"/>
        </w:rPr>
        <w:t xml:space="preserve"> (rather than </w:t>
      </w:r>
      <w:r w:rsidR="00C61F4B" w:rsidRPr="00A241F5">
        <w:rPr>
          <w:rFonts w:cs="Arial"/>
        </w:rPr>
        <w:t>"</w:t>
      </w:r>
      <w:r w:rsidR="001238F2" w:rsidRPr="00A241F5">
        <w:rPr>
          <w:rFonts w:cs="Arial"/>
        </w:rPr>
        <w:t>normal</w:t>
      </w:r>
      <w:r w:rsidR="00C61F4B" w:rsidRPr="00A241F5">
        <w:rPr>
          <w:rFonts w:cs="Arial"/>
        </w:rPr>
        <w:t>"</w:t>
      </w:r>
      <w:r w:rsidR="001238F2" w:rsidRPr="00A241F5">
        <w:rPr>
          <w:rFonts w:cs="Arial"/>
        </w:rPr>
        <w:t xml:space="preserve">) costs.  The reference to </w:t>
      </w:r>
      <w:r w:rsidR="00C61F4B" w:rsidRPr="00A241F5">
        <w:rPr>
          <w:rFonts w:cs="Arial"/>
        </w:rPr>
        <w:t>"</w:t>
      </w:r>
      <w:r w:rsidR="001238F2" w:rsidRPr="00A241F5">
        <w:rPr>
          <w:rFonts w:cs="Arial"/>
        </w:rPr>
        <w:t>benchmark</w:t>
      </w:r>
      <w:r w:rsidR="00C61F4B" w:rsidRPr="00A241F5">
        <w:rPr>
          <w:rFonts w:cs="Arial"/>
        </w:rPr>
        <w:t>"</w:t>
      </w:r>
      <w:r w:rsidR="001238F2" w:rsidRPr="00A241F5">
        <w:rPr>
          <w:rFonts w:cs="Arial"/>
        </w:rPr>
        <w:t xml:space="preserve"> costs will be calculated according to the rates agreed by the client with its Lawyer in the CFA, by reference to which any discount and uplift is calculated.</w:t>
      </w:r>
    </w:p>
    <w:p w14:paraId="2C4B63CA" w14:textId="77777777" w:rsidR="001238F2" w:rsidRPr="00A241F5" w:rsidRDefault="001238F2" w:rsidP="001238F2">
      <w:pPr>
        <w:rPr>
          <w:rFonts w:cs="Arial"/>
        </w:rPr>
      </w:pPr>
    </w:p>
    <w:p w14:paraId="63400A62" w14:textId="2EB89979" w:rsidR="001238F2" w:rsidRPr="00A241F5" w:rsidRDefault="001117EF" w:rsidP="001238F2">
      <w:pPr>
        <w:rPr>
          <w:rFonts w:cs="Arial"/>
        </w:rPr>
      </w:pPr>
      <w:r w:rsidRPr="00A241F5">
        <w:rPr>
          <w:rFonts w:cs="Arial"/>
        </w:rPr>
        <w:t>4.</w:t>
      </w:r>
      <w:r w:rsidR="001238F2" w:rsidRPr="00A241F5">
        <w:rPr>
          <w:rFonts w:cs="Arial"/>
        </w:rPr>
        <w:t>23</w:t>
      </w:r>
      <w:r w:rsidR="001238F2" w:rsidRPr="00A241F5">
        <w:rPr>
          <w:rFonts w:cs="Arial"/>
        </w:rPr>
        <w:tab/>
        <w:t xml:space="preserve">To give a worked example, a Lawyer and client may agree in the CFA that the </w:t>
      </w:r>
      <w:r w:rsidR="00C61F4B" w:rsidRPr="00A241F5">
        <w:rPr>
          <w:rFonts w:cs="Arial"/>
        </w:rPr>
        <w:t>"</w:t>
      </w:r>
      <w:r w:rsidR="001238F2" w:rsidRPr="00A241F5">
        <w:rPr>
          <w:rFonts w:cs="Arial"/>
        </w:rPr>
        <w:t>benchmark</w:t>
      </w:r>
      <w:r w:rsidR="00C61F4B" w:rsidRPr="00A241F5">
        <w:rPr>
          <w:rFonts w:cs="Arial"/>
        </w:rPr>
        <w:t>"</w:t>
      </w:r>
      <w:r w:rsidR="001238F2" w:rsidRPr="00A241F5">
        <w:rPr>
          <w:rFonts w:cs="Arial"/>
        </w:rPr>
        <w:t xml:space="preserve"> rate for a partner</w:t>
      </w:r>
      <w:r w:rsidR="00C61F4B" w:rsidRPr="00A241F5">
        <w:rPr>
          <w:rFonts w:cs="Arial"/>
        </w:rPr>
        <w:t>'</w:t>
      </w:r>
      <w:r w:rsidR="001238F2" w:rsidRPr="00A241F5">
        <w:rPr>
          <w:rFonts w:cs="Arial"/>
        </w:rPr>
        <w:t xml:space="preserve">s time is HKD 8,000 per hour, and that 70% of </w:t>
      </w:r>
      <w:r w:rsidR="00C61F4B" w:rsidRPr="00A241F5">
        <w:rPr>
          <w:rFonts w:cs="Arial"/>
        </w:rPr>
        <w:t>"</w:t>
      </w:r>
      <w:r w:rsidR="001238F2" w:rsidRPr="00A241F5">
        <w:rPr>
          <w:rFonts w:cs="Arial"/>
        </w:rPr>
        <w:t>benchmark</w:t>
      </w:r>
      <w:r w:rsidR="00C61F4B" w:rsidRPr="00A241F5">
        <w:rPr>
          <w:rFonts w:cs="Arial"/>
        </w:rPr>
        <w:t>"</w:t>
      </w:r>
      <w:r w:rsidR="001238F2" w:rsidRPr="00A241F5">
        <w:rPr>
          <w:rFonts w:cs="Arial"/>
        </w:rPr>
        <w:t xml:space="preserve"> (HKD 5,600) will be charged as the case progresses, to be uplifted to 120% of </w:t>
      </w:r>
      <w:r w:rsidR="00C61F4B" w:rsidRPr="00A241F5">
        <w:rPr>
          <w:rFonts w:cs="Arial"/>
        </w:rPr>
        <w:t>"</w:t>
      </w:r>
      <w:r w:rsidR="001238F2" w:rsidRPr="00A241F5">
        <w:rPr>
          <w:rFonts w:cs="Arial"/>
        </w:rPr>
        <w:t>benchmark</w:t>
      </w:r>
      <w:r w:rsidR="00C61F4B" w:rsidRPr="00A241F5">
        <w:rPr>
          <w:rFonts w:cs="Arial"/>
        </w:rPr>
        <w:t>"</w:t>
      </w:r>
      <w:r w:rsidR="001238F2" w:rsidRPr="00A241F5">
        <w:rPr>
          <w:rFonts w:cs="Arial"/>
        </w:rPr>
        <w:t xml:space="preserve"> (HKD 9,600) if the matter is successful.  This will be a matter for the client and its Lawyer, noting only that if the 100% cap applied, the maximum that the Lawyer could charge per hour for the partner would be HKD 16,000.  The Success Fee premium - being 20% of HKD 8,000, or HKD 1,600 per hour - could not (absent exceptional circumstances) be passed on to the losing party in the event of success (in accordance with Final Recommendation 2 above).  Inter-party recoverable costs - and the question of whether these have been reasonably incurred - would be assessed against </w:t>
      </w:r>
      <w:r w:rsidR="00C61F4B" w:rsidRPr="00A241F5">
        <w:rPr>
          <w:rFonts w:cs="Arial"/>
        </w:rPr>
        <w:t>"</w:t>
      </w:r>
      <w:r w:rsidR="001238F2" w:rsidRPr="00A241F5">
        <w:rPr>
          <w:rFonts w:cs="Arial"/>
        </w:rPr>
        <w:t>benchmark</w:t>
      </w:r>
      <w:r w:rsidR="00C61F4B" w:rsidRPr="00A241F5">
        <w:rPr>
          <w:rFonts w:cs="Arial"/>
        </w:rPr>
        <w:t>"</w:t>
      </w:r>
      <w:r w:rsidR="001238F2" w:rsidRPr="00A241F5">
        <w:rPr>
          <w:rFonts w:cs="Arial"/>
        </w:rPr>
        <w:t xml:space="preserve"> (without reference to the </w:t>
      </w:r>
      <w:r w:rsidR="00C61F4B" w:rsidRPr="00A241F5">
        <w:rPr>
          <w:rFonts w:cs="Arial"/>
        </w:rPr>
        <w:t>"</w:t>
      </w:r>
      <w:r w:rsidR="001238F2" w:rsidRPr="00A241F5">
        <w:rPr>
          <w:rFonts w:cs="Arial"/>
        </w:rPr>
        <w:t>premium</w:t>
      </w:r>
      <w:r w:rsidR="00C61F4B" w:rsidRPr="00A241F5">
        <w:rPr>
          <w:rFonts w:cs="Arial"/>
        </w:rPr>
        <w:t>"</w:t>
      </w:r>
      <w:r w:rsidR="001238F2" w:rsidRPr="00A241F5">
        <w:rPr>
          <w:rFonts w:cs="Arial"/>
        </w:rPr>
        <w:t xml:space="preserve">) in the usual way. </w:t>
      </w:r>
    </w:p>
    <w:p w14:paraId="2ADB2ED0" w14:textId="77777777" w:rsidR="001238F2" w:rsidRPr="00A241F5" w:rsidRDefault="001238F2" w:rsidP="001238F2">
      <w:pPr>
        <w:rPr>
          <w:rFonts w:cs="Arial"/>
          <w:sz w:val="20"/>
          <w:szCs w:val="20"/>
        </w:rPr>
      </w:pPr>
    </w:p>
    <w:p w14:paraId="359FB9E7" w14:textId="77777777" w:rsidR="001238F2" w:rsidRPr="00A241F5" w:rsidRDefault="001238F2" w:rsidP="001238F2">
      <w:pPr>
        <w:rPr>
          <w:rFonts w:cs="Arial"/>
          <w:sz w:val="20"/>
          <w:szCs w:val="20"/>
        </w:rPr>
      </w:pPr>
    </w:p>
    <w:p w14:paraId="4BABB2AD" w14:textId="38AF9EA1" w:rsidR="001238F2" w:rsidRPr="00A241F5" w:rsidRDefault="009B76AD" w:rsidP="001238F2">
      <w:pPr>
        <w:jc w:val="left"/>
        <w:rPr>
          <w:b/>
          <w:i/>
        </w:rPr>
      </w:pPr>
      <w:r w:rsidRPr="00A241F5">
        <w:rPr>
          <w:b/>
          <w:i/>
        </w:rPr>
        <w:t>S</w:t>
      </w:r>
      <w:r w:rsidR="001238F2" w:rsidRPr="00A241F5">
        <w:rPr>
          <w:b/>
          <w:i/>
        </w:rPr>
        <w:t>ame cap for barristers</w:t>
      </w:r>
    </w:p>
    <w:p w14:paraId="14F275EF" w14:textId="77777777" w:rsidR="001238F2" w:rsidRPr="00A241F5" w:rsidRDefault="001238F2" w:rsidP="001238F2">
      <w:pPr>
        <w:rPr>
          <w:rFonts w:cs="Arial"/>
          <w:sz w:val="22"/>
          <w:szCs w:val="22"/>
        </w:rPr>
      </w:pPr>
    </w:p>
    <w:p w14:paraId="34A3188F" w14:textId="1B5055C2" w:rsidR="001238F2" w:rsidRPr="00A241F5" w:rsidRDefault="001117EF" w:rsidP="001238F2">
      <w:pPr>
        <w:rPr>
          <w:rFonts w:cs="Arial"/>
        </w:rPr>
      </w:pPr>
      <w:r w:rsidRPr="00A241F5">
        <w:rPr>
          <w:rFonts w:cs="Arial"/>
        </w:rPr>
        <w:t>4.</w:t>
      </w:r>
      <w:r w:rsidR="001238F2" w:rsidRPr="00A241F5">
        <w:rPr>
          <w:rFonts w:cs="Arial"/>
        </w:rPr>
        <w:t>24</w:t>
      </w:r>
      <w:r w:rsidR="001238F2" w:rsidRPr="00A241F5">
        <w:rPr>
          <w:rFonts w:cs="Arial"/>
        </w:rPr>
        <w:tab/>
        <w:t xml:space="preserve">As noted in paragraph 4.103 of the Consultation Paper, it was suggested in the report published by the LRC in July 2007 that barristers might have to be subject to a higher maximum uplift than solicitors </w:t>
      </w:r>
      <w:r w:rsidR="00C61F4B" w:rsidRPr="00A241F5">
        <w:rPr>
          <w:rFonts w:cs="Arial"/>
          <w:i/>
        </w:rPr>
        <w:t>"</w:t>
      </w:r>
      <w:r w:rsidR="001238F2" w:rsidRPr="00A241F5">
        <w:rPr>
          <w:rFonts w:cs="Arial"/>
          <w:i/>
        </w:rPr>
        <w:t>to mitigate the difficulty of finding a competent barrister to represent clients who have a worthy cause but require conditional fee financing</w:t>
      </w:r>
      <w:r w:rsidR="00C61F4B" w:rsidRPr="00A241F5">
        <w:rPr>
          <w:rFonts w:cs="Arial"/>
          <w:i/>
        </w:rPr>
        <w:t>"</w:t>
      </w:r>
      <w:r w:rsidR="001238F2" w:rsidRPr="00A241F5">
        <w:rPr>
          <w:rFonts w:cs="Arial"/>
        </w:rPr>
        <w:t>.</w:t>
      </w:r>
      <w:r w:rsidR="001238F2" w:rsidRPr="00A241F5">
        <w:rPr>
          <w:rStyle w:val="FootnoteReference"/>
          <w:rFonts w:cs="Arial"/>
          <w:sz w:val="24"/>
        </w:rPr>
        <w:footnoteReference w:id="33"/>
      </w:r>
      <w:r w:rsidR="001238F2" w:rsidRPr="00A241F5">
        <w:rPr>
          <w:rFonts w:cs="Arial"/>
        </w:rPr>
        <w:t xml:space="preserve"> </w:t>
      </w:r>
    </w:p>
    <w:p w14:paraId="6FF1EB68" w14:textId="77777777" w:rsidR="001238F2" w:rsidRPr="00A241F5" w:rsidRDefault="001238F2" w:rsidP="001238F2">
      <w:pPr>
        <w:rPr>
          <w:rFonts w:cs="Arial"/>
          <w:sz w:val="22"/>
          <w:szCs w:val="22"/>
        </w:rPr>
      </w:pPr>
    </w:p>
    <w:p w14:paraId="2EE0DD3C" w14:textId="239FC885" w:rsidR="001238F2" w:rsidRPr="00A241F5" w:rsidRDefault="001117EF" w:rsidP="001238F2">
      <w:pPr>
        <w:rPr>
          <w:rFonts w:cs="Arial"/>
        </w:rPr>
      </w:pPr>
      <w:r w:rsidRPr="00A241F5">
        <w:rPr>
          <w:rFonts w:cs="Arial"/>
        </w:rPr>
        <w:t>4.</w:t>
      </w:r>
      <w:r w:rsidR="001238F2" w:rsidRPr="00A241F5">
        <w:rPr>
          <w:rFonts w:cs="Arial"/>
        </w:rPr>
        <w:t>25</w:t>
      </w:r>
      <w:r w:rsidR="001238F2" w:rsidRPr="00A241F5">
        <w:rPr>
          <w:rFonts w:cs="Arial"/>
        </w:rPr>
        <w:tab/>
        <w:t>There was, however, no support in the responses received for barristers to be subject to a different cap.  We agree.  As a number of Respondents commented, we have not been able to identify any reason or basis to differentiate between barristers and other Lawyers.  On the contrary, there are cogent grounds to keep the playing field level across all Lawyers, and to have the same cap applicable to all.</w:t>
      </w:r>
    </w:p>
    <w:p w14:paraId="0394025E" w14:textId="77777777" w:rsidR="001238F2" w:rsidRPr="00A241F5" w:rsidRDefault="001238F2" w:rsidP="001238F2">
      <w:pPr>
        <w:rPr>
          <w:rFonts w:cs="Arial"/>
          <w:sz w:val="22"/>
          <w:szCs w:val="22"/>
        </w:rPr>
      </w:pPr>
    </w:p>
    <w:p w14:paraId="602B9322" w14:textId="52C6D440" w:rsidR="001238F2" w:rsidRPr="00A241F5" w:rsidRDefault="001117EF" w:rsidP="00116F89">
      <w:pPr>
        <w:spacing w:after="240"/>
        <w:rPr>
          <w:rFonts w:cs="Arial"/>
        </w:rPr>
      </w:pPr>
      <w:r w:rsidRPr="00A241F5">
        <w:rPr>
          <w:rFonts w:cs="Arial"/>
        </w:rPr>
        <w:t>4.</w:t>
      </w:r>
      <w:r w:rsidR="001238F2" w:rsidRPr="00A241F5">
        <w:rPr>
          <w:rFonts w:cs="Arial"/>
        </w:rPr>
        <w:t>26</w:t>
      </w:r>
      <w:r w:rsidR="001238F2" w:rsidRPr="00A241F5">
        <w:rPr>
          <w:rFonts w:cs="Arial"/>
        </w:rPr>
        <w:tab/>
        <w:t>We therefore conclude that barristers instructed on a CFA basis should be subject to the same cap as other Lawyers.</w:t>
      </w:r>
    </w:p>
    <w:p w14:paraId="777BA4DD" w14:textId="77777777" w:rsidR="001238F2" w:rsidRPr="00A241F5" w:rsidRDefault="001238F2" w:rsidP="007E5284">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t>Final Recommendation 3</w:t>
      </w:r>
    </w:p>
    <w:p w14:paraId="5D70A7B3" w14:textId="77777777" w:rsidR="001238F2" w:rsidRPr="00A241F5" w:rsidRDefault="001238F2" w:rsidP="007E5284">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45DE60B5" w14:textId="77777777" w:rsidR="001238F2" w:rsidRPr="00A241F5" w:rsidRDefault="001238F2" w:rsidP="007E5284">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rPr>
          <w:rFonts w:cs="Arial"/>
        </w:rPr>
      </w:pPr>
      <w:r w:rsidRPr="00A241F5">
        <w:rPr>
          <w:rFonts w:cs="Arial"/>
        </w:rPr>
        <w:t>Where a CFA is in place, we recommend that:</w:t>
      </w:r>
    </w:p>
    <w:p w14:paraId="7F30E20E" w14:textId="77777777" w:rsidR="001238F2" w:rsidRPr="00A241F5" w:rsidRDefault="001238F2" w:rsidP="007E5284">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115D3F48" w14:textId="062D6053" w:rsidR="001238F2" w:rsidRPr="00A241F5" w:rsidRDefault="001238F2" w:rsidP="007E5284">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(a)</w:t>
      </w:r>
      <w:r w:rsidRPr="00A241F5">
        <w:rPr>
          <w:rFonts w:cs="Arial"/>
        </w:rPr>
        <w:tab/>
        <w:t xml:space="preserve">there should be a cap on the Success Fee of 100% of </w:t>
      </w:r>
      <w:r w:rsidR="00C61F4B" w:rsidRPr="00A241F5">
        <w:rPr>
          <w:rFonts w:cs="Arial"/>
        </w:rPr>
        <w:t>"</w:t>
      </w:r>
      <w:r w:rsidRPr="00A241F5">
        <w:rPr>
          <w:rFonts w:cs="Arial"/>
        </w:rPr>
        <w:t>benchmark</w:t>
      </w:r>
      <w:r w:rsidR="00C61F4B" w:rsidRPr="00A241F5">
        <w:rPr>
          <w:rFonts w:cs="Arial"/>
        </w:rPr>
        <w:t>"</w:t>
      </w:r>
      <w:r w:rsidRPr="00A241F5">
        <w:rPr>
          <w:rFonts w:cs="Arial"/>
        </w:rPr>
        <w:t xml:space="preserve"> costs; and</w:t>
      </w:r>
    </w:p>
    <w:p w14:paraId="41515AF0" w14:textId="77777777" w:rsidR="001238F2" w:rsidRPr="00A241F5" w:rsidRDefault="001238F2" w:rsidP="007E5284">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39079661" w14:textId="5B0844AE" w:rsidR="001238F2" w:rsidRPr="00A241F5" w:rsidRDefault="001238F2" w:rsidP="007E5284">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(b)</w:t>
      </w:r>
      <w:r w:rsidRPr="00A241F5">
        <w:rPr>
          <w:rFonts w:cs="Arial"/>
        </w:rPr>
        <w:tab/>
        <w:t>barristers should be subject to the same cap in such circumstances.</w:t>
      </w:r>
    </w:p>
    <w:p w14:paraId="7320DF5A" w14:textId="77777777" w:rsidR="001238F2" w:rsidRPr="00A241F5" w:rsidRDefault="001238F2" w:rsidP="007E5284">
      <w:pPr>
        <w:spacing w:after="240"/>
        <w:ind w:left="1440" w:hanging="720"/>
        <w:rPr>
          <w:rFonts w:cs="Arial"/>
        </w:rPr>
        <w:sectPr w:rsidR="001238F2" w:rsidRPr="00A241F5" w:rsidSect="00AC7FE5">
          <w:footnotePr>
            <w:numRestart w:val="eachSect"/>
          </w:footnotePr>
          <w:pgSz w:w="11909" w:h="16834" w:code="9"/>
          <w:pgMar w:top="1440" w:right="1800" w:bottom="1440" w:left="1800" w:header="720" w:footer="720" w:gutter="0"/>
          <w:cols w:space="425"/>
          <w:docGrid w:linePitch="360"/>
        </w:sectPr>
      </w:pPr>
    </w:p>
    <w:p w14:paraId="4F2570E9" w14:textId="0F41CB39" w:rsidR="001238F2" w:rsidRPr="00A241F5" w:rsidRDefault="00070C53" w:rsidP="001117EF">
      <w:pPr>
        <w:pStyle w:val="Heading1"/>
      </w:pPr>
      <w:bookmarkStart w:id="17" w:name="Chapter05"/>
      <w:bookmarkEnd w:id="17"/>
      <w:r w:rsidRPr="00A241F5">
        <w:lastRenderedPageBreak/>
        <w:t>Chapter 5</w:t>
      </w:r>
    </w:p>
    <w:p w14:paraId="6D4CEC32" w14:textId="33A328E2" w:rsidR="001238F2" w:rsidRPr="00A241F5" w:rsidRDefault="001238F2" w:rsidP="001238F2">
      <w:pPr>
        <w:pStyle w:val="Heading1"/>
        <w:rPr>
          <w:rFonts w:cs="Arial"/>
          <w:sz w:val="32"/>
          <w:szCs w:val="32"/>
        </w:rPr>
      </w:pPr>
    </w:p>
    <w:p w14:paraId="44CFE6DF" w14:textId="6B8D8F6E" w:rsidR="009A08AA" w:rsidRPr="00A241F5" w:rsidRDefault="002F6BCC" w:rsidP="001117EF">
      <w:pPr>
        <w:pStyle w:val="Heading1"/>
      </w:pPr>
      <w:r w:rsidRPr="00A241F5">
        <w:t>Lifting p</w:t>
      </w:r>
      <w:r w:rsidR="001238F2" w:rsidRPr="00A241F5">
        <w:t xml:space="preserve">rohibitions on </w:t>
      </w:r>
      <w:r w:rsidRPr="00A241F5">
        <w:t xml:space="preserve">the </w:t>
      </w:r>
      <w:r w:rsidR="001238F2" w:rsidRPr="00A241F5">
        <w:t xml:space="preserve">use of </w:t>
      </w:r>
    </w:p>
    <w:p w14:paraId="29CB51F4" w14:textId="30C45F94" w:rsidR="001238F2" w:rsidRPr="00A241F5" w:rsidRDefault="001238F2" w:rsidP="001117EF">
      <w:pPr>
        <w:pStyle w:val="Heading1"/>
      </w:pPr>
      <w:r w:rsidRPr="00A241F5">
        <w:t xml:space="preserve">DBAs </w:t>
      </w:r>
      <w:r w:rsidR="00CF5393" w:rsidRPr="00A241F5">
        <w:t xml:space="preserve">by Lawyers </w:t>
      </w:r>
      <w:r w:rsidRPr="00A241F5">
        <w:t xml:space="preserve">in Arbitration </w:t>
      </w:r>
    </w:p>
    <w:p w14:paraId="7813B6E2" w14:textId="35B73184" w:rsidR="001238F2" w:rsidRPr="00A241F5" w:rsidRDefault="001238F2" w:rsidP="001238F2">
      <w:pPr>
        <w:rPr>
          <w:rFonts w:cs="Arial"/>
        </w:rPr>
      </w:pPr>
      <w:r w:rsidRPr="00A241F5">
        <w:rPr>
          <w:rFonts w:cs="Arial"/>
          <w:lang w:eastAsia="x-none"/>
        </w:rPr>
        <w:t>_______________________</w:t>
      </w:r>
      <w:r w:rsidR="009A08AA" w:rsidRPr="00A241F5">
        <w:rPr>
          <w:rFonts w:cs="Arial"/>
        </w:rPr>
        <w:t>_______________________</w:t>
      </w:r>
    </w:p>
    <w:p w14:paraId="275BF39D" w14:textId="77777777" w:rsidR="001238F2" w:rsidRPr="00A241F5" w:rsidRDefault="001238F2" w:rsidP="001238F2">
      <w:pPr>
        <w:rPr>
          <w:rFonts w:cs="Arial"/>
        </w:rPr>
      </w:pPr>
    </w:p>
    <w:p w14:paraId="0D9D9D17" w14:textId="77777777" w:rsidR="001238F2" w:rsidRPr="00A241F5" w:rsidRDefault="001238F2" w:rsidP="001238F2">
      <w:pPr>
        <w:rPr>
          <w:rFonts w:cs="Arial"/>
        </w:rPr>
      </w:pPr>
    </w:p>
    <w:p w14:paraId="72A020AB" w14:textId="77777777" w:rsidR="001238F2" w:rsidRPr="00A241F5" w:rsidRDefault="001238F2" w:rsidP="001238F2">
      <w:pPr>
        <w:rPr>
          <w:rFonts w:cs="Arial"/>
        </w:rPr>
      </w:pPr>
    </w:p>
    <w:p w14:paraId="04122B7F" w14:textId="2D181958" w:rsidR="001238F2" w:rsidRPr="00A241F5" w:rsidRDefault="001238F2" w:rsidP="001238F2">
      <w:pPr>
        <w:pStyle w:val="Heading2"/>
        <w:rPr>
          <w:rFonts w:cs="Arial"/>
        </w:rPr>
      </w:pPr>
      <w:r w:rsidRPr="00A241F5">
        <w:rPr>
          <w:rFonts w:cs="Arial"/>
        </w:rPr>
        <w:t>Responses to the Sub-committee</w:t>
      </w:r>
      <w:r w:rsidR="00C61F4B" w:rsidRPr="00A241F5">
        <w:rPr>
          <w:rFonts w:cs="Arial"/>
        </w:rPr>
        <w:t>'</w:t>
      </w:r>
      <w:r w:rsidRPr="00A241F5">
        <w:rPr>
          <w:rFonts w:cs="Arial"/>
        </w:rPr>
        <w:t>s Recommendation 4</w:t>
      </w:r>
    </w:p>
    <w:p w14:paraId="481B65DA" w14:textId="77777777" w:rsidR="001238F2" w:rsidRPr="00A241F5" w:rsidRDefault="001238F2" w:rsidP="001238F2">
      <w:pPr>
        <w:rPr>
          <w:rFonts w:cs="Arial"/>
        </w:rPr>
      </w:pPr>
    </w:p>
    <w:p w14:paraId="5E1F374E" w14:textId="59ECB354" w:rsidR="001238F2" w:rsidRPr="00A241F5" w:rsidRDefault="009A08AA" w:rsidP="001238F2">
      <w:pPr>
        <w:rPr>
          <w:rFonts w:cs="Arial"/>
          <w:i/>
        </w:rPr>
      </w:pPr>
      <w:r w:rsidRPr="00A241F5">
        <w:rPr>
          <w:rFonts w:cs="Arial"/>
        </w:rPr>
        <w:t>5.</w:t>
      </w:r>
      <w:r w:rsidR="001238F2" w:rsidRPr="00A241F5">
        <w:rPr>
          <w:rFonts w:cs="Arial"/>
        </w:rPr>
        <w:t>1</w:t>
      </w:r>
      <w:r w:rsidR="001238F2" w:rsidRPr="00A241F5">
        <w:rPr>
          <w:rFonts w:cs="Arial"/>
        </w:rPr>
        <w:tab/>
      </w:r>
      <w:r w:rsidR="001238F2" w:rsidRPr="00A241F5">
        <w:rPr>
          <w:rFonts w:cs="Arial"/>
        </w:rPr>
        <w:tab/>
        <w:t>This Chapter discusses the responses regarding Recommendation 4 in the Consultation Paper:</w:t>
      </w:r>
      <w:r w:rsidR="001238F2" w:rsidRPr="00A241F5">
        <w:rPr>
          <w:rFonts w:cs="Arial"/>
          <w:i/>
        </w:rPr>
        <w:t xml:space="preserve"> </w:t>
      </w:r>
    </w:p>
    <w:p w14:paraId="6E99A6BE" w14:textId="77777777" w:rsidR="001238F2" w:rsidRPr="00A241F5" w:rsidRDefault="001238F2" w:rsidP="001238F2">
      <w:pPr>
        <w:rPr>
          <w:rFonts w:cs="Arial"/>
          <w:i/>
        </w:rPr>
      </w:pPr>
    </w:p>
    <w:p w14:paraId="179EA716" w14:textId="5EA76FC0" w:rsidR="001238F2" w:rsidRPr="00A241F5" w:rsidRDefault="00C61F4B" w:rsidP="00C22562">
      <w:pPr>
        <w:ind w:left="720" w:rightChars="271" w:right="650"/>
        <w:rPr>
          <w:rFonts w:cs="Arial"/>
        </w:rPr>
      </w:pPr>
      <w:r w:rsidRPr="00A241F5">
        <w:rPr>
          <w:rFonts w:cs="Arial"/>
          <w:i/>
        </w:rPr>
        <w:t>"</w:t>
      </w:r>
      <w:r w:rsidR="001238F2" w:rsidRPr="00A241F5">
        <w:rPr>
          <w:rFonts w:cs="Arial"/>
          <w:i/>
        </w:rPr>
        <w:t>The Sub-committee recommends that prohibitions on the use by Lawyers of DBAs in Arbitration should be lifted, so that Lawyers may use DBAs for Arbitration.</w:t>
      </w:r>
      <w:r w:rsidRPr="00A241F5">
        <w:rPr>
          <w:rFonts w:cs="Arial"/>
          <w:i/>
        </w:rPr>
        <w:t>"</w:t>
      </w:r>
      <w:r w:rsidR="001238F2" w:rsidRPr="00A241F5">
        <w:rPr>
          <w:rStyle w:val="FootnoteReference"/>
          <w:rFonts w:cs="Arial"/>
          <w:sz w:val="24"/>
        </w:rPr>
        <w:footnoteReference w:id="34"/>
      </w:r>
    </w:p>
    <w:p w14:paraId="3C7CA560" w14:textId="77777777" w:rsidR="001238F2" w:rsidRPr="00A241F5" w:rsidRDefault="001238F2" w:rsidP="001238F2">
      <w:pPr>
        <w:rPr>
          <w:rFonts w:cs="Arial"/>
        </w:rPr>
      </w:pPr>
    </w:p>
    <w:p w14:paraId="14E11810" w14:textId="498E48E9" w:rsidR="001238F2" w:rsidRPr="00A241F5" w:rsidRDefault="009A08AA" w:rsidP="001238F2">
      <w:pPr>
        <w:rPr>
          <w:rFonts w:cs="Arial"/>
        </w:rPr>
      </w:pPr>
      <w:r w:rsidRPr="00A241F5">
        <w:rPr>
          <w:rFonts w:cs="Arial"/>
        </w:rPr>
        <w:t>5.</w:t>
      </w:r>
      <w:r w:rsidR="001238F2" w:rsidRPr="00A241F5">
        <w:rPr>
          <w:rFonts w:cs="Arial"/>
        </w:rPr>
        <w:t>2</w:t>
      </w:r>
      <w:r w:rsidR="001238F2" w:rsidRPr="00A241F5">
        <w:rPr>
          <w:rFonts w:cs="Arial"/>
        </w:rPr>
        <w:tab/>
      </w:r>
      <w:r w:rsidR="001238F2" w:rsidRPr="00A241F5">
        <w:rPr>
          <w:rFonts w:cs="Arial"/>
        </w:rPr>
        <w:tab/>
        <w:t>Of the responses received, the vast majority of them were supportive of Recommendation 4.</w:t>
      </w:r>
    </w:p>
    <w:p w14:paraId="1A64DC88" w14:textId="77777777" w:rsidR="001238F2" w:rsidRPr="00A241F5" w:rsidRDefault="001238F2" w:rsidP="001238F2">
      <w:pPr>
        <w:rPr>
          <w:rFonts w:cs="Arial"/>
        </w:rPr>
      </w:pPr>
    </w:p>
    <w:p w14:paraId="2A6D0228" w14:textId="77777777" w:rsidR="001238F2" w:rsidRPr="00A241F5" w:rsidRDefault="001238F2" w:rsidP="001238F2">
      <w:pPr>
        <w:rPr>
          <w:rFonts w:cs="Arial"/>
        </w:rPr>
      </w:pPr>
    </w:p>
    <w:p w14:paraId="32F88D93" w14:textId="0913A99B" w:rsidR="001238F2" w:rsidRPr="00A241F5" w:rsidRDefault="001238F2" w:rsidP="001238F2">
      <w:pPr>
        <w:pStyle w:val="Heading2"/>
        <w:widowControl/>
        <w:tabs>
          <w:tab w:val="clear" w:pos="1418"/>
          <w:tab w:val="left" w:pos="1440"/>
        </w:tabs>
        <w:rPr>
          <w:rFonts w:cs="Arial"/>
          <w:i/>
          <w:sz w:val="24"/>
        </w:rPr>
      </w:pPr>
      <w:r w:rsidRPr="00A241F5">
        <w:rPr>
          <w:rFonts w:cs="Arial"/>
          <w:i/>
          <w:sz w:val="24"/>
        </w:rPr>
        <w:t xml:space="preserve">Comments from Respondents who supported </w:t>
      </w:r>
      <w:r w:rsidR="00043E55" w:rsidRPr="00A241F5">
        <w:rPr>
          <w:rFonts w:cs="Arial"/>
          <w:i/>
          <w:sz w:val="24"/>
        </w:rPr>
        <w:t>R</w:t>
      </w:r>
      <w:r w:rsidRPr="00A241F5">
        <w:rPr>
          <w:rFonts w:cs="Arial"/>
          <w:i/>
          <w:sz w:val="24"/>
        </w:rPr>
        <w:t>ecommendation</w:t>
      </w:r>
      <w:r w:rsidR="00043E55" w:rsidRPr="00A241F5">
        <w:rPr>
          <w:rFonts w:cs="Arial"/>
          <w:i/>
          <w:sz w:val="24"/>
        </w:rPr>
        <w:t xml:space="preserve"> 4</w:t>
      </w:r>
    </w:p>
    <w:p w14:paraId="045C2077" w14:textId="77777777" w:rsidR="001238F2" w:rsidRPr="00A241F5" w:rsidRDefault="001238F2" w:rsidP="001238F2">
      <w:pPr>
        <w:widowControl/>
        <w:tabs>
          <w:tab w:val="clear" w:pos="1418"/>
          <w:tab w:val="left" w:pos="1440"/>
        </w:tabs>
        <w:rPr>
          <w:rFonts w:cs="Arial"/>
        </w:rPr>
      </w:pPr>
    </w:p>
    <w:p w14:paraId="5D562376" w14:textId="24979617" w:rsidR="001238F2" w:rsidRPr="00A241F5" w:rsidRDefault="009A08AA" w:rsidP="001238F2">
      <w:pPr>
        <w:widowControl/>
        <w:tabs>
          <w:tab w:val="clear" w:pos="1418"/>
          <w:tab w:val="left" w:pos="1440"/>
        </w:tabs>
        <w:rPr>
          <w:rFonts w:cs="Arial"/>
        </w:rPr>
      </w:pPr>
      <w:r w:rsidRPr="00A241F5">
        <w:rPr>
          <w:rFonts w:cs="Arial"/>
        </w:rPr>
        <w:t>5.</w:t>
      </w:r>
      <w:r w:rsidR="001238F2" w:rsidRPr="00A241F5">
        <w:rPr>
          <w:rFonts w:cs="Arial"/>
        </w:rPr>
        <w:t>3</w:t>
      </w:r>
      <w:r w:rsidR="001238F2" w:rsidRPr="00A241F5">
        <w:rPr>
          <w:rFonts w:cs="Arial"/>
        </w:rPr>
        <w:tab/>
        <w:t xml:space="preserve">All but one of the submissions that commented on Recommendation 4 supported </w:t>
      </w:r>
      <w:r w:rsidR="0048583A" w:rsidRPr="00A241F5">
        <w:rPr>
          <w:rFonts w:cs="Arial"/>
        </w:rPr>
        <w:t>the r</w:t>
      </w:r>
      <w:r w:rsidR="001238F2" w:rsidRPr="00A241F5">
        <w:rPr>
          <w:rFonts w:cs="Arial"/>
        </w:rPr>
        <w:t>ecommendation.</w:t>
      </w:r>
      <w:r w:rsidR="001238F2" w:rsidRPr="00A241F5">
        <w:rPr>
          <w:rFonts w:cs="Arial"/>
          <w:vertAlign w:val="superscript"/>
        </w:rPr>
        <w:footnoteReference w:id="35"/>
      </w:r>
      <w:r w:rsidR="001238F2" w:rsidRPr="00A241F5">
        <w:rPr>
          <w:rFonts w:cs="Arial"/>
        </w:rPr>
        <w:t xml:space="preserve">  Those in favour included </w:t>
      </w:r>
      <w:r w:rsidR="009B21EB" w:rsidRPr="00A241F5">
        <w:rPr>
          <w:rFonts w:cs="Arial"/>
        </w:rPr>
        <w:t xml:space="preserve">an </w:t>
      </w:r>
      <w:r w:rsidR="001238F2" w:rsidRPr="00A241F5">
        <w:rPr>
          <w:rFonts w:cs="Arial"/>
        </w:rPr>
        <w:t>arbitral institution, an arbitrator/barrister, a chamber of commerce, consumer/public interest groups, a Government department, law firms, a litigation funder, professional bodies (including both the Law Society and the HKBA) and a regulator.</w:t>
      </w:r>
    </w:p>
    <w:p w14:paraId="4C9B427A" w14:textId="77777777" w:rsidR="001238F2" w:rsidRPr="00A241F5" w:rsidRDefault="001238F2" w:rsidP="001238F2">
      <w:pPr>
        <w:widowControl/>
        <w:tabs>
          <w:tab w:val="clear" w:pos="1418"/>
          <w:tab w:val="left" w:pos="1440"/>
        </w:tabs>
        <w:rPr>
          <w:rFonts w:cs="Arial"/>
        </w:rPr>
      </w:pPr>
    </w:p>
    <w:p w14:paraId="7B522FA3" w14:textId="5B5E75FE" w:rsidR="001238F2" w:rsidRPr="00A241F5" w:rsidRDefault="009A08AA" w:rsidP="001238F2">
      <w:pPr>
        <w:widowControl/>
        <w:tabs>
          <w:tab w:val="clear" w:pos="1418"/>
          <w:tab w:val="left" w:pos="1440"/>
        </w:tabs>
        <w:rPr>
          <w:rFonts w:cs="Arial"/>
        </w:rPr>
      </w:pPr>
      <w:r w:rsidRPr="00A241F5">
        <w:rPr>
          <w:rFonts w:cs="Arial"/>
        </w:rPr>
        <w:t>5.</w:t>
      </w:r>
      <w:r w:rsidR="001238F2" w:rsidRPr="00A241F5">
        <w:rPr>
          <w:rFonts w:cs="Arial"/>
        </w:rPr>
        <w:t>4</w:t>
      </w:r>
      <w:r w:rsidR="001238F2" w:rsidRPr="00A241F5">
        <w:rPr>
          <w:rFonts w:cs="Arial"/>
        </w:rPr>
        <w:tab/>
        <w:t>One Respondent, a chamber of commerce, commented:</w:t>
      </w:r>
    </w:p>
    <w:p w14:paraId="1AFA80F2" w14:textId="77777777" w:rsidR="001238F2" w:rsidRPr="00A241F5" w:rsidRDefault="001238F2" w:rsidP="001238F2">
      <w:pPr>
        <w:widowControl/>
        <w:tabs>
          <w:tab w:val="clear" w:pos="1418"/>
          <w:tab w:val="left" w:pos="1440"/>
        </w:tabs>
        <w:rPr>
          <w:rFonts w:cs="Arial"/>
          <w:b/>
          <w:i/>
        </w:rPr>
      </w:pPr>
    </w:p>
    <w:p w14:paraId="173179CA" w14:textId="3682EA15" w:rsidR="001238F2" w:rsidRPr="00A241F5" w:rsidRDefault="00C61F4B" w:rsidP="001238F2">
      <w:pPr>
        <w:pStyle w:val="BlockText"/>
      </w:pPr>
      <w:r w:rsidRPr="00A241F5">
        <w:t>"</w:t>
      </w:r>
      <w:r w:rsidR="001238F2" w:rsidRPr="00A241F5">
        <w:t>We see no valid reason for prohibiting DBAs while allowing CFAs.  The client should have full flexibility to negotiate with its lawyers the most appropriate fee structure to suit its individual circumstances</w:t>
      </w:r>
      <w:r w:rsidR="00923002" w:rsidRPr="00A241F5">
        <w:t>.</w:t>
      </w:r>
      <w:r w:rsidRPr="00A241F5">
        <w:t>"</w:t>
      </w:r>
    </w:p>
    <w:p w14:paraId="601A04DC" w14:textId="77777777" w:rsidR="001238F2" w:rsidRPr="00A241F5" w:rsidRDefault="001238F2" w:rsidP="001238F2">
      <w:pPr>
        <w:widowControl/>
        <w:tabs>
          <w:tab w:val="clear" w:pos="1418"/>
          <w:tab w:val="left" w:pos="1440"/>
        </w:tabs>
        <w:rPr>
          <w:rFonts w:cs="Arial"/>
        </w:rPr>
      </w:pPr>
    </w:p>
    <w:p w14:paraId="61395AE4" w14:textId="658E6A3E" w:rsidR="001238F2" w:rsidRPr="00A241F5" w:rsidRDefault="009A08AA" w:rsidP="001238F2">
      <w:pPr>
        <w:widowControl/>
        <w:tabs>
          <w:tab w:val="clear" w:pos="1418"/>
          <w:tab w:val="left" w:pos="1440"/>
        </w:tabs>
        <w:rPr>
          <w:rFonts w:cs="Arial"/>
        </w:rPr>
      </w:pPr>
      <w:r w:rsidRPr="00A241F5">
        <w:rPr>
          <w:rFonts w:cs="Arial"/>
        </w:rPr>
        <w:t>5.</w:t>
      </w:r>
      <w:r w:rsidR="001238F2" w:rsidRPr="00A241F5">
        <w:rPr>
          <w:rFonts w:cs="Arial"/>
        </w:rPr>
        <w:t>5</w:t>
      </w:r>
      <w:r w:rsidR="001238F2" w:rsidRPr="00A241F5">
        <w:rPr>
          <w:rFonts w:cs="Arial"/>
        </w:rPr>
        <w:tab/>
        <w:t>An international law firm expressed similar views:</w:t>
      </w:r>
    </w:p>
    <w:p w14:paraId="7060B70A" w14:textId="77777777" w:rsidR="001238F2" w:rsidRPr="00A241F5" w:rsidRDefault="001238F2" w:rsidP="001238F2">
      <w:pPr>
        <w:widowControl/>
        <w:tabs>
          <w:tab w:val="clear" w:pos="1418"/>
          <w:tab w:val="left" w:pos="1440"/>
        </w:tabs>
        <w:rPr>
          <w:rFonts w:cs="Arial"/>
        </w:rPr>
      </w:pPr>
    </w:p>
    <w:p w14:paraId="32C3735A" w14:textId="65B2FE28" w:rsidR="00A90DFD" w:rsidRPr="00A241F5" w:rsidRDefault="00C61F4B" w:rsidP="001238F2">
      <w:pPr>
        <w:pStyle w:val="BlockText"/>
      </w:pPr>
      <w:r w:rsidRPr="00A241F5">
        <w:t>"</w:t>
      </w:r>
      <w:r w:rsidR="00183CB7" w:rsidRPr="00A241F5">
        <w:t>…</w:t>
      </w:r>
      <w:r w:rsidR="008D61D3" w:rsidRPr="00A241F5">
        <w:t xml:space="preserve"> </w:t>
      </w:r>
      <w:r w:rsidR="00183CB7" w:rsidRPr="00A241F5">
        <w:t>w</w:t>
      </w:r>
      <w:r w:rsidR="001238F2" w:rsidRPr="00A241F5">
        <w:t xml:space="preserve">e believe that arbitrating parties should have the freedom to select the type of ORFS, whether it be CFA, DBA or Hybrid DBA, that best suits their needs.  Allowing such a choice would provide parties with welcome flexibility in respect of how they fund their disputes and complement the third-party funding reforms that Hong Kong has already adopted. </w:t>
      </w:r>
    </w:p>
    <w:p w14:paraId="6825380E" w14:textId="77777777" w:rsidR="00A90DFD" w:rsidRPr="00A241F5" w:rsidRDefault="00A90DFD" w:rsidP="001238F2">
      <w:pPr>
        <w:pStyle w:val="BlockText"/>
      </w:pPr>
    </w:p>
    <w:p w14:paraId="495AEF25" w14:textId="022139C4" w:rsidR="001238F2" w:rsidRPr="00A241F5" w:rsidRDefault="001238F2" w:rsidP="001238F2">
      <w:pPr>
        <w:pStyle w:val="BlockText"/>
      </w:pPr>
      <w:r w:rsidRPr="00A241F5">
        <w:lastRenderedPageBreak/>
        <w:t xml:space="preserve">Moreover, as the Sub-committee rightly noted, once the view is taken to </w:t>
      </w:r>
      <w:r w:rsidR="00C61F4B" w:rsidRPr="00A241F5">
        <w:t>'</w:t>
      </w:r>
      <w:r w:rsidRPr="00A241F5">
        <w:t>cross the Rubicon</w:t>
      </w:r>
      <w:r w:rsidR="00C61F4B" w:rsidRPr="00A241F5">
        <w:t>'</w:t>
      </w:r>
      <w:r w:rsidRPr="00A241F5">
        <w:t xml:space="preserve"> by permitting one form of ORFS in Hong Kong, there is no real basis to exclude other forms of ORFS</w:t>
      </w:r>
      <w:r w:rsidR="00923002" w:rsidRPr="00A241F5">
        <w:t>.</w:t>
      </w:r>
      <w:r w:rsidR="00C61F4B" w:rsidRPr="00A241F5">
        <w:t>"</w:t>
      </w:r>
    </w:p>
    <w:p w14:paraId="409549AA" w14:textId="77777777" w:rsidR="001238F2" w:rsidRPr="00A241F5" w:rsidRDefault="001238F2" w:rsidP="001238F2">
      <w:pPr>
        <w:widowControl/>
        <w:tabs>
          <w:tab w:val="clear" w:pos="1418"/>
          <w:tab w:val="left" w:pos="1440"/>
        </w:tabs>
        <w:rPr>
          <w:rFonts w:cs="Arial"/>
          <w:b/>
        </w:rPr>
      </w:pPr>
    </w:p>
    <w:p w14:paraId="3A37D5D3" w14:textId="4C9CC502" w:rsidR="001238F2" w:rsidRPr="00A241F5" w:rsidRDefault="009A08AA" w:rsidP="001238F2">
      <w:pPr>
        <w:widowControl/>
        <w:tabs>
          <w:tab w:val="clear" w:pos="1418"/>
          <w:tab w:val="left" w:pos="1440"/>
        </w:tabs>
        <w:rPr>
          <w:rFonts w:cs="Arial"/>
        </w:rPr>
      </w:pPr>
      <w:r w:rsidRPr="00A241F5">
        <w:rPr>
          <w:rFonts w:cs="Arial"/>
        </w:rPr>
        <w:t>5.</w:t>
      </w:r>
      <w:r w:rsidR="001238F2" w:rsidRPr="00A241F5">
        <w:rPr>
          <w:rFonts w:cs="Arial"/>
        </w:rPr>
        <w:t>6</w:t>
      </w:r>
      <w:r w:rsidR="001238F2" w:rsidRPr="00A241F5">
        <w:rPr>
          <w:rFonts w:cs="Arial"/>
        </w:rPr>
        <w:tab/>
        <w:t xml:space="preserve">Another Respondent noted that arbitration is a </w:t>
      </w:r>
      <w:r w:rsidR="00C61F4B" w:rsidRPr="00A241F5">
        <w:rPr>
          <w:rFonts w:cs="Arial"/>
          <w:i/>
        </w:rPr>
        <w:t>"</w:t>
      </w:r>
      <w:r w:rsidR="001238F2" w:rsidRPr="00A241F5">
        <w:rPr>
          <w:rFonts w:cs="Arial"/>
          <w:i/>
        </w:rPr>
        <w:t>particularly expensive</w:t>
      </w:r>
      <w:r w:rsidR="00C61F4B" w:rsidRPr="00A241F5">
        <w:rPr>
          <w:rFonts w:cs="Arial"/>
          <w:i/>
        </w:rPr>
        <w:t>"</w:t>
      </w:r>
      <w:r w:rsidR="001238F2" w:rsidRPr="00A241F5">
        <w:rPr>
          <w:rFonts w:cs="Arial"/>
        </w:rPr>
        <w:t xml:space="preserve"> process, and went on to say:</w:t>
      </w:r>
    </w:p>
    <w:p w14:paraId="0B12DC0B" w14:textId="77777777" w:rsidR="001238F2" w:rsidRPr="00A241F5" w:rsidRDefault="001238F2" w:rsidP="001238F2">
      <w:pPr>
        <w:widowControl/>
        <w:tabs>
          <w:tab w:val="clear" w:pos="1418"/>
          <w:tab w:val="left" w:pos="1440"/>
        </w:tabs>
        <w:rPr>
          <w:rFonts w:cs="Arial"/>
        </w:rPr>
      </w:pPr>
    </w:p>
    <w:p w14:paraId="6D90440C" w14:textId="4760FF60" w:rsidR="001238F2" w:rsidRPr="00A241F5" w:rsidRDefault="00C61F4B" w:rsidP="001238F2">
      <w:pPr>
        <w:pStyle w:val="BlockText"/>
      </w:pPr>
      <w:r w:rsidRPr="00A241F5">
        <w:t>"</w:t>
      </w:r>
      <w:r w:rsidR="001238F2" w:rsidRPr="00A241F5">
        <w:t>… the introduction of DBAs in Hong Kong arbitration will promote access to justice and risk management, as well as promoting Hong Kong as a hub for commercial dispute resolution by bringing it in line with major international dispute resolution hubs like London and New York. … Permitting DBAs (as well as CFAs) for arbitration will provide parties with additional flexibility and funding options.  It is again consistent with the core arbitral principles of flexibility and party</w:t>
      </w:r>
      <w:r w:rsidR="00A90DFD" w:rsidRPr="00A241F5">
        <w:t>-</w:t>
      </w:r>
      <w:r w:rsidR="001238F2" w:rsidRPr="00A241F5">
        <w:t>autonomy</w:t>
      </w:r>
      <w:r w:rsidR="00923002" w:rsidRPr="00A241F5">
        <w:t>.</w:t>
      </w:r>
      <w:r w:rsidRPr="00A241F5">
        <w:t>"</w:t>
      </w:r>
    </w:p>
    <w:p w14:paraId="528F6716" w14:textId="77777777" w:rsidR="001238F2" w:rsidRPr="00A241F5" w:rsidRDefault="001238F2" w:rsidP="001238F2">
      <w:pPr>
        <w:widowControl/>
        <w:tabs>
          <w:tab w:val="clear" w:pos="1418"/>
          <w:tab w:val="left" w:pos="1440"/>
        </w:tabs>
        <w:rPr>
          <w:rFonts w:cs="Arial"/>
        </w:rPr>
      </w:pPr>
    </w:p>
    <w:p w14:paraId="62729207" w14:textId="3623395B" w:rsidR="001238F2" w:rsidRPr="00A241F5" w:rsidRDefault="009A08AA" w:rsidP="001238F2">
      <w:pPr>
        <w:widowControl/>
        <w:tabs>
          <w:tab w:val="clear" w:pos="1418"/>
          <w:tab w:val="left" w:pos="1440"/>
        </w:tabs>
        <w:rPr>
          <w:rFonts w:cs="Arial"/>
        </w:rPr>
      </w:pPr>
      <w:r w:rsidRPr="00A241F5">
        <w:rPr>
          <w:rFonts w:cs="Arial"/>
        </w:rPr>
        <w:t>5.</w:t>
      </w:r>
      <w:r w:rsidR="001238F2" w:rsidRPr="00A241F5">
        <w:rPr>
          <w:rFonts w:cs="Arial"/>
        </w:rPr>
        <w:t>7</w:t>
      </w:r>
      <w:r w:rsidR="001238F2" w:rsidRPr="00A241F5">
        <w:rPr>
          <w:rFonts w:cs="Arial"/>
        </w:rPr>
        <w:tab/>
        <w:t>An arbitrator/barrister also noted the Sub-committee</w:t>
      </w:r>
      <w:r w:rsidR="00C61F4B" w:rsidRPr="00A241F5">
        <w:rPr>
          <w:rFonts w:cs="Arial"/>
        </w:rPr>
        <w:t>'</w:t>
      </w:r>
      <w:r w:rsidR="001238F2" w:rsidRPr="00A241F5">
        <w:rPr>
          <w:rFonts w:cs="Arial"/>
        </w:rPr>
        <w:t>s observation that DBAs are used often in Mainland China, and that allowing DBAs in Hong Kong would allow Hong Kong lawyers to compete with Mainland lawyers for arbitration work on an even playing field.</w:t>
      </w:r>
    </w:p>
    <w:p w14:paraId="60590AFB" w14:textId="77777777" w:rsidR="001238F2" w:rsidRPr="00A241F5" w:rsidRDefault="001238F2" w:rsidP="001238F2">
      <w:pPr>
        <w:widowControl/>
        <w:tabs>
          <w:tab w:val="clear" w:pos="1418"/>
          <w:tab w:val="left" w:pos="1440"/>
        </w:tabs>
        <w:rPr>
          <w:rFonts w:cs="Arial"/>
        </w:rPr>
      </w:pPr>
    </w:p>
    <w:p w14:paraId="5307235D" w14:textId="77777777" w:rsidR="001238F2" w:rsidRPr="00A241F5" w:rsidRDefault="001238F2" w:rsidP="001238F2">
      <w:pPr>
        <w:pStyle w:val="Heading2"/>
        <w:widowControl/>
        <w:tabs>
          <w:tab w:val="clear" w:pos="1418"/>
          <w:tab w:val="left" w:pos="1440"/>
        </w:tabs>
        <w:rPr>
          <w:rFonts w:cs="Arial"/>
          <w:i/>
          <w:sz w:val="24"/>
        </w:rPr>
      </w:pPr>
    </w:p>
    <w:p w14:paraId="53E47B01" w14:textId="6159B9F1" w:rsidR="001238F2" w:rsidRPr="00A241F5" w:rsidRDefault="001238F2" w:rsidP="001238F2">
      <w:pPr>
        <w:pStyle w:val="Heading2"/>
        <w:keepLines/>
        <w:widowControl/>
        <w:tabs>
          <w:tab w:val="clear" w:pos="1418"/>
          <w:tab w:val="left" w:pos="1440"/>
        </w:tabs>
        <w:rPr>
          <w:rFonts w:cs="Arial"/>
          <w:i/>
          <w:sz w:val="24"/>
        </w:rPr>
      </w:pPr>
      <w:r w:rsidRPr="00A241F5">
        <w:rPr>
          <w:rFonts w:cs="Arial"/>
          <w:i/>
          <w:sz w:val="24"/>
        </w:rPr>
        <w:t>Comments from the Respondent who opposed Recommendation 4</w:t>
      </w:r>
    </w:p>
    <w:p w14:paraId="7F4FB57E" w14:textId="77777777" w:rsidR="001238F2" w:rsidRPr="00A241F5" w:rsidRDefault="001238F2" w:rsidP="001238F2">
      <w:pPr>
        <w:keepNext/>
        <w:keepLines/>
        <w:widowControl/>
        <w:tabs>
          <w:tab w:val="clear" w:pos="1418"/>
          <w:tab w:val="left" w:pos="1440"/>
        </w:tabs>
        <w:rPr>
          <w:rFonts w:cs="Arial"/>
        </w:rPr>
      </w:pPr>
    </w:p>
    <w:p w14:paraId="2FF2A4B3" w14:textId="6D8CCFE7" w:rsidR="001238F2" w:rsidRPr="00A241F5" w:rsidRDefault="009A08AA" w:rsidP="001238F2">
      <w:pPr>
        <w:rPr>
          <w:rFonts w:cs="Arial"/>
        </w:rPr>
      </w:pPr>
      <w:r w:rsidRPr="00A241F5">
        <w:rPr>
          <w:rFonts w:cs="Arial"/>
        </w:rPr>
        <w:t>5.</w:t>
      </w:r>
      <w:r w:rsidR="001238F2" w:rsidRPr="00A241F5">
        <w:rPr>
          <w:rFonts w:cs="Arial"/>
        </w:rPr>
        <w:t>8</w:t>
      </w:r>
      <w:r w:rsidR="001238F2" w:rsidRPr="00A241F5">
        <w:rPr>
          <w:rFonts w:cs="Arial"/>
        </w:rPr>
        <w:tab/>
        <w:t xml:space="preserve">The single Respondent that objected to DBAs is a local law firm.  This Respondent objected to introducing ORFSs in any form, on grounds that they would </w:t>
      </w:r>
      <w:r w:rsidR="00C61F4B" w:rsidRPr="00A241F5">
        <w:rPr>
          <w:rFonts w:cs="Arial"/>
          <w:i/>
        </w:rPr>
        <w:t>"</w:t>
      </w:r>
      <w:r w:rsidR="001238F2" w:rsidRPr="00A241F5">
        <w:rPr>
          <w:rFonts w:cs="Arial"/>
          <w:i/>
        </w:rPr>
        <w:t>complicate the business of running a law firm</w:t>
      </w:r>
      <w:r w:rsidR="00C61F4B" w:rsidRPr="00A241F5">
        <w:rPr>
          <w:rFonts w:cs="Arial"/>
          <w:i/>
        </w:rPr>
        <w:t>"</w:t>
      </w:r>
      <w:r w:rsidR="001238F2" w:rsidRPr="00A241F5">
        <w:rPr>
          <w:rFonts w:cs="Arial"/>
        </w:rPr>
        <w:t xml:space="preserve">, create conflicts of interest and the potential to exploit clients, give rise to concerns around insurance, and </w:t>
      </w:r>
      <w:r w:rsidR="00C61F4B" w:rsidRPr="00A241F5">
        <w:rPr>
          <w:rFonts w:cs="Arial"/>
        </w:rPr>
        <w:t>"</w:t>
      </w:r>
      <w:r w:rsidR="001238F2" w:rsidRPr="00A241F5">
        <w:rPr>
          <w:rFonts w:cs="Arial"/>
          <w:i/>
        </w:rPr>
        <w:t>open the floodgates</w:t>
      </w:r>
      <w:r w:rsidR="00C61F4B" w:rsidRPr="00A241F5">
        <w:rPr>
          <w:rFonts w:cs="Arial"/>
        </w:rPr>
        <w:t>"</w:t>
      </w:r>
      <w:r w:rsidR="001238F2" w:rsidRPr="00A241F5">
        <w:rPr>
          <w:rFonts w:cs="Arial"/>
        </w:rPr>
        <w:t xml:space="preserve"> to introducing ORFSs for litigation.</w:t>
      </w:r>
    </w:p>
    <w:p w14:paraId="0AA53FAC" w14:textId="77777777" w:rsidR="001238F2" w:rsidRPr="00A241F5" w:rsidRDefault="001238F2" w:rsidP="001238F2">
      <w:pPr>
        <w:rPr>
          <w:rFonts w:cs="Arial"/>
          <w:i/>
        </w:rPr>
      </w:pPr>
    </w:p>
    <w:p w14:paraId="00885865" w14:textId="26D1EDCE" w:rsidR="001238F2" w:rsidRPr="00A241F5" w:rsidRDefault="009A08AA" w:rsidP="001238F2">
      <w:pPr>
        <w:rPr>
          <w:rFonts w:cs="Arial"/>
        </w:rPr>
      </w:pPr>
      <w:r w:rsidRPr="00A241F5">
        <w:rPr>
          <w:rFonts w:cs="Arial"/>
        </w:rPr>
        <w:t>5.</w:t>
      </w:r>
      <w:r w:rsidR="001238F2" w:rsidRPr="00A241F5">
        <w:rPr>
          <w:rFonts w:cs="Arial"/>
        </w:rPr>
        <w:t>9</w:t>
      </w:r>
      <w:r w:rsidR="001238F2" w:rsidRPr="00A241F5">
        <w:rPr>
          <w:rFonts w:cs="Arial"/>
        </w:rPr>
        <w:tab/>
        <w:t>With regard to DBAs specifically, this Respondent commented that:</w:t>
      </w:r>
    </w:p>
    <w:p w14:paraId="09B3C2EE" w14:textId="77777777" w:rsidR="001238F2" w:rsidRPr="00A241F5" w:rsidRDefault="001238F2" w:rsidP="001238F2">
      <w:pPr>
        <w:rPr>
          <w:rFonts w:cs="Arial"/>
        </w:rPr>
      </w:pPr>
    </w:p>
    <w:p w14:paraId="5049ECB1" w14:textId="6E00BA0B" w:rsidR="001238F2" w:rsidRPr="00A241F5" w:rsidRDefault="00C61F4B" w:rsidP="001238F2">
      <w:pPr>
        <w:pStyle w:val="BlockText"/>
      </w:pPr>
      <w:r w:rsidRPr="00A241F5">
        <w:t>"</w:t>
      </w:r>
      <w:r w:rsidR="001238F2" w:rsidRPr="00A241F5">
        <w:t>The concept of damage-based agreements … may also skew the idea of compensation.  The idea of damages is compensatory to the party who had suffered as a result of the loss.  By introducing DBA it would mean that part of the compensation will be used as a means to calculate the client</w:t>
      </w:r>
      <w:r w:rsidRPr="00A241F5">
        <w:t>'</w:t>
      </w:r>
      <w:r w:rsidR="001238F2" w:rsidRPr="00A241F5">
        <w:t>s costs, which may ultimately be used to pay off their legal fees.</w:t>
      </w:r>
      <w:r w:rsidR="006A7C6F" w:rsidRPr="00A241F5">
        <w:t xml:space="preserve"> </w:t>
      </w:r>
      <w:r w:rsidR="001238F2" w:rsidRPr="00A241F5">
        <w:t xml:space="preserve"> This may mean that the client </w:t>
      </w:r>
      <w:r w:rsidR="00A90DFD" w:rsidRPr="00A241F5">
        <w:t>will be</w:t>
      </w:r>
      <w:r w:rsidR="001238F2" w:rsidRPr="00A241F5">
        <w:t xml:space="preserve"> inadequately compensated</w:t>
      </w:r>
      <w:r w:rsidR="00923002" w:rsidRPr="00A241F5">
        <w:t>.</w:t>
      </w:r>
      <w:r w:rsidRPr="00A241F5">
        <w:t>"</w:t>
      </w:r>
    </w:p>
    <w:p w14:paraId="3F0A2B8A" w14:textId="77777777" w:rsidR="001238F2" w:rsidRPr="00A241F5" w:rsidRDefault="001238F2" w:rsidP="001238F2">
      <w:pPr>
        <w:widowControl/>
        <w:tabs>
          <w:tab w:val="clear" w:pos="1418"/>
          <w:tab w:val="left" w:pos="1440"/>
        </w:tabs>
        <w:rPr>
          <w:rFonts w:cs="Arial"/>
        </w:rPr>
      </w:pPr>
    </w:p>
    <w:p w14:paraId="04351837" w14:textId="77777777" w:rsidR="001238F2" w:rsidRPr="00A241F5" w:rsidRDefault="001238F2" w:rsidP="001238F2">
      <w:pPr>
        <w:widowControl/>
        <w:tabs>
          <w:tab w:val="clear" w:pos="1418"/>
          <w:tab w:val="left" w:pos="1440"/>
        </w:tabs>
        <w:rPr>
          <w:rFonts w:cs="Arial"/>
        </w:rPr>
      </w:pPr>
    </w:p>
    <w:p w14:paraId="03EEA99C" w14:textId="77777777" w:rsidR="001238F2" w:rsidRPr="00A241F5" w:rsidRDefault="001238F2" w:rsidP="001238F2">
      <w:pPr>
        <w:pStyle w:val="Heading2"/>
        <w:widowControl/>
        <w:tabs>
          <w:tab w:val="clear" w:pos="1418"/>
          <w:tab w:val="left" w:pos="1440"/>
        </w:tabs>
        <w:rPr>
          <w:rFonts w:cs="Arial"/>
        </w:rPr>
      </w:pPr>
      <w:r w:rsidRPr="00A241F5">
        <w:rPr>
          <w:rFonts w:cs="Arial"/>
        </w:rPr>
        <w:t>Our analysis and response</w:t>
      </w:r>
    </w:p>
    <w:p w14:paraId="75ED7EEA" w14:textId="77777777" w:rsidR="001238F2" w:rsidRPr="00A241F5" w:rsidRDefault="001238F2" w:rsidP="001238F2"/>
    <w:p w14:paraId="332ACE85" w14:textId="283BD8A8" w:rsidR="001238F2" w:rsidRPr="00A241F5" w:rsidRDefault="009A08AA" w:rsidP="001238F2">
      <w:r w:rsidRPr="00A241F5">
        <w:t>5.</w:t>
      </w:r>
      <w:r w:rsidR="001238F2" w:rsidRPr="00A241F5">
        <w:t>10</w:t>
      </w:r>
      <w:r w:rsidR="001238F2" w:rsidRPr="00A241F5">
        <w:tab/>
        <w:t>We have carefully considered all responses, including each ground of objection raised by the above Respondent.  These objections reflect historic</w:t>
      </w:r>
      <w:r w:rsidR="006A7C6F" w:rsidRPr="00A241F5">
        <w:t>al</w:t>
      </w:r>
      <w:r w:rsidR="001238F2" w:rsidRPr="00A241F5">
        <w:t xml:space="preserve"> concerns about introducing ORFSs in Hong Kong.  As such, they have been comprehensively addressed by the Sub-committee in Chapter 4 of </w:t>
      </w:r>
      <w:r w:rsidR="001238F2" w:rsidRPr="00A241F5">
        <w:lastRenderedPageBreak/>
        <w:t>the Consultation Paper, and earlier in this Report.</w:t>
      </w:r>
      <w:r w:rsidR="001238F2" w:rsidRPr="00A241F5">
        <w:rPr>
          <w:rStyle w:val="FootnoteReference"/>
          <w:sz w:val="24"/>
        </w:rPr>
        <w:footnoteReference w:id="36"/>
      </w:r>
      <w:r w:rsidR="001238F2" w:rsidRPr="00A241F5">
        <w:t xml:space="preserve">  For the reasons set out in that chapter, and repeated at paragraphs </w:t>
      </w:r>
      <w:r w:rsidRPr="00A241F5">
        <w:t xml:space="preserve">2.16 </w:t>
      </w:r>
      <w:r w:rsidR="00F44171" w:rsidRPr="00A241F5">
        <w:t>to</w:t>
      </w:r>
      <w:r w:rsidRPr="00A241F5">
        <w:t xml:space="preserve"> 2</w:t>
      </w:r>
      <w:r w:rsidR="001238F2" w:rsidRPr="00A241F5">
        <w:t xml:space="preserve">.31 of this Report, we are of the view that the objections to introducing ORFSs generally, and DBAs specifically, are largely unfounded and, in any event, outweighed by the considerable benefits. </w:t>
      </w:r>
    </w:p>
    <w:p w14:paraId="0C41935F" w14:textId="77777777" w:rsidR="001238F2" w:rsidRPr="00A241F5" w:rsidRDefault="001238F2" w:rsidP="001238F2"/>
    <w:p w14:paraId="4ABF48D3" w14:textId="70B2970D" w:rsidR="001238F2" w:rsidRPr="00A241F5" w:rsidRDefault="009A08AA" w:rsidP="001238F2">
      <w:r w:rsidRPr="00A241F5">
        <w:t>5.</w:t>
      </w:r>
      <w:r w:rsidR="001238F2" w:rsidRPr="00A241F5">
        <w:t>11</w:t>
      </w:r>
      <w:r w:rsidR="001238F2" w:rsidRPr="00A241F5">
        <w:tab/>
        <w:t>In reaching this conclusion, we note the overwhelming support of Respondents for making Hong Kong</w:t>
      </w:r>
      <w:r w:rsidR="00C61F4B" w:rsidRPr="00A241F5">
        <w:t>'</w:t>
      </w:r>
      <w:r w:rsidR="001238F2" w:rsidRPr="00A241F5">
        <w:t>s ORFS regime as broad as possible. Respondents have expressed a clear desire to give users of Hong Kong Arbitration access to the full range of ORFSs, so they can finance their arbitrations in the way that best suits the circumstances of each case.  Like the Respondents and the Sub-committee,</w:t>
      </w:r>
      <w:r w:rsidR="001238F2" w:rsidRPr="00A241F5">
        <w:rPr>
          <w:rStyle w:val="FootnoteReference"/>
          <w:sz w:val="24"/>
        </w:rPr>
        <w:footnoteReference w:id="37"/>
      </w:r>
      <w:r w:rsidR="001238F2" w:rsidRPr="00A241F5">
        <w:t xml:space="preserve"> we do not see a basis for permitting CFAs while prohibiting other forms of ORFS, including DBAs.</w:t>
      </w:r>
    </w:p>
    <w:p w14:paraId="2759B207" w14:textId="77777777" w:rsidR="001238F2" w:rsidRPr="00A241F5" w:rsidRDefault="001238F2" w:rsidP="001238F2">
      <w:pPr>
        <w:rPr>
          <w:b/>
        </w:rPr>
      </w:pPr>
    </w:p>
    <w:p w14:paraId="370F752F" w14:textId="34A44B0C" w:rsidR="001238F2" w:rsidRPr="00A241F5" w:rsidRDefault="009A08AA" w:rsidP="001238F2">
      <w:r w:rsidRPr="00A241F5">
        <w:t>5.</w:t>
      </w:r>
      <w:r w:rsidR="001238F2" w:rsidRPr="00A241F5">
        <w:t>12</w:t>
      </w:r>
      <w:r w:rsidR="001238F2" w:rsidRPr="00A241F5">
        <w:tab/>
        <w:t>In response to the specific concern that DBAs might result in a party receiving inadequate compensation for its losses, we make the following observations:</w:t>
      </w:r>
    </w:p>
    <w:p w14:paraId="670F6037" w14:textId="77777777" w:rsidR="001238F2" w:rsidRPr="00A241F5" w:rsidRDefault="001238F2" w:rsidP="001238F2"/>
    <w:p w14:paraId="53EB1D82" w14:textId="257497E6" w:rsidR="001238F2" w:rsidRPr="00A241F5" w:rsidRDefault="001238F2" w:rsidP="001238F2">
      <w:pPr>
        <w:pStyle w:val="Indent10"/>
      </w:pPr>
      <w:r w:rsidRPr="00A241F5">
        <w:t xml:space="preserve">(a) </w:t>
      </w:r>
      <w:r w:rsidRPr="00A241F5">
        <w:tab/>
        <w:t xml:space="preserve">Parties frequently enter </w:t>
      </w:r>
      <w:r w:rsidR="00175CFB" w:rsidRPr="00A241F5">
        <w:t xml:space="preserve">into </w:t>
      </w:r>
      <w:r w:rsidRPr="00A241F5">
        <w:t xml:space="preserve">a DBA because they do not have the resources to pay their Lawyers out-of-pocket.  In these circumstances, the party could not otherwise afford to claim for damages </w:t>
      </w:r>
      <w:r w:rsidRPr="00A241F5">
        <w:rPr>
          <w:u w:val="single"/>
        </w:rPr>
        <w:t>at all</w:t>
      </w:r>
      <w:r w:rsidRPr="00A241F5">
        <w:t>.  Thus, even if the DBA results in the party obtaining a Financial Benefit and paying its Lawyer more than it would have paid on an hourly rate basis, the party will receive at least some Financial Benefit for its losses.  Any DBA regime will be subject to caps, thus ensuring that no Lawyer can ever receive the entire amount of the client</w:t>
      </w:r>
      <w:r w:rsidR="00C61F4B" w:rsidRPr="00A241F5">
        <w:t>'</w:t>
      </w:r>
      <w:r w:rsidRPr="00A241F5">
        <w:t>s Financial Benefit.</w:t>
      </w:r>
    </w:p>
    <w:p w14:paraId="7DD7E3E8" w14:textId="77777777" w:rsidR="001238F2" w:rsidRPr="00A241F5" w:rsidRDefault="001238F2" w:rsidP="001238F2">
      <w:pPr>
        <w:pStyle w:val="Indent10"/>
      </w:pPr>
      <w:r w:rsidRPr="00A241F5">
        <w:t xml:space="preserve"> </w:t>
      </w:r>
    </w:p>
    <w:p w14:paraId="5E4F39C2" w14:textId="77777777" w:rsidR="001238F2" w:rsidRPr="00A241F5" w:rsidRDefault="001238F2" w:rsidP="001238F2">
      <w:pPr>
        <w:pStyle w:val="Indent10"/>
      </w:pPr>
      <w:r w:rsidRPr="00A241F5">
        <w:t xml:space="preserve">(b) </w:t>
      </w:r>
      <w:r w:rsidRPr="00A241F5">
        <w:tab/>
        <w:t>If a party instructs its Lawyer on a DBA basis and does not obtain a Financial Benefit in its case, it pays the Lawyer nothing.  This contrasts favourably with the traditional hourly rate arrangement, where the client must pay the same fee whether it wins or loses.</w:t>
      </w:r>
    </w:p>
    <w:p w14:paraId="2067B8B2" w14:textId="77777777" w:rsidR="001238F2" w:rsidRPr="00A241F5" w:rsidRDefault="001238F2" w:rsidP="001238F2">
      <w:pPr>
        <w:pStyle w:val="Indent10"/>
      </w:pPr>
      <w:r w:rsidRPr="00A241F5">
        <w:t xml:space="preserve"> </w:t>
      </w:r>
    </w:p>
    <w:p w14:paraId="462549BF" w14:textId="77777777" w:rsidR="001238F2" w:rsidRPr="00A241F5" w:rsidRDefault="001238F2" w:rsidP="001238F2">
      <w:pPr>
        <w:pStyle w:val="Indent10"/>
      </w:pPr>
      <w:r w:rsidRPr="00A241F5">
        <w:t>(c)</w:t>
      </w:r>
      <w:r w:rsidRPr="00A241F5">
        <w:tab/>
        <w:t>Any DBA regime that Hong Kong introduces will include protection against excessive fees, in the form of caps on the percentage of damages (or other Financial Benefit) the Lawyer can claim as a DBA Payment.</w:t>
      </w:r>
    </w:p>
    <w:p w14:paraId="1F8B105C" w14:textId="77777777" w:rsidR="001238F2" w:rsidRPr="00A241F5" w:rsidRDefault="001238F2" w:rsidP="001238F2">
      <w:pPr>
        <w:pStyle w:val="Indent10"/>
      </w:pPr>
      <w:r w:rsidRPr="00A241F5">
        <w:t xml:space="preserve"> </w:t>
      </w:r>
    </w:p>
    <w:p w14:paraId="34FF6972" w14:textId="77777777" w:rsidR="001238F2" w:rsidRPr="00A241F5" w:rsidRDefault="001238F2" w:rsidP="001238F2">
      <w:pPr>
        <w:pStyle w:val="Indent10"/>
      </w:pPr>
      <w:r w:rsidRPr="00A241F5">
        <w:t>(d)</w:t>
      </w:r>
      <w:r w:rsidRPr="00A241F5">
        <w:tab/>
        <w:t xml:space="preserve">It is up to the client and Lawyer to negotiate the DBA Payment in each case; the cap is simply a maximum.  These negotiations will take into account the amounts in dispute, the amount of work involved in pursuing the claim, and the likelihood of obtaining a Financial Benefit.  If the client feels that the DBA Payment ultimately proposed by one Lawyer is too high, the client may decline to instruct that Lawyer, and try to negotiate a lower DBA Payment with another Lawyer. </w:t>
      </w:r>
    </w:p>
    <w:p w14:paraId="457D13F4" w14:textId="77777777" w:rsidR="001238F2" w:rsidRPr="00A241F5" w:rsidRDefault="001238F2" w:rsidP="001238F2"/>
    <w:p w14:paraId="6A7353CD" w14:textId="1DDFD2C5" w:rsidR="001238F2" w:rsidRPr="00A241F5" w:rsidRDefault="009A08AA" w:rsidP="00716973">
      <w:pPr>
        <w:keepLines/>
      </w:pPr>
      <w:r w:rsidRPr="00A241F5">
        <w:lastRenderedPageBreak/>
        <w:t>5.</w:t>
      </w:r>
      <w:r w:rsidR="001238F2" w:rsidRPr="00A241F5">
        <w:t>13</w:t>
      </w:r>
      <w:r w:rsidR="001238F2" w:rsidRPr="00A241F5">
        <w:tab/>
        <w:t xml:space="preserve">Overall, therefore, we are confident that DBAs will offer benefits to clients who might otherwise be unable to pursue a meritorious claim, as well as to clients who can afford to bring the claim but prefer to share the risk of Arbitration with their legal advisers.  DBAs are simply another option for clients to consider. </w:t>
      </w:r>
    </w:p>
    <w:p w14:paraId="6562C958" w14:textId="77777777" w:rsidR="001238F2" w:rsidRPr="00A241F5" w:rsidRDefault="001238F2" w:rsidP="001238F2"/>
    <w:p w14:paraId="19D32810" w14:textId="087822FA" w:rsidR="001238F2" w:rsidRPr="00A241F5" w:rsidRDefault="009A08AA" w:rsidP="001238F2">
      <w:r w:rsidRPr="00A241F5">
        <w:t>5.</w:t>
      </w:r>
      <w:r w:rsidR="001238F2" w:rsidRPr="00A241F5">
        <w:t>14</w:t>
      </w:r>
      <w:r w:rsidR="001238F2" w:rsidRPr="00A241F5">
        <w:tab/>
        <w:t xml:space="preserve">The objecting Respondent also raised a concern that allowing ORFSs for Arbitration would </w:t>
      </w:r>
      <w:r w:rsidR="00C61F4B" w:rsidRPr="00A241F5">
        <w:t>"</w:t>
      </w:r>
      <w:r w:rsidR="001238F2" w:rsidRPr="00A241F5">
        <w:rPr>
          <w:i/>
        </w:rPr>
        <w:t>open the floodgates</w:t>
      </w:r>
      <w:r w:rsidR="00C61F4B" w:rsidRPr="00A241F5">
        <w:t>"</w:t>
      </w:r>
      <w:r w:rsidR="001238F2" w:rsidRPr="00A241F5">
        <w:t xml:space="preserve">, ultimately leading to an ORFS regime for </w:t>
      </w:r>
      <w:r w:rsidR="00C61F4B" w:rsidRPr="00A241F5">
        <w:t>"</w:t>
      </w:r>
      <w:r w:rsidR="001238F2" w:rsidRPr="00A241F5">
        <w:t>general litigation</w:t>
      </w:r>
      <w:r w:rsidR="00C61F4B" w:rsidRPr="00A241F5">
        <w:t>"</w:t>
      </w:r>
      <w:r w:rsidR="001238F2" w:rsidRPr="00A241F5">
        <w:t xml:space="preserve">. </w:t>
      </w:r>
    </w:p>
    <w:p w14:paraId="54B4A14A" w14:textId="77777777" w:rsidR="001238F2" w:rsidRPr="00A241F5" w:rsidRDefault="001238F2" w:rsidP="001238F2"/>
    <w:p w14:paraId="309C658E" w14:textId="248EE4EE" w:rsidR="001238F2" w:rsidRPr="00A241F5" w:rsidRDefault="009A08AA" w:rsidP="001238F2">
      <w:r w:rsidRPr="00A241F5">
        <w:t>5.</w:t>
      </w:r>
      <w:r w:rsidR="001238F2" w:rsidRPr="00A241F5">
        <w:t>15</w:t>
      </w:r>
      <w:r w:rsidR="001238F2" w:rsidRPr="00A241F5">
        <w:tab/>
      </w:r>
      <w:r w:rsidR="001238F2" w:rsidRPr="00A241F5">
        <w:tab/>
        <w:t>In light of the overwhelming levels of support for allowing ORFSs in Arbitration, we do not consider that this concern is widely shared.  We emphasise that the scope of the Sub-committee</w:t>
      </w:r>
      <w:r w:rsidR="00C61F4B" w:rsidRPr="00A241F5">
        <w:t>'</w:t>
      </w:r>
      <w:r w:rsidR="001238F2" w:rsidRPr="00A241F5">
        <w:t xml:space="preserve">s consultation, and of our Final Recommendations, is limited to Arbitration (as defined in this Report).  There is no proposal to introduce an ORFS regime beyond the arena on which the public has been consulted.  </w:t>
      </w:r>
    </w:p>
    <w:p w14:paraId="7AF0D1F9" w14:textId="77777777" w:rsidR="001238F2" w:rsidRPr="00A241F5" w:rsidRDefault="001238F2" w:rsidP="001238F2">
      <w:pPr>
        <w:rPr>
          <w:b/>
        </w:rPr>
      </w:pPr>
    </w:p>
    <w:p w14:paraId="03B4320D" w14:textId="78507BB6" w:rsidR="001238F2" w:rsidRPr="00A241F5" w:rsidRDefault="009A08AA" w:rsidP="001238F2">
      <w:r w:rsidRPr="00A241F5">
        <w:t>5.</w:t>
      </w:r>
      <w:r w:rsidR="001238F2" w:rsidRPr="00A241F5">
        <w:t>16</w:t>
      </w:r>
      <w:r w:rsidR="001238F2" w:rsidRPr="00A241F5">
        <w:rPr>
          <w:b/>
        </w:rPr>
        <w:tab/>
      </w:r>
      <w:r w:rsidR="001238F2" w:rsidRPr="00A241F5">
        <w:t>Thus, having considered the arguments for and against Recommendation 4, we are persuaded that the benefits of allowing Lawyers to offer DBAs in Arbitration, with appropriate safeguards</w:t>
      </w:r>
      <w:r w:rsidR="00A90DFD" w:rsidRPr="00A241F5">
        <w:t>,</w:t>
      </w:r>
      <w:r w:rsidR="001238F2" w:rsidRPr="00A241F5">
        <w:rPr>
          <w:rStyle w:val="FootnoteReference"/>
          <w:sz w:val="24"/>
        </w:rPr>
        <w:footnoteReference w:id="38"/>
      </w:r>
      <w:r w:rsidR="001238F2" w:rsidRPr="00A241F5">
        <w:t xml:space="preserve"> outweigh any potential disadvantages.  </w:t>
      </w:r>
    </w:p>
    <w:p w14:paraId="32F0C21D" w14:textId="77777777" w:rsidR="001238F2" w:rsidRPr="00A241F5" w:rsidRDefault="001238F2" w:rsidP="001238F2"/>
    <w:p w14:paraId="09873E7B" w14:textId="23210190" w:rsidR="001238F2" w:rsidRPr="00A241F5" w:rsidRDefault="009A08AA" w:rsidP="001238F2">
      <w:pPr>
        <w:pStyle w:val="Indent10"/>
        <w:widowControl/>
        <w:tabs>
          <w:tab w:val="clear" w:pos="1418"/>
          <w:tab w:val="left" w:pos="1440"/>
        </w:tabs>
        <w:spacing w:after="120"/>
        <w:ind w:left="0" w:firstLine="0"/>
      </w:pPr>
      <w:r w:rsidRPr="00A241F5">
        <w:t>5.</w:t>
      </w:r>
      <w:r w:rsidR="001238F2" w:rsidRPr="00A241F5">
        <w:t>17</w:t>
      </w:r>
      <w:r w:rsidR="001238F2" w:rsidRPr="00A241F5">
        <w:tab/>
        <w:t>The mechanism for lifting the prohibition</w:t>
      </w:r>
      <w:r w:rsidR="006A7C6F" w:rsidRPr="00A241F5">
        <w:t>s</w:t>
      </w:r>
      <w:r w:rsidR="001238F2" w:rsidRPr="00A241F5">
        <w:t xml:space="preserve"> on DBAs is discussed in Chapters 1</w:t>
      </w:r>
      <w:r w:rsidRPr="00A241F5">
        <w:t>2</w:t>
      </w:r>
      <w:r w:rsidR="001238F2" w:rsidRPr="00A241F5">
        <w:t xml:space="preserve"> and </w:t>
      </w:r>
      <w:r w:rsidRPr="00A241F5">
        <w:t>13</w:t>
      </w:r>
      <w:r w:rsidR="001238F2" w:rsidRPr="00A241F5">
        <w:t>, where Recommendations 11 and 12 are considered.</w:t>
      </w:r>
    </w:p>
    <w:p w14:paraId="2474A3F7" w14:textId="77777777" w:rsidR="001238F2" w:rsidRPr="00A241F5" w:rsidRDefault="001238F2" w:rsidP="001238F2">
      <w:pPr>
        <w:pStyle w:val="Indent10"/>
        <w:widowControl/>
        <w:tabs>
          <w:tab w:val="clear" w:pos="1418"/>
          <w:tab w:val="left" w:pos="1440"/>
        </w:tabs>
        <w:ind w:left="0" w:firstLine="0"/>
        <w:rPr>
          <w:rFonts w:cs="Arial"/>
        </w:rPr>
      </w:pPr>
    </w:p>
    <w:p w14:paraId="29C305CF" w14:textId="77777777" w:rsidR="001238F2" w:rsidRPr="00A241F5" w:rsidRDefault="001238F2" w:rsidP="001238F2">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t>Final Recommendation 4</w:t>
      </w:r>
    </w:p>
    <w:p w14:paraId="39C2B030" w14:textId="77777777" w:rsidR="001238F2" w:rsidRPr="00A241F5" w:rsidRDefault="001238F2" w:rsidP="001238F2">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7CEE010B" w14:textId="77777777" w:rsidR="001238F2" w:rsidRPr="00A241F5" w:rsidRDefault="001238F2" w:rsidP="001238F2">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rPr>
          <w:rFonts w:cs="Arial"/>
        </w:rPr>
        <w:t xml:space="preserve">We recommend that prohibitions on the use by Lawyers of DBAs in Arbitration should be lifted, so that Lawyers may use DBAs for Arbitration. </w:t>
      </w:r>
    </w:p>
    <w:p w14:paraId="51AAFA82" w14:textId="77777777" w:rsidR="001238F2" w:rsidRPr="00A241F5" w:rsidRDefault="001238F2" w:rsidP="001238F2"/>
    <w:p w14:paraId="27591C47" w14:textId="77777777" w:rsidR="001238F2" w:rsidRPr="00A241F5" w:rsidRDefault="001238F2" w:rsidP="001238F2">
      <w:pPr>
        <w:pStyle w:val="Heading1"/>
        <w:widowControl/>
        <w:rPr>
          <w:rFonts w:cs="Arial"/>
        </w:rPr>
        <w:sectPr w:rsidR="001238F2" w:rsidRPr="00A241F5" w:rsidSect="00AC7FE5">
          <w:footerReference w:type="default" r:id="rId22"/>
          <w:footnotePr>
            <w:numRestart w:val="eachSect"/>
          </w:footnotePr>
          <w:pgSz w:w="11909" w:h="16834" w:code="9"/>
          <w:pgMar w:top="1440" w:right="1800" w:bottom="1440" w:left="1800" w:header="720" w:footer="720" w:gutter="0"/>
          <w:cols w:space="425"/>
          <w:docGrid w:linePitch="360"/>
        </w:sectPr>
      </w:pPr>
    </w:p>
    <w:p w14:paraId="209E9B79" w14:textId="2B20AF78" w:rsidR="001238F2" w:rsidRPr="00A241F5" w:rsidRDefault="001238F2" w:rsidP="00A87076">
      <w:pPr>
        <w:pStyle w:val="Heading1"/>
      </w:pPr>
      <w:bookmarkStart w:id="18" w:name="Chapter06"/>
      <w:bookmarkEnd w:id="18"/>
      <w:r w:rsidRPr="00A241F5">
        <w:lastRenderedPageBreak/>
        <w:t xml:space="preserve">Chapter </w:t>
      </w:r>
      <w:r w:rsidR="00070C53" w:rsidRPr="00A241F5">
        <w:t>6</w:t>
      </w:r>
    </w:p>
    <w:p w14:paraId="7FBF35F6" w14:textId="77777777" w:rsidR="001238F2" w:rsidRPr="00A241F5" w:rsidRDefault="001238F2" w:rsidP="00A87076"/>
    <w:p w14:paraId="4F85A4B8" w14:textId="77777777" w:rsidR="00A87076" w:rsidRPr="00A241F5" w:rsidRDefault="001238F2" w:rsidP="00A87076">
      <w:pPr>
        <w:pStyle w:val="Heading1"/>
      </w:pPr>
      <w:r w:rsidRPr="00A241F5">
        <w:t xml:space="preserve">Recoverability of Legal Expense </w:t>
      </w:r>
    </w:p>
    <w:p w14:paraId="6E8DA74F" w14:textId="4F44AD76" w:rsidR="00A87076" w:rsidRPr="00A241F5" w:rsidRDefault="001238F2" w:rsidP="00A87076">
      <w:pPr>
        <w:pStyle w:val="Heading1"/>
      </w:pPr>
      <w:r w:rsidRPr="00A241F5">
        <w:t>Insurance premium from the</w:t>
      </w:r>
    </w:p>
    <w:p w14:paraId="689DF937" w14:textId="1A0078C3" w:rsidR="001238F2" w:rsidRPr="00A241F5" w:rsidRDefault="001238F2" w:rsidP="00A87076">
      <w:pPr>
        <w:pStyle w:val="Heading1"/>
        <w:rPr>
          <w:i/>
          <w:sz w:val="30"/>
        </w:rPr>
      </w:pPr>
      <w:r w:rsidRPr="00A241F5">
        <w:t xml:space="preserve">unsuccessful party under DBAs </w:t>
      </w:r>
    </w:p>
    <w:p w14:paraId="0F6E92AB" w14:textId="6AB05F4C" w:rsidR="001238F2" w:rsidRPr="00A241F5" w:rsidRDefault="001238F2" w:rsidP="001238F2">
      <w:pPr>
        <w:rPr>
          <w:rFonts w:cs="Arial"/>
        </w:rPr>
      </w:pPr>
      <w:r w:rsidRPr="00A241F5">
        <w:rPr>
          <w:rFonts w:cs="Arial"/>
          <w:lang w:eastAsia="x-none"/>
        </w:rPr>
        <w:t>_______________________</w:t>
      </w:r>
      <w:r w:rsidRPr="00A241F5">
        <w:rPr>
          <w:rFonts w:cs="Arial"/>
        </w:rPr>
        <w:t>___________________</w:t>
      </w:r>
    </w:p>
    <w:p w14:paraId="1FFD5BE0" w14:textId="77777777" w:rsidR="001238F2" w:rsidRPr="00A241F5" w:rsidRDefault="001238F2" w:rsidP="001238F2">
      <w:pPr>
        <w:rPr>
          <w:rFonts w:cs="Arial"/>
        </w:rPr>
      </w:pPr>
    </w:p>
    <w:p w14:paraId="55BA6B3A" w14:textId="2C0592F3" w:rsidR="001238F2" w:rsidRPr="00A241F5" w:rsidRDefault="001238F2" w:rsidP="001238F2"/>
    <w:p w14:paraId="6CE34D11" w14:textId="77777777" w:rsidR="00A87076" w:rsidRPr="00A241F5" w:rsidRDefault="00A87076" w:rsidP="001238F2"/>
    <w:p w14:paraId="6BB07B84" w14:textId="787A3154" w:rsidR="001238F2" w:rsidRPr="00A241F5" w:rsidRDefault="001238F2" w:rsidP="001238F2">
      <w:pPr>
        <w:pStyle w:val="Heading2"/>
        <w:keepLines/>
        <w:widowControl/>
        <w:tabs>
          <w:tab w:val="clear" w:pos="1418"/>
          <w:tab w:val="left" w:pos="1440"/>
        </w:tabs>
        <w:rPr>
          <w:rFonts w:cs="Arial"/>
        </w:rPr>
      </w:pPr>
      <w:r w:rsidRPr="00A241F5">
        <w:rPr>
          <w:rFonts w:cs="Arial"/>
        </w:rPr>
        <w:t>Responses to the Sub-committee</w:t>
      </w:r>
      <w:r w:rsidR="00C61F4B" w:rsidRPr="00A241F5">
        <w:rPr>
          <w:rFonts w:cs="Arial"/>
        </w:rPr>
        <w:t>'</w:t>
      </w:r>
      <w:r w:rsidRPr="00A241F5">
        <w:rPr>
          <w:rFonts w:cs="Arial"/>
        </w:rPr>
        <w:t>s Recommendation 5</w:t>
      </w:r>
    </w:p>
    <w:p w14:paraId="6C7F62EC" w14:textId="77777777" w:rsidR="001238F2" w:rsidRPr="00A241F5" w:rsidRDefault="001238F2" w:rsidP="001238F2">
      <w:pPr>
        <w:keepNext/>
        <w:keepLines/>
        <w:widowControl/>
        <w:tabs>
          <w:tab w:val="clear" w:pos="1418"/>
          <w:tab w:val="left" w:pos="1440"/>
        </w:tabs>
        <w:rPr>
          <w:rFonts w:cs="Arial"/>
        </w:rPr>
      </w:pPr>
    </w:p>
    <w:p w14:paraId="6E02EE32" w14:textId="0011F459" w:rsidR="001238F2" w:rsidRPr="00A241F5" w:rsidRDefault="00A87076" w:rsidP="001238F2">
      <w:pPr>
        <w:widowControl/>
        <w:tabs>
          <w:tab w:val="clear" w:pos="1418"/>
          <w:tab w:val="left" w:pos="1440"/>
        </w:tabs>
        <w:rPr>
          <w:rFonts w:cs="Arial"/>
        </w:rPr>
      </w:pPr>
      <w:r w:rsidRPr="00A241F5">
        <w:rPr>
          <w:rFonts w:cs="Arial"/>
        </w:rPr>
        <w:t>6.</w:t>
      </w:r>
      <w:r w:rsidR="001238F2" w:rsidRPr="00A241F5">
        <w:rPr>
          <w:rFonts w:cs="Arial"/>
        </w:rPr>
        <w:t>1</w:t>
      </w:r>
      <w:r w:rsidR="001238F2" w:rsidRPr="00A241F5">
        <w:rPr>
          <w:rFonts w:cs="Arial"/>
        </w:rPr>
        <w:tab/>
        <w:t>This Chapter discusses the responses regarding Recommendation 5 in the Consultation Paper:</w:t>
      </w:r>
    </w:p>
    <w:p w14:paraId="0178D4C0" w14:textId="77777777" w:rsidR="001238F2" w:rsidRPr="00A241F5" w:rsidRDefault="001238F2" w:rsidP="001238F2">
      <w:pPr>
        <w:widowControl/>
        <w:tabs>
          <w:tab w:val="clear" w:pos="1418"/>
          <w:tab w:val="left" w:pos="1440"/>
        </w:tabs>
        <w:rPr>
          <w:rFonts w:cs="Arial"/>
        </w:rPr>
      </w:pPr>
    </w:p>
    <w:p w14:paraId="13868279" w14:textId="1E4B67F7" w:rsidR="001238F2" w:rsidRPr="00A241F5" w:rsidRDefault="00C61F4B" w:rsidP="00C22562">
      <w:pPr>
        <w:widowControl/>
        <w:tabs>
          <w:tab w:val="clear" w:pos="1418"/>
          <w:tab w:val="left" w:pos="1440"/>
        </w:tabs>
        <w:ind w:left="720" w:rightChars="271" w:right="650"/>
        <w:rPr>
          <w:rFonts w:cs="Arial"/>
        </w:rPr>
      </w:pPr>
      <w:r w:rsidRPr="00A241F5">
        <w:rPr>
          <w:rFonts w:cs="Arial"/>
          <w:i/>
        </w:rPr>
        <w:t>"</w:t>
      </w:r>
      <w:r w:rsidR="001238F2" w:rsidRPr="00A241F5">
        <w:rPr>
          <w:rFonts w:cs="Arial"/>
          <w:i/>
        </w:rPr>
        <w:t>Where a DBA is in place, the Sub-committee recommends that any ATE Insurance premium agreed by the claimant with its insurers should not be recoverable from the respondent</w:t>
      </w:r>
      <w:r w:rsidR="001238F2" w:rsidRPr="00A241F5">
        <w:rPr>
          <w:rFonts w:cs="Arial"/>
        </w:rPr>
        <w:t>.</w:t>
      </w:r>
      <w:r w:rsidRPr="00A241F5">
        <w:rPr>
          <w:rFonts w:cs="Arial"/>
          <w:i/>
        </w:rPr>
        <w:t>"</w:t>
      </w:r>
      <w:r w:rsidR="001238F2" w:rsidRPr="00A241F5">
        <w:rPr>
          <w:rStyle w:val="FootnoteReference"/>
          <w:rFonts w:cs="Arial"/>
          <w:sz w:val="24"/>
        </w:rPr>
        <w:footnoteReference w:id="39"/>
      </w:r>
      <w:r w:rsidR="001238F2" w:rsidRPr="00A241F5">
        <w:rPr>
          <w:rFonts w:cs="Arial"/>
        </w:rPr>
        <w:t xml:space="preserve"> </w:t>
      </w:r>
    </w:p>
    <w:p w14:paraId="2A4822B1" w14:textId="77777777" w:rsidR="001238F2" w:rsidRPr="00A241F5" w:rsidRDefault="001238F2" w:rsidP="001238F2">
      <w:pPr>
        <w:widowControl/>
        <w:tabs>
          <w:tab w:val="clear" w:pos="1418"/>
          <w:tab w:val="left" w:pos="1440"/>
        </w:tabs>
        <w:rPr>
          <w:rFonts w:cs="Arial"/>
        </w:rPr>
      </w:pPr>
    </w:p>
    <w:p w14:paraId="50F64318" w14:textId="3154A359" w:rsidR="001238F2" w:rsidRPr="00A241F5" w:rsidRDefault="00A87076" w:rsidP="001238F2">
      <w:pPr>
        <w:widowControl/>
        <w:tabs>
          <w:tab w:val="clear" w:pos="1418"/>
          <w:tab w:val="left" w:pos="1440"/>
        </w:tabs>
        <w:rPr>
          <w:rFonts w:cs="Arial"/>
        </w:rPr>
      </w:pPr>
      <w:r w:rsidRPr="00A241F5">
        <w:rPr>
          <w:rFonts w:cs="Arial"/>
        </w:rPr>
        <w:t>6.</w:t>
      </w:r>
      <w:r w:rsidR="001238F2" w:rsidRPr="00A241F5">
        <w:rPr>
          <w:rFonts w:cs="Arial"/>
        </w:rPr>
        <w:t>2</w:t>
      </w:r>
      <w:r w:rsidR="001238F2" w:rsidRPr="00A241F5">
        <w:rPr>
          <w:rFonts w:cs="Arial"/>
        </w:rPr>
        <w:tab/>
        <w:t xml:space="preserve">Consistent with the responses to Recommendation 2 (which dealt with the recoverability of Success Fee </w:t>
      </w:r>
      <w:r w:rsidR="00F44171" w:rsidRPr="00A241F5">
        <w:rPr>
          <w:rFonts w:cs="Arial"/>
        </w:rPr>
        <w:t>p</w:t>
      </w:r>
      <w:r w:rsidR="00A90DFD" w:rsidRPr="00A241F5">
        <w:rPr>
          <w:rFonts w:cs="Arial"/>
        </w:rPr>
        <w:t xml:space="preserve">remium </w:t>
      </w:r>
      <w:r w:rsidR="001238F2" w:rsidRPr="00A241F5">
        <w:rPr>
          <w:rFonts w:cs="Arial"/>
        </w:rPr>
        <w:t>and Legal Expense Insurance premium in the context of CFA, and thus covered a similar issue), almost all of the submissions that commented on Recommendation 5 supported the recommendation.</w:t>
      </w:r>
      <w:r w:rsidR="0077751A" w:rsidRPr="00A241F5">
        <w:rPr>
          <w:rFonts w:cs="Arial"/>
        </w:rPr>
        <w:t xml:space="preserve"> </w:t>
      </w:r>
      <w:r w:rsidR="001238F2" w:rsidRPr="00A241F5">
        <w:rPr>
          <w:rFonts w:cs="Arial"/>
        </w:rPr>
        <w:t>Those in favour included</w:t>
      </w:r>
      <w:r w:rsidR="001238F2" w:rsidRPr="00A241F5">
        <w:t xml:space="preserve"> </w:t>
      </w:r>
      <w:r w:rsidR="009B21EB" w:rsidRPr="00A241F5">
        <w:t xml:space="preserve">an </w:t>
      </w:r>
      <w:r w:rsidR="001238F2" w:rsidRPr="00A241F5">
        <w:t xml:space="preserve">arbitral institution, an arbitrator/barrister, a chamber of commerce, </w:t>
      </w:r>
      <w:r w:rsidR="00CA7E56" w:rsidRPr="00A241F5">
        <w:t xml:space="preserve">a consumer/public interest group, </w:t>
      </w:r>
      <w:r w:rsidR="001238F2" w:rsidRPr="00A241F5">
        <w:rPr>
          <w:rFonts w:cs="Arial"/>
        </w:rPr>
        <w:t xml:space="preserve">a </w:t>
      </w:r>
      <w:r w:rsidR="001238F2" w:rsidRPr="00A241F5">
        <w:t>Government department, law firms and professional bodies</w:t>
      </w:r>
      <w:r w:rsidR="001238F2" w:rsidRPr="00A241F5">
        <w:rPr>
          <w:rFonts w:cs="Arial"/>
        </w:rPr>
        <w:t>.</w:t>
      </w:r>
    </w:p>
    <w:p w14:paraId="1278DE47" w14:textId="77777777" w:rsidR="001238F2" w:rsidRPr="00A241F5" w:rsidRDefault="001238F2" w:rsidP="001238F2">
      <w:pPr>
        <w:pStyle w:val="Heading2"/>
        <w:widowControl/>
        <w:tabs>
          <w:tab w:val="clear" w:pos="1418"/>
          <w:tab w:val="left" w:pos="1440"/>
        </w:tabs>
        <w:rPr>
          <w:rFonts w:cs="Arial"/>
          <w:sz w:val="24"/>
        </w:rPr>
      </w:pPr>
    </w:p>
    <w:p w14:paraId="41F410D3" w14:textId="77777777" w:rsidR="001238F2" w:rsidRPr="00A241F5" w:rsidRDefault="001238F2" w:rsidP="001238F2"/>
    <w:p w14:paraId="4B364FFC" w14:textId="68684A97" w:rsidR="001238F2" w:rsidRPr="00A241F5" w:rsidRDefault="001238F2" w:rsidP="001238F2">
      <w:pPr>
        <w:pStyle w:val="Heading2"/>
        <w:widowControl/>
        <w:tabs>
          <w:tab w:val="clear" w:pos="1418"/>
          <w:tab w:val="left" w:pos="1440"/>
        </w:tabs>
        <w:rPr>
          <w:rFonts w:cs="Arial"/>
          <w:i/>
          <w:sz w:val="24"/>
        </w:rPr>
      </w:pPr>
      <w:r w:rsidRPr="00A241F5">
        <w:rPr>
          <w:rFonts w:cs="Arial"/>
          <w:i/>
          <w:sz w:val="24"/>
        </w:rPr>
        <w:t>Comments from Respondents who supported Recommendation 5</w:t>
      </w:r>
    </w:p>
    <w:p w14:paraId="7DA74E82" w14:textId="77777777" w:rsidR="001238F2" w:rsidRPr="00A241F5" w:rsidRDefault="001238F2" w:rsidP="001238F2">
      <w:pPr>
        <w:widowControl/>
        <w:tabs>
          <w:tab w:val="clear" w:pos="1418"/>
          <w:tab w:val="left" w:pos="1440"/>
        </w:tabs>
        <w:rPr>
          <w:rFonts w:cs="Arial"/>
        </w:rPr>
      </w:pPr>
    </w:p>
    <w:p w14:paraId="14673057" w14:textId="7A03F534" w:rsidR="001238F2" w:rsidRPr="00A241F5" w:rsidRDefault="00A87076" w:rsidP="001238F2">
      <w:pPr>
        <w:widowControl/>
        <w:tabs>
          <w:tab w:val="clear" w:pos="1418"/>
          <w:tab w:val="left" w:pos="1440"/>
        </w:tabs>
        <w:rPr>
          <w:rFonts w:cs="Arial"/>
        </w:rPr>
      </w:pPr>
      <w:r w:rsidRPr="00A241F5">
        <w:rPr>
          <w:rFonts w:cs="Arial"/>
        </w:rPr>
        <w:t>6.</w:t>
      </w:r>
      <w:r w:rsidR="001238F2" w:rsidRPr="00A241F5">
        <w:rPr>
          <w:rFonts w:cs="Arial"/>
        </w:rPr>
        <w:t>3</w:t>
      </w:r>
      <w:r w:rsidR="001238F2" w:rsidRPr="00A241F5">
        <w:rPr>
          <w:rFonts w:cs="Arial"/>
        </w:rPr>
        <w:tab/>
        <w:t xml:space="preserve">Most Respondents who supported Recommendation 5 cited the same grounds as Recommendation 2. </w:t>
      </w:r>
      <w:r w:rsidR="0077751A" w:rsidRPr="00A241F5">
        <w:rPr>
          <w:rFonts w:cs="Arial"/>
        </w:rPr>
        <w:t xml:space="preserve"> </w:t>
      </w:r>
      <w:r w:rsidR="001238F2" w:rsidRPr="00A241F5">
        <w:rPr>
          <w:rFonts w:cs="Arial"/>
        </w:rPr>
        <w:t xml:space="preserve">For example, a Government department commented: </w:t>
      </w:r>
      <w:r w:rsidR="00C61F4B" w:rsidRPr="00A241F5">
        <w:rPr>
          <w:rFonts w:cs="Arial"/>
          <w:i/>
        </w:rPr>
        <w:t>"</w:t>
      </w:r>
      <w:r w:rsidR="00A55D9F" w:rsidRPr="00A241F5">
        <w:rPr>
          <w:rFonts w:cs="Arial"/>
          <w:i/>
        </w:rPr>
        <w:t>F</w:t>
      </w:r>
      <w:r w:rsidR="001238F2" w:rsidRPr="00A241F5">
        <w:rPr>
          <w:rFonts w:cs="Arial"/>
          <w:i/>
        </w:rPr>
        <w:t xml:space="preserve">or the same reasons given in paragraphs 13-14 above </w:t>
      </w:r>
      <w:r w:rsidR="001238F2" w:rsidRPr="00A241F5">
        <w:rPr>
          <w:rFonts w:cs="Arial"/>
        </w:rPr>
        <w:t>[</w:t>
      </w:r>
      <w:r w:rsidR="001238F2" w:rsidRPr="00A241F5">
        <w:rPr>
          <w:rFonts w:cs="Arial"/>
          <w:i/>
        </w:rPr>
        <w:t>responding to Recommendation 2</w:t>
      </w:r>
      <w:r w:rsidR="001238F2" w:rsidRPr="00A241F5">
        <w:rPr>
          <w:rFonts w:cs="Arial"/>
        </w:rPr>
        <w:t>]</w:t>
      </w:r>
      <w:r w:rsidR="001238F2" w:rsidRPr="00A241F5">
        <w:rPr>
          <w:rFonts w:cs="Arial"/>
          <w:i/>
        </w:rPr>
        <w:t>, we agree with the LRC Sub-committee</w:t>
      </w:r>
      <w:r w:rsidR="00C61F4B" w:rsidRPr="00A241F5">
        <w:rPr>
          <w:rFonts w:cs="Arial"/>
          <w:i/>
        </w:rPr>
        <w:t>'</w:t>
      </w:r>
      <w:r w:rsidR="001238F2" w:rsidRPr="00A241F5">
        <w:rPr>
          <w:rFonts w:cs="Arial"/>
          <w:i/>
        </w:rPr>
        <w:t>s recommendation on the irrecoverability of ATE insurance premium from the losing respondent in the DBA context</w:t>
      </w:r>
      <w:r w:rsidR="00A55D9F" w:rsidRPr="00A241F5">
        <w:rPr>
          <w:rFonts w:cs="Arial"/>
          <w:i/>
        </w:rPr>
        <w:t>.</w:t>
      </w:r>
      <w:r w:rsidR="00C61F4B" w:rsidRPr="00A241F5">
        <w:rPr>
          <w:rFonts w:cs="Arial"/>
          <w:i/>
        </w:rPr>
        <w:t>"</w:t>
      </w:r>
      <w:r w:rsidR="001238F2" w:rsidRPr="00A241F5">
        <w:rPr>
          <w:rFonts w:cs="Arial"/>
        </w:rPr>
        <w:t xml:space="preserve">  Likewise, a chamber of commerce </w:t>
      </w:r>
      <w:r w:rsidR="00F44171" w:rsidRPr="00A241F5">
        <w:rPr>
          <w:rFonts w:cs="Arial"/>
        </w:rPr>
        <w:t>submitted:</w:t>
      </w:r>
      <w:r w:rsidR="00ED5FF1" w:rsidRPr="00A241F5">
        <w:rPr>
          <w:rFonts w:cs="Arial"/>
        </w:rPr>
        <w:t xml:space="preserve"> </w:t>
      </w:r>
      <w:r w:rsidR="00C61F4B" w:rsidRPr="00A241F5">
        <w:rPr>
          <w:rFonts w:cs="Arial"/>
          <w:i/>
        </w:rPr>
        <w:t>"</w:t>
      </w:r>
      <w:r w:rsidR="001238F2" w:rsidRPr="00A241F5">
        <w:rPr>
          <w:rFonts w:cs="Arial"/>
          <w:i/>
        </w:rPr>
        <w:t>We agree, for the same reasons given in our answer to Recommendation 2 above in relation to CFAs</w:t>
      </w:r>
      <w:r w:rsidR="00923002" w:rsidRPr="00A241F5">
        <w:rPr>
          <w:rFonts w:cs="Arial"/>
        </w:rPr>
        <w:t>.</w:t>
      </w:r>
      <w:r w:rsidR="00C61F4B" w:rsidRPr="00A241F5">
        <w:rPr>
          <w:rFonts w:cs="Arial"/>
          <w:i/>
        </w:rPr>
        <w:t>"</w:t>
      </w:r>
    </w:p>
    <w:p w14:paraId="55B62630" w14:textId="77777777" w:rsidR="001238F2" w:rsidRPr="00A241F5" w:rsidRDefault="001238F2" w:rsidP="001238F2">
      <w:pPr>
        <w:widowControl/>
        <w:tabs>
          <w:tab w:val="clear" w:pos="1418"/>
          <w:tab w:val="left" w:pos="1440"/>
        </w:tabs>
        <w:rPr>
          <w:rFonts w:cs="Arial"/>
        </w:rPr>
      </w:pPr>
    </w:p>
    <w:p w14:paraId="47E3DC33" w14:textId="45CD583A" w:rsidR="001238F2" w:rsidRPr="00A241F5" w:rsidRDefault="00A87076" w:rsidP="001238F2">
      <w:pPr>
        <w:widowControl/>
        <w:tabs>
          <w:tab w:val="clear" w:pos="1418"/>
          <w:tab w:val="left" w:pos="1440"/>
        </w:tabs>
        <w:rPr>
          <w:rFonts w:cs="Arial"/>
        </w:rPr>
      </w:pPr>
      <w:r w:rsidRPr="00A241F5">
        <w:rPr>
          <w:rFonts w:cs="Arial"/>
        </w:rPr>
        <w:t>6.</w:t>
      </w:r>
      <w:r w:rsidR="001238F2" w:rsidRPr="00A241F5">
        <w:rPr>
          <w:rFonts w:cs="Arial"/>
        </w:rPr>
        <w:t>4</w:t>
      </w:r>
      <w:r w:rsidR="001238F2" w:rsidRPr="00A241F5">
        <w:rPr>
          <w:rFonts w:cs="Arial"/>
        </w:rPr>
        <w:tab/>
        <w:t xml:space="preserve">An arbitral institution also agreed, noting that </w:t>
      </w:r>
      <w:r w:rsidR="00C61F4B" w:rsidRPr="00A241F5">
        <w:rPr>
          <w:rFonts w:cs="Arial"/>
          <w:i/>
        </w:rPr>
        <w:t>"</w:t>
      </w:r>
      <w:r w:rsidR="001238F2" w:rsidRPr="00A241F5">
        <w:rPr>
          <w:rFonts w:cs="Arial"/>
          <w:i/>
        </w:rPr>
        <w:t xml:space="preserve">Any </w:t>
      </w:r>
      <w:r w:rsidR="00A90DFD" w:rsidRPr="00A241F5">
        <w:rPr>
          <w:rFonts w:cs="Arial"/>
          <w:i/>
        </w:rPr>
        <w:t>…</w:t>
      </w:r>
      <w:r w:rsidR="001238F2" w:rsidRPr="00A241F5">
        <w:rPr>
          <w:rFonts w:cs="Arial"/>
          <w:i/>
        </w:rPr>
        <w:t xml:space="preserve"> ATE insurance premiums agreed between a party and its </w:t>
      </w:r>
      <w:r w:rsidR="00A90DFD" w:rsidRPr="00A241F5">
        <w:rPr>
          <w:rFonts w:cs="Arial"/>
          <w:i/>
        </w:rPr>
        <w:t>…</w:t>
      </w:r>
      <w:r w:rsidR="001238F2" w:rsidRPr="00A241F5">
        <w:rPr>
          <w:rFonts w:cs="Arial"/>
          <w:i/>
        </w:rPr>
        <w:t xml:space="preserve"> insurers for the purposes of an ORFS arrangement should not be recoverable from the counterparty</w:t>
      </w:r>
      <w:r w:rsidR="00923002" w:rsidRPr="00A241F5">
        <w:rPr>
          <w:rFonts w:cs="Arial"/>
        </w:rPr>
        <w:t>.</w:t>
      </w:r>
      <w:r w:rsidR="00C61F4B" w:rsidRPr="00A241F5">
        <w:rPr>
          <w:rFonts w:cs="Arial"/>
          <w:i/>
        </w:rPr>
        <w:t>"</w:t>
      </w:r>
    </w:p>
    <w:p w14:paraId="0B83656D" w14:textId="77777777" w:rsidR="001238F2" w:rsidRPr="00A241F5" w:rsidRDefault="001238F2" w:rsidP="001238F2">
      <w:pPr>
        <w:widowControl/>
        <w:tabs>
          <w:tab w:val="clear" w:pos="1418"/>
          <w:tab w:val="left" w:pos="1440"/>
        </w:tabs>
        <w:rPr>
          <w:rFonts w:cs="Arial"/>
        </w:rPr>
      </w:pPr>
    </w:p>
    <w:p w14:paraId="4AD6B25B" w14:textId="13822B8A" w:rsidR="001238F2" w:rsidRPr="00A241F5" w:rsidRDefault="00A87076" w:rsidP="001238F2">
      <w:pPr>
        <w:widowControl/>
        <w:tabs>
          <w:tab w:val="clear" w:pos="1418"/>
          <w:tab w:val="left" w:pos="1440"/>
        </w:tabs>
        <w:rPr>
          <w:rFonts w:cs="Arial"/>
        </w:rPr>
      </w:pPr>
      <w:r w:rsidRPr="00A241F5">
        <w:rPr>
          <w:rFonts w:cs="Arial"/>
        </w:rPr>
        <w:t>6.</w:t>
      </w:r>
      <w:r w:rsidR="001238F2" w:rsidRPr="00A241F5">
        <w:rPr>
          <w:rFonts w:cs="Arial"/>
        </w:rPr>
        <w:t xml:space="preserve">5 </w:t>
      </w:r>
      <w:r w:rsidR="001238F2" w:rsidRPr="00A241F5">
        <w:rPr>
          <w:rFonts w:cs="Arial"/>
        </w:rPr>
        <w:tab/>
        <w:t xml:space="preserve">Other Respondents, including </w:t>
      </w:r>
      <w:r w:rsidR="00A232DD" w:rsidRPr="00A241F5">
        <w:rPr>
          <w:rFonts w:cs="Arial"/>
        </w:rPr>
        <w:t>a professional body</w:t>
      </w:r>
      <w:r w:rsidR="001238F2" w:rsidRPr="00A241F5">
        <w:rPr>
          <w:rFonts w:cs="Arial"/>
        </w:rPr>
        <w:t xml:space="preserve"> and an arbitrator/barrister, concurred.  The following response was typical: </w:t>
      </w:r>
      <w:r w:rsidR="00C61F4B" w:rsidRPr="00A241F5">
        <w:rPr>
          <w:rFonts w:cs="Arial"/>
          <w:i/>
        </w:rPr>
        <w:t>"</w:t>
      </w:r>
      <w:r w:rsidR="001238F2" w:rsidRPr="00A241F5">
        <w:rPr>
          <w:rFonts w:cs="Arial"/>
          <w:i/>
        </w:rPr>
        <w:t xml:space="preserve">We agree with </w:t>
      </w:r>
      <w:r w:rsidR="001238F2" w:rsidRPr="00A241F5">
        <w:rPr>
          <w:rFonts w:cs="Arial"/>
          <w:i/>
          <w:u w:val="single"/>
        </w:rPr>
        <w:t>Recommendation 5</w:t>
      </w:r>
      <w:r w:rsidR="001238F2" w:rsidRPr="00A241F5">
        <w:rPr>
          <w:rFonts w:cs="Arial"/>
          <w:i/>
        </w:rPr>
        <w:t xml:space="preserve"> that ATE insurance premium should not be </w:t>
      </w:r>
      <w:r w:rsidR="001238F2" w:rsidRPr="00A241F5">
        <w:rPr>
          <w:rFonts w:cs="Arial"/>
          <w:i/>
        </w:rPr>
        <w:lastRenderedPageBreak/>
        <w:t>recoverable from the losing party</w:t>
      </w:r>
      <w:r w:rsidR="00923002" w:rsidRPr="00A241F5">
        <w:rPr>
          <w:rFonts w:cs="Arial"/>
        </w:rPr>
        <w:t>.</w:t>
      </w:r>
      <w:r w:rsidR="00C61F4B" w:rsidRPr="00A241F5">
        <w:rPr>
          <w:rFonts w:cs="Arial"/>
          <w:i/>
        </w:rPr>
        <w:t>"</w:t>
      </w:r>
      <w:r w:rsidR="001238F2" w:rsidRPr="00A241F5">
        <w:rPr>
          <w:rFonts w:cs="Arial"/>
        </w:rPr>
        <w:t xml:space="preserve">  They went on to emphasise that, in their view, they were </w:t>
      </w:r>
      <w:r w:rsidR="00C61F4B" w:rsidRPr="00A241F5">
        <w:rPr>
          <w:rFonts w:cs="Arial"/>
          <w:i/>
        </w:rPr>
        <w:t>"</w:t>
      </w:r>
      <w:r w:rsidR="001238F2" w:rsidRPr="00A241F5">
        <w:rPr>
          <w:rFonts w:cs="Arial"/>
          <w:i/>
        </w:rPr>
        <w:t>against recovery of any DBA payments from the losing party, as the structure of funding and the apportionment of the damages (the outcome) are matters for the winning party</w:t>
      </w:r>
      <w:r w:rsidR="00C61F4B" w:rsidRPr="00A241F5">
        <w:rPr>
          <w:rFonts w:cs="Arial"/>
          <w:i/>
        </w:rPr>
        <w:t>"</w:t>
      </w:r>
      <w:r w:rsidR="00923002" w:rsidRPr="00A241F5">
        <w:rPr>
          <w:rFonts w:cs="Arial"/>
        </w:rPr>
        <w:t>.</w:t>
      </w:r>
      <w:r w:rsidR="00585997" w:rsidRPr="00A241F5">
        <w:rPr>
          <w:rFonts w:cs="Arial"/>
        </w:rPr>
        <w:t xml:space="preserve">  </w:t>
      </w:r>
      <w:r w:rsidR="001238F2" w:rsidRPr="00A241F5">
        <w:rPr>
          <w:rFonts w:cs="Arial"/>
        </w:rPr>
        <w:t>This becomes relevant to Recommendation 6, and the question of which model, the Success fee model</w:t>
      </w:r>
      <w:r w:rsidR="00BC3059" w:rsidRPr="00A241F5">
        <w:rPr>
          <w:rStyle w:val="FootnoteReference"/>
          <w:rFonts w:cs="Arial"/>
          <w:sz w:val="24"/>
        </w:rPr>
        <w:footnoteReference w:id="40"/>
      </w:r>
      <w:r w:rsidR="001238F2" w:rsidRPr="00A241F5">
        <w:rPr>
          <w:rFonts w:cs="Arial"/>
        </w:rPr>
        <w:t xml:space="preserve"> or the Ontario model,</w:t>
      </w:r>
      <w:r w:rsidR="00BC3059" w:rsidRPr="00A241F5">
        <w:rPr>
          <w:rStyle w:val="FootnoteReference"/>
          <w:rFonts w:cs="Arial"/>
          <w:sz w:val="24"/>
        </w:rPr>
        <w:footnoteReference w:id="41"/>
      </w:r>
      <w:r w:rsidR="001238F2" w:rsidRPr="00A241F5">
        <w:rPr>
          <w:rFonts w:cs="Arial"/>
        </w:rPr>
        <w:t xml:space="preserve"> should apply to DBAs</w:t>
      </w:r>
      <w:r w:rsidR="0020498D" w:rsidRPr="00A241F5">
        <w:rPr>
          <w:rFonts w:cs="Arial"/>
        </w:rPr>
        <w:t xml:space="preserve"> (including Hybrid DBAs)</w:t>
      </w:r>
      <w:r w:rsidR="001238F2" w:rsidRPr="00A241F5">
        <w:rPr>
          <w:rFonts w:cs="Arial"/>
        </w:rPr>
        <w:t xml:space="preserve">, discussed in Chapter </w:t>
      </w:r>
      <w:r w:rsidR="0077751A" w:rsidRPr="00A241F5">
        <w:rPr>
          <w:rStyle w:val="CommentReference"/>
          <w:sz w:val="24"/>
          <w:szCs w:val="24"/>
        </w:rPr>
        <w:t>7</w:t>
      </w:r>
      <w:r w:rsidR="001238F2" w:rsidRPr="00A241F5">
        <w:rPr>
          <w:rFonts w:cs="Arial"/>
        </w:rPr>
        <w:t xml:space="preserve"> below. </w:t>
      </w:r>
    </w:p>
    <w:p w14:paraId="298529E5" w14:textId="77777777" w:rsidR="001238F2" w:rsidRPr="00A241F5" w:rsidRDefault="001238F2" w:rsidP="001238F2">
      <w:pPr>
        <w:widowControl/>
        <w:tabs>
          <w:tab w:val="clear" w:pos="1418"/>
          <w:tab w:val="left" w:pos="1440"/>
        </w:tabs>
        <w:rPr>
          <w:rFonts w:cs="Arial"/>
        </w:rPr>
      </w:pPr>
      <w:r w:rsidRPr="00A241F5">
        <w:rPr>
          <w:rFonts w:cs="Arial"/>
          <w:i/>
        </w:rPr>
        <w:t xml:space="preserve"> </w:t>
      </w:r>
    </w:p>
    <w:p w14:paraId="74A5120D" w14:textId="77777777" w:rsidR="001238F2" w:rsidRPr="00A241F5" w:rsidRDefault="001238F2" w:rsidP="001238F2">
      <w:pPr>
        <w:widowControl/>
        <w:tabs>
          <w:tab w:val="clear" w:pos="1418"/>
          <w:tab w:val="left" w:pos="1440"/>
        </w:tabs>
        <w:rPr>
          <w:rFonts w:cs="Arial"/>
        </w:rPr>
      </w:pPr>
      <w:r w:rsidRPr="00A241F5">
        <w:rPr>
          <w:rFonts w:cs="Arial"/>
        </w:rPr>
        <w:t xml:space="preserve"> </w:t>
      </w:r>
    </w:p>
    <w:p w14:paraId="7BB27115" w14:textId="08B182E7" w:rsidR="001238F2" w:rsidRPr="00A241F5" w:rsidRDefault="001238F2" w:rsidP="001238F2">
      <w:pPr>
        <w:pStyle w:val="Heading2"/>
        <w:keepLines/>
        <w:widowControl/>
        <w:tabs>
          <w:tab w:val="clear" w:pos="1418"/>
          <w:tab w:val="left" w:pos="1440"/>
        </w:tabs>
        <w:rPr>
          <w:rFonts w:cs="Arial"/>
          <w:i/>
          <w:sz w:val="24"/>
        </w:rPr>
      </w:pPr>
      <w:r w:rsidRPr="00A241F5">
        <w:rPr>
          <w:rFonts w:cs="Arial"/>
          <w:i/>
          <w:sz w:val="24"/>
        </w:rPr>
        <w:t xml:space="preserve">Comments from </w:t>
      </w:r>
      <w:r w:rsidR="000C62AF" w:rsidRPr="00A241F5">
        <w:rPr>
          <w:rFonts w:cs="Arial"/>
          <w:i/>
          <w:sz w:val="24"/>
        </w:rPr>
        <w:t xml:space="preserve">the </w:t>
      </w:r>
      <w:r w:rsidRPr="00A241F5">
        <w:rPr>
          <w:rFonts w:cs="Arial"/>
          <w:i/>
          <w:sz w:val="24"/>
        </w:rPr>
        <w:t>Respondent who opposed Recommendation 5</w:t>
      </w:r>
    </w:p>
    <w:p w14:paraId="07A93648" w14:textId="77777777" w:rsidR="001238F2" w:rsidRPr="00A241F5" w:rsidRDefault="001238F2" w:rsidP="001238F2">
      <w:pPr>
        <w:keepNext/>
        <w:keepLines/>
        <w:widowControl/>
        <w:tabs>
          <w:tab w:val="clear" w:pos="1418"/>
          <w:tab w:val="left" w:pos="1440"/>
        </w:tabs>
        <w:rPr>
          <w:rFonts w:cs="Arial"/>
        </w:rPr>
      </w:pPr>
    </w:p>
    <w:p w14:paraId="1689D9ED" w14:textId="5C6EACEB" w:rsidR="00A90DFD" w:rsidRPr="00A241F5" w:rsidRDefault="00A87076" w:rsidP="001238F2">
      <w:pPr>
        <w:widowControl/>
        <w:tabs>
          <w:tab w:val="clear" w:pos="1418"/>
          <w:tab w:val="left" w:pos="1440"/>
        </w:tabs>
        <w:rPr>
          <w:rFonts w:cs="Arial"/>
        </w:rPr>
      </w:pPr>
      <w:r w:rsidRPr="00A241F5">
        <w:rPr>
          <w:rFonts w:cs="Arial"/>
        </w:rPr>
        <w:t>6.</w:t>
      </w:r>
      <w:r w:rsidR="001238F2" w:rsidRPr="00A241F5">
        <w:rPr>
          <w:rFonts w:cs="Arial"/>
        </w:rPr>
        <w:t>6</w:t>
      </w:r>
      <w:r w:rsidR="001238F2" w:rsidRPr="00A241F5">
        <w:rPr>
          <w:rFonts w:cs="Arial"/>
        </w:rPr>
        <w:tab/>
        <w:t>As with Recommendation 2, amongst the responses received, only one – a litigation funder - directly opposed Recommendation 5.  The</w:t>
      </w:r>
      <w:r w:rsidR="0077751A" w:rsidRPr="00A241F5">
        <w:rPr>
          <w:rFonts w:cs="Arial"/>
        </w:rPr>
        <w:t> </w:t>
      </w:r>
      <w:r w:rsidR="001238F2" w:rsidRPr="00A241F5">
        <w:rPr>
          <w:rFonts w:cs="Arial"/>
        </w:rPr>
        <w:t>funder relied on the same reasons cited against Recommendation 2.  To</w:t>
      </w:r>
      <w:r w:rsidR="0077751A" w:rsidRPr="00A241F5">
        <w:rPr>
          <w:rFonts w:cs="Arial"/>
        </w:rPr>
        <w:t> </w:t>
      </w:r>
      <w:r w:rsidR="001238F2" w:rsidRPr="00A241F5">
        <w:rPr>
          <w:rFonts w:cs="Arial"/>
        </w:rPr>
        <w:t xml:space="preserve">reiterate, and referring again to the English court decision in </w:t>
      </w:r>
      <w:r w:rsidR="001238F2" w:rsidRPr="00A241F5">
        <w:rPr>
          <w:rFonts w:cs="Arial"/>
          <w:i/>
        </w:rPr>
        <w:t>Essar v Norscot</w:t>
      </w:r>
      <w:r w:rsidR="001238F2" w:rsidRPr="00A241F5">
        <w:rPr>
          <w:rFonts w:cs="Arial"/>
        </w:rPr>
        <w:t>,</w:t>
      </w:r>
      <w:r w:rsidR="001238F2" w:rsidRPr="00A241F5">
        <w:rPr>
          <w:rStyle w:val="FootnoteReference"/>
          <w:rFonts w:cs="Arial"/>
          <w:sz w:val="24"/>
        </w:rPr>
        <w:footnoteReference w:id="42"/>
      </w:r>
      <w:r w:rsidR="001238F2" w:rsidRPr="00A241F5">
        <w:rPr>
          <w:rFonts w:cs="Arial"/>
        </w:rPr>
        <w:t xml:space="preserve"> this Respondent</w:t>
      </w:r>
      <w:r w:rsidR="00C61F4B" w:rsidRPr="00A241F5">
        <w:rPr>
          <w:rFonts w:cs="Arial"/>
        </w:rPr>
        <w:t>'</w:t>
      </w:r>
      <w:r w:rsidR="001238F2" w:rsidRPr="00A241F5">
        <w:rPr>
          <w:rFonts w:cs="Arial"/>
        </w:rPr>
        <w:t>s view was that</w:t>
      </w:r>
      <w:r w:rsidR="00A90DFD" w:rsidRPr="00A241F5">
        <w:rPr>
          <w:rFonts w:cs="Arial"/>
        </w:rPr>
        <w:t>:</w:t>
      </w:r>
      <w:r w:rsidR="001238F2" w:rsidRPr="00A241F5">
        <w:rPr>
          <w:rFonts w:cs="Arial"/>
        </w:rPr>
        <w:t xml:space="preserve"> </w:t>
      </w:r>
    </w:p>
    <w:p w14:paraId="65DB8F24" w14:textId="77777777" w:rsidR="00A90DFD" w:rsidRPr="00A241F5" w:rsidRDefault="00A90DFD" w:rsidP="001238F2">
      <w:pPr>
        <w:widowControl/>
        <w:tabs>
          <w:tab w:val="clear" w:pos="1418"/>
          <w:tab w:val="left" w:pos="1440"/>
        </w:tabs>
        <w:rPr>
          <w:rFonts w:cs="Arial"/>
        </w:rPr>
      </w:pPr>
    </w:p>
    <w:p w14:paraId="3D86B1E3" w14:textId="6CC7ACC2" w:rsidR="001806E6" w:rsidRPr="00A241F5" w:rsidRDefault="00C61F4B" w:rsidP="00BD5776">
      <w:pPr>
        <w:pStyle w:val="BlockText"/>
      </w:pPr>
      <w:r w:rsidRPr="00A241F5">
        <w:t>"</w:t>
      </w:r>
      <w:r w:rsidR="00183CB7" w:rsidRPr="00A241F5">
        <w:t>…</w:t>
      </w:r>
      <w:r w:rsidR="008D61D3" w:rsidRPr="00A241F5">
        <w:t xml:space="preserve"> </w:t>
      </w:r>
      <w:r w:rsidR="00A90DFD" w:rsidRPr="00A241F5">
        <w:t xml:space="preserve">there should be </w:t>
      </w:r>
      <w:r w:rsidR="001238F2" w:rsidRPr="00A241F5">
        <w:t xml:space="preserve">no express prohibition on the recovery from the respondent of any Success Fee and ATE insurance premium.  The awarding of legal </w:t>
      </w:r>
      <w:r w:rsidRPr="00A241F5">
        <w:t>'</w:t>
      </w:r>
      <w:r w:rsidR="001238F2" w:rsidRPr="00A241F5">
        <w:t>and other costs</w:t>
      </w:r>
      <w:r w:rsidRPr="00A241F5">
        <w:t>'</w:t>
      </w:r>
      <w:r w:rsidR="001238F2" w:rsidRPr="00A241F5">
        <w:t xml:space="preserve"> in an arbitration should continue to be at the discretion of the arbitral tribunal in line with international best practice.  Under section 74(7) of the Arbitration Ordinance, the tribunal must only allow costs </w:t>
      </w:r>
      <w:r w:rsidRPr="00A241F5">
        <w:t>'</w:t>
      </w:r>
      <w:r w:rsidR="001238F2" w:rsidRPr="00A241F5">
        <w:t>that are reasonable having regard to all the circumstances.</w:t>
      </w:r>
      <w:r w:rsidRPr="00A241F5">
        <w:t>'</w:t>
      </w:r>
      <w:r w:rsidR="001238F2" w:rsidRPr="00A241F5">
        <w:t xml:space="preserve">  In the case of a CFA, this may, depending on the circumstances of the case, include any Success Fee and/or ATE insurance premium. </w:t>
      </w:r>
    </w:p>
    <w:p w14:paraId="5BE5DA00" w14:textId="77777777" w:rsidR="001806E6" w:rsidRPr="00A241F5" w:rsidRDefault="001806E6" w:rsidP="00BD5776">
      <w:pPr>
        <w:pStyle w:val="BlockText"/>
      </w:pPr>
    </w:p>
    <w:p w14:paraId="0194212E" w14:textId="36E001A6" w:rsidR="001238F2" w:rsidRPr="00A241F5" w:rsidRDefault="001238F2" w:rsidP="00BD5776">
      <w:pPr>
        <w:pStyle w:val="BlockText"/>
        <w:rPr>
          <w:lang w:val="en-HK"/>
        </w:rPr>
      </w:pPr>
      <w:r w:rsidRPr="00A241F5">
        <w:t>Consistent with the core arbitral principles of flexibility and party-autonomy, the tribunal should retai</w:t>
      </w:r>
      <w:r w:rsidR="009F7CD6" w:rsidRPr="00A241F5">
        <w:t xml:space="preserve">n </w:t>
      </w:r>
      <w:r w:rsidRPr="00A241F5">
        <w:t>flexibility to do justice in the case as it sees fit, subject to any overarching agreement otherwise between the parties</w:t>
      </w:r>
      <w:r w:rsidR="00923002" w:rsidRPr="00A241F5">
        <w:t>.</w:t>
      </w:r>
      <w:r w:rsidR="00C61F4B" w:rsidRPr="00A241F5">
        <w:t>"</w:t>
      </w:r>
      <w:r w:rsidRPr="00A241F5">
        <w:t xml:space="preserve">  </w:t>
      </w:r>
    </w:p>
    <w:p w14:paraId="2AC99DF4" w14:textId="77777777" w:rsidR="001238F2" w:rsidRPr="00A241F5" w:rsidRDefault="001238F2" w:rsidP="001238F2">
      <w:pPr>
        <w:widowControl/>
        <w:tabs>
          <w:tab w:val="clear" w:pos="1418"/>
          <w:tab w:val="left" w:pos="1440"/>
        </w:tabs>
        <w:rPr>
          <w:rFonts w:cs="Arial"/>
          <w:lang w:val="en-HK"/>
        </w:rPr>
      </w:pPr>
    </w:p>
    <w:p w14:paraId="13BD74FB" w14:textId="77777777" w:rsidR="001238F2" w:rsidRPr="00A241F5" w:rsidRDefault="001238F2" w:rsidP="001238F2">
      <w:pPr>
        <w:widowControl/>
        <w:tabs>
          <w:tab w:val="clear" w:pos="1418"/>
          <w:tab w:val="left" w:pos="1440"/>
        </w:tabs>
        <w:rPr>
          <w:rFonts w:cs="Arial"/>
          <w:lang w:val="en-HK"/>
        </w:rPr>
      </w:pPr>
    </w:p>
    <w:p w14:paraId="663D9045" w14:textId="77777777" w:rsidR="001238F2" w:rsidRPr="00A241F5" w:rsidRDefault="001238F2" w:rsidP="001238F2">
      <w:pPr>
        <w:pStyle w:val="Heading2"/>
        <w:keepLines/>
        <w:widowControl/>
        <w:tabs>
          <w:tab w:val="clear" w:pos="1418"/>
          <w:tab w:val="left" w:pos="1440"/>
        </w:tabs>
        <w:rPr>
          <w:rFonts w:cs="Arial"/>
        </w:rPr>
      </w:pPr>
      <w:r w:rsidRPr="00A241F5">
        <w:rPr>
          <w:rFonts w:cs="Arial"/>
        </w:rPr>
        <w:t>Our analysis and response</w:t>
      </w:r>
    </w:p>
    <w:p w14:paraId="62D48968" w14:textId="77777777" w:rsidR="001238F2" w:rsidRPr="00A241F5" w:rsidRDefault="001238F2" w:rsidP="001238F2">
      <w:pPr>
        <w:keepNext/>
        <w:keepLines/>
        <w:widowControl/>
        <w:tabs>
          <w:tab w:val="clear" w:pos="1418"/>
          <w:tab w:val="left" w:pos="1440"/>
        </w:tabs>
        <w:rPr>
          <w:rFonts w:cs="Arial"/>
        </w:rPr>
      </w:pPr>
    </w:p>
    <w:p w14:paraId="0EA85751" w14:textId="5BB2DF6D" w:rsidR="001238F2" w:rsidRPr="00A241F5" w:rsidRDefault="00A87076" w:rsidP="001238F2">
      <w:pPr>
        <w:widowControl/>
        <w:tabs>
          <w:tab w:val="clear" w:pos="1418"/>
          <w:tab w:val="left" w:pos="1440"/>
        </w:tabs>
        <w:rPr>
          <w:rFonts w:cs="Arial"/>
        </w:rPr>
      </w:pPr>
      <w:r w:rsidRPr="00A241F5">
        <w:rPr>
          <w:rFonts w:cs="Arial"/>
        </w:rPr>
        <w:t>6.</w:t>
      </w:r>
      <w:r w:rsidR="001238F2" w:rsidRPr="00A241F5">
        <w:rPr>
          <w:rFonts w:cs="Arial"/>
        </w:rPr>
        <w:t>7</w:t>
      </w:r>
      <w:r w:rsidR="001238F2" w:rsidRPr="00A241F5">
        <w:rPr>
          <w:rFonts w:cs="Arial"/>
        </w:rPr>
        <w:tab/>
        <w:t>As with Recommendation 2, the overwhelming majority of Respondents who commented specifically on Recommendation 5 agreed with the Sub-committee</w:t>
      </w:r>
      <w:r w:rsidR="00C61F4B" w:rsidRPr="00A241F5">
        <w:rPr>
          <w:rFonts w:cs="Arial"/>
        </w:rPr>
        <w:t>'</w:t>
      </w:r>
      <w:r w:rsidR="001238F2" w:rsidRPr="00A241F5">
        <w:rPr>
          <w:rFonts w:cs="Arial"/>
        </w:rPr>
        <w:t xml:space="preserve">s view that the losing party should not be responsible for any ATE Insurance premium agreed by a client with its insurers. </w:t>
      </w:r>
    </w:p>
    <w:p w14:paraId="6B2A6D8E" w14:textId="77777777" w:rsidR="001238F2" w:rsidRPr="00A241F5" w:rsidRDefault="001238F2" w:rsidP="001238F2">
      <w:pPr>
        <w:widowControl/>
        <w:tabs>
          <w:tab w:val="clear" w:pos="1418"/>
          <w:tab w:val="left" w:pos="1440"/>
        </w:tabs>
        <w:rPr>
          <w:rFonts w:cs="Arial"/>
        </w:rPr>
      </w:pPr>
    </w:p>
    <w:p w14:paraId="0D18C15B" w14:textId="54E285ED" w:rsidR="001238F2" w:rsidRPr="00A241F5" w:rsidRDefault="00A87076" w:rsidP="001238F2">
      <w:pPr>
        <w:widowControl/>
        <w:tabs>
          <w:tab w:val="clear" w:pos="1418"/>
          <w:tab w:val="left" w:pos="1440"/>
        </w:tabs>
        <w:rPr>
          <w:rFonts w:cs="Arial"/>
        </w:rPr>
      </w:pPr>
      <w:r w:rsidRPr="00A241F5">
        <w:rPr>
          <w:rFonts w:cs="Arial"/>
        </w:rPr>
        <w:t>6.</w:t>
      </w:r>
      <w:r w:rsidR="001238F2" w:rsidRPr="00A241F5">
        <w:rPr>
          <w:rFonts w:cs="Arial"/>
        </w:rPr>
        <w:t>8</w:t>
      </w:r>
      <w:r w:rsidR="001238F2" w:rsidRPr="00A241F5">
        <w:rPr>
          <w:rFonts w:cs="Arial"/>
        </w:rPr>
        <w:tab/>
        <w:t xml:space="preserve">We have, however, also considered the arguments made that the Tribunal should have discretion over whether, and on what basis, to award legal </w:t>
      </w:r>
      <w:r w:rsidR="001238F2" w:rsidRPr="00A241F5">
        <w:rPr>
          <w:rFonts w:cs="Arial"/>
        </w:rPr>
        <w:lastRenderedPageBreak/>
        <w:t xml:space="preserve">and other costs incurred by the winning party in the Arbitration, as well as the related references made to the English decision of </w:t>
      </w:r>
      <w:r w:rsidR="001238F2" w:rsidRPr="00A241F5">
        <w:rPr>
          <w:rFonts w:cs="Arial"/>
          <w:i/>
        </w:rPr>
        <w:t>Essar v Norscot</w:t>
      </w:r>
      <w:r w:rsidR="001238F2" w:rsidRPr="00A241F5">
        <w:rPr>
          <w:rFonts w:cs="Arial"/>
        </w:rPr>
        <w:t xml:space="preserve">.  As noted above, the facts of </w:t>
      </w:r>
      <w:r w:rsidR="001238F2" w:rsidRPr="00A241F5">
        <w:rPr>
          <w:rFonts w:cs="Arial"/>
          <w:i/>
        </w:rPr>
        <w:t>Essar v Norscot</w:t>
      </w:r>
      <w:r w:rsidR="001238F2" w:rsidRPr="00A241F5">
        <w:rPr>
          <w:rFonts w:cs="Arial"/>
        </w:rPr>
        <w:t xml:space="preserve"> were unusual, and the Tribunal made the decision to order the losing party to bear the third party funder premium of the winning party based on the exceptional circumstances in that case.   Therefore, we consider that where a DBA</w:t>
      </w:r>
      <w:r w:rsidR="0020498D" w:rsidRPr="00A241F5">
        <w:rPr>
          <w:rFonts w:cs="Arial"/>
        </w:rPr>
        <w:t>, or a Hybrid DBA,</w:t>
      </w:r>
      <w:r w:rsidR="001238F2" w:rsidRPr="00A241F5">
        <w:rPr>
          <w:rFonts w:cs="Arial"/>
        </w:rPr>
        <w:t xml:space="preserve"> is in place, there is merit in giving the Tribunal discretion, in exceptional circumstances, to order the losing party to pay any ATE Insurance premium that has been incurred by the successful party.  </w:t>
      </w:r>
    </w:p>
    <w:p w14:paraId="09BE71E4" w14:textId="77777777" w:rsidR="001238F2" w:rsidRPr="00A241F5" w:rsidRDefault="001238F2" w:rsidP="001238F2">
      <w:pPr>
        <w:widowControl/>
        <w:tabs>
          <w:tab w:val="clear" w:pos="1418"/>
          <w:tab w:val="left" w:pos="1440"/>
        </w:tabs>
        <w:rPr>
          <w:rFonts w:cs="Arial"/>
        </w:rPr>
      </w:pPr>
    </w:p>
    <w:p w14:paraId="6A23E349" w14:textId="458A1C51" w:rsidR="001238F2" w:rsidRPr="00A241F5" w:rsidRDefault="00A87076" w:rsidP="001238F2">
      <w:pPr>
        <w:widowControl/>
        <w:tabs>
          <w:tab w:val="clear" w:pos="1418"/>
          <w:tab w:val="left" w:pos="1440"/>
        </w:tabs>
        <w:rPr>
          <w:rFonts w:cs="Arial"/>
        </w:rPr>
      </w:pPr>
      <w:r w:rsidRPr="00A241F5">
        <w:rPr>
          <w:rFonts w:cs="Arial"/>
        </w:rPr>
        <w:t>6.</w:t>
      </w:r>
      <w:r w:rsidR="001238F2" w:rsidRPr="00A241F5">
        <w:rPr>
          <w:rFonts w:cs="Arial"/>
        </w:rPr>
        <w:t>9</w:t>
      </w:r>
      <w:r w:rsidR="001238F2" w:rsidRPr="00A241F5">
        <w:rPr>
          <w:rFonts w:cs="Arial"/>
        </w:rPr>
        <w:tab/>
        <w:t>For all these reasons, our final recommendation is similar to Final Recommendation 2, namely that the position under Hong Kong law for Arbitration should be that, where a DBA</w:t>
      </w:r>
      <w:r w:rsidR="00D86777" w:rsidRPr="00A241F5">
        <w:rPr>
          <w:rFonts w:cs="Arial"/>
        </w:rPr>
        <w:t>, or a Hybrid DBA,</w:t>
      </w:r>
      <w:r w:rsidR="001238F2" w:rsidRPr="00A241F5">
        <w:rPr>
          <w:rFonts w:cs="Arial"/>
        </w:rPr>
        <w:t xml:space="preserve"> is in place, the losing party should not, in principle, be liable to pay any Legal Expense Insurance (including ATE Insurance) premium agreed by the winning party with its insurers.  However, in exceptional circumstances, the Tribunal should have power to apportion those costs between the parties in the Arbitration based on the e</w:t>
      </w:r>
      <w:r w:rsidR="00614E5B" w:rsidRPr="00A241F5">
        <w:rPr>
          <w:rFonts w:cs="Arial"/>
        </w:rPr>
        <w:t>xceptional circumstances of the</w:t>
      </w:r>
      <w:r w:rsidR="001238F2" w:rsidRPr="00A241F5">
        <w:rPr>
          <w:rFonts w:cs="Arial"/>
        </w:rPr>
        <w:t xml:space="preserve"> case.  </w:t>
      </w:r>
    </w:p>
    <w:p w14:paraId="7DD34ED8" w14:textId="77777777" w:rsidR="001238F2" w:rsidRPr="00A241F5" w:rsidRDefault="001238F2" w:rsidP="001238F2">
      <w:pPr>
        <w:widowControl/>
        <w:tabs>
          <w:tab w:val="clear" w:pos="1418"/>
          <w:tab w:val="left" w:pos="1440"/>
        </w:tabs>
      </w:pPr>
      <w:r w:rsidRPr="00A241F5">
        <w:rPr>
          <w:rFonts w:cs="Arial"/>
        </w:rPr>
        <w:t xml:space="preserve"> </w:t>
      </w:r>
    </w:p>
    <w:p w14:paraId="2E84A0D1" w14:textId="77777777" w:rsidR="001238F2" w:rsidRPr="00A241F5" w:rsidRDefault="001238F2" w:rsidP="001238F2">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t>Final Recommendation 5</w:t>
      </w:r>
    </w:p>
    <w:p w14:paraId="311A3E94" w14:textId="77777777" w:rsidR="001238F2" w:rsidRPr="00A241F5" w:rsidRDefault="001238F2" w:rsidP="001238F2">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583CF102" w14:textId="4C9A6C60" w:rsidR="001238F2" w:rsidRPr="00A241F5" w:rsidRDefault="001238F2" w:rsidP="001238F2">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rPr>
          <w:rFonts w:cs="Arial"/>
        </w:rPr>
        <w:t xml:space="preserve">Where a DBA, or a Hybrid DBA, is in place, we recommend that any Legal Expense Insurance premium agreed by a client with its insurers shall not, in principle, be borne by the unsuccessful party. </w:t>
      </w:r>
      <w:r w:rsidR="00B42F3A" w:rsidRPr="00A241F5">
        <w:rPr>
          <w:rFonts w:cs="Arial"/>
        </w:rPr>
        <w:t xml:space="preserve"> </w:t>
      </w:r>
      <w:r w:rsidRPr="00A241F5">
        <w:rPr>
          <w:rFonts w:cs="Arial"/>
        </w:rPr>
        <w:t xml:space="preserve">However, where in the opinion of the Tribunal there are exceptional circumstances, the Tribunal may apportion such Legal Expense Insurance premium between the parties if it determines that apportionment is reasonable, taking into account the exceptional circumstances of the case. </w:t>
      </w:r>
    </w:p>
    <w:p w14:paraId="34F6B2BE" w14:textId="77777777" w:rsidR="001238F2" w:rsidRPr="00A241F5" w:rsidRDefault="001238F2" w:rsidP="001238F2">
      <w:pPr>
        <w:rPr>
          <w:b/>
        </w:rPr>
      </w:pPr>
    </w:p>
    <w:p w14:paraId="7733F4C4" w14:textId="77777777" w:rsidR="001238F2" w:rsidRPr="00A241F5" w:rsidRDefault="001238F2" w:rsidP="001238F2">
      <w:pPr>
        <w:widowControl/>
        <w:tabs>
          <w:tab w:val="clear" w:pos="1418"/>
          <w:tab w:val="left" w:pos="1440"/>
        </w:tabs>
        <w:rPr>
          <w:rFonts w:cs="Arial"/>
        </w:rPr>
        <w:sectPr w:rsidR="001238F2" w:rsidRPr="00A241F5" w:rsidSect="00AC7FE5">
          <w:footerReference w:type="default" r:id="rId23"/>
          <w:footnotePr>
            <w:numRestart w:val="eachSect"/>
          </w:footnotePr>
          <w:pgSz w:w="11909" w:h="16834" w:code="9"/>
          <w:pgMar w:top="1440" w:right="1800" w:bottom="1440" w:left="1800" w:header="720" w:footer="720" w:gutter="0"/>
          <w:cols w:space="425"/>
          <w:docGrid w:linePitch="360"/>
        </w:sectPr>
      </w:pPr>
    </w:p>
    <w:p w14:paraId="31266A50" w14:textId="4F430F37" w:rsidR="009247ED" w:rsidRPr="00A241F5" w:rsidRDefault="00070C53" w:rsidP="009247ED">
      <w:pPr>
        <w:pStyle w:val="Heading1"/>
      </w:pPr>
      <w:bookmarkStart w:id="19" w:name="Chapter07"/>
      <w:bookmarkEnd w:id="19"/>
      <w:r w:rsidRPr="00A241F5">
        <w:lastRenderedPageBreak/>
        <w:t>Chapter 7</w:t>
      </w:r>
    </w:p>
    <w:p w14:paraId="29C93A7B" w14:textId="77777777" w:rsidR="009247ED" w:rsidRPr="00A241F5" w:rsidRDefault="009247ED" w:rsidP="009247ED">
      <w:pPr>
        <w:pStyle w:val="Heading2"/>
        <w:widowControl/>
        <w:tabs>
          <w:tab w:val="clear" w:pos="1418"/>
          <w:tab w:val="left" w:pos="1440"/>
        </w:tabs>
        <w:rPr>
          <w:rFonts w:cs="Arial"/>
        </w:rPr>
      </w:pPr>
    </w:p>
    <w:p w14:paraId="60424779" w14:textId="77777777" w:rsidR="002924EF" w:rsidRPr="00A241F5" w:rsidRDefault="009247ED" w:rsidP="009247ED">
      <w:pPr>
        <w:pStyle w:val="Heading1"/>
      </w:pPr>
      <w:r w:rsidRPr="00A241F5">
        <w:t xml:space="preserve">Success fee model should apply </w:t>
      </w:r>
    </w:p>
    <w:p w14:paraId="53EE3DCA" w14:textId="572787B5" w:rsidR="009247ED" w:rsidRPr="00A241F5" w:rsidRDefault="009247ED" w:rsidP="002924EF">
      <w:pPr>
        <w:pStyle w:val="Heading1"/>
      </w:pPr>
      <w:r w:rsidRPr="00A241F5">
        <w:t>where a</w:t>
      </w:r>
      <w:r w:rsidR="002924EF" w:rsidRPr="00A241F5">
        <w:t xml:space="preserve"> </w:t>
      </w:r>
      <w:r w:rsidRPr="00A241F5">
        <w:t>DBA is in place</w:t>
      </w:r>
    </w:p>
    <w:p w14:paraId="75C54479" w14:textId="5401868F" w:rsidR="009247ED" w:rsidRPr="00A241F5" w:rsidRDefault="009247ED" w:rsidP="009247ED">
      <w:pPr>
        <w:rPr>
          <w:rFonts w:cs="Arial"/>
        </w:rPr>
      </w:pPr>
      <w:r w:rsidRPr="00A241F5">
        <w:rPr>
          <w:rFonts w:cs="Arial"/>
        </w:rPr>
        <w:t>__________________________________________</w:t>
      </w:r>
    </w:p>
    <w:p w14:paraId="2BE0CAD9" w14:textId="4193E4C6" w:rsidR="009247ED" w:rsidRPr="00A241F5" w:rsidRDefault="009247ED" w:rsidP="009247ED">
      <w:pPr>
        <w:pStyle w:val="Heading2"/>
        <w:widowControl/>
        <w:tabs>
          <w:tab w:val="clear" w:pos="1418"/>
          <w:tab w:val="left" w:pos="1440"/>
        </w:tabs>
        <w:rPr>
          <w:rFonts w:cs="Arial"/>
        </w:rPr>
      </w:pPr>
    </w:p>
    <w:p w14:paraId="61BC556C" w14:textId="77777777" w:rsidR="0077751A" w:rsidRPr="00A241F5" w:rsidRDefault="0077751A" w:rsidP="0077751A"/>
    <w:p w14:paraId="69D2A818" w14:textId="77777777" w:rsidR="009247ED" w:rsidRPr="00A241F5" w:rsidRDefault="009247ED" w:rsidP="009247ED"/>
    <w:p w14:paraId="51878293" w14:textId="3B6F05B6" w:rsidR="009247ED" w:rsidRPr="00A241F5" w:rsidRDefault="009247ED" w:rsidP="009247ED">
      <w:pPr>
        <w:pStyle w:val="Heading2"/>
        <w:widowControl/>
        <w:tabs>
          <w:tab w:val="clear" w:pos="1418"/>
          <w:tab w:val="left" w:pos="1440"/>
        </w:tabs>
        <w:rPr>
          <w:rFonts w:cs="Arial"/>
        </w:rPr>
      </w:pPr>
      <w:r w:rsidRPr="00A241F5">
        <w:rPr>
          <w:rFonts w:cs="Arial"/>
        </w:rPr>
        <w:t>Responses to the Sub-committee</w:t>
      </w:r>
      <w:r w:rsidR="00C61F4B" w:rsidRPr="00A241F5">
        <w:rPr>
          <w:rFonts w:cs="Arial"/>
        </w:rPr>
        <w:t>'</w:t>
      </w:r>
      <w:r w:rsidRPr="00A241F5">
        <w:rPr>
          <w:rFonts w:cs="Arial"/>
        </w:rPr>
        <w:t>s Recommendation 6</w:t>
      </w:r>
    </w:p>
    <w:p w14:paraId="56A923C8" w14:textId="77777777" w:rsidR="009247ED" w:rsidRPr="00A241F5" w:rsidRDefault="009247ED" w:rsidP="009247ED">
      <w:pPr>
        <w:widowControl/>
        <w:tabs>
          <w:tab w:val="clear" w:pos="1418"/>
          <w:tab w:val="left" w:pos="1440"/>
        </w:tabs>
        <w:rPr>
          <w:rFonts w:cs="Arial"/>
        </w:rPr>
      </w:pPr>
    </w:p>
    <w:p w14:paraId="31CE9C74" w14:textId="2079BFE2" w:rsidR="009247ED" w:rsidRPr="00A241F5" w:rsidRDefault="002924EF" w:rsidP="009247ED">
      <w:pPr>
        <w:widowControl/>
        <w:tabs>
          <w:tab w:val="clear" w:pos="1418"/>
          <w:tab w:val="left" w:pos="1440"/>
        </w:tabs>
        <w:rPr>
          <w:rFonts w:cs="Arial"/>
        </w:rPr>
      </w:pPr>
      <w:r w:rsidRPr="00A241F5">
        <w:rPr>
          <w:rFonts w:cs="Arial"/>
        </w:rPr>
        <w:t>7.</w:t>
      </w:r>
      <w:r w:rsidR="009247ED" w:rsidRPr="00A241F5">
        <w:rPr>
          <w:rFonts w:cs="Arial"/>
        </w:rPr>
        <w:t>1</w:t>
      </w:r>
      <w:r w:rsidR="009247ED" w:rsidRPr="00A241F5">
        <w:rPr>
          <w:rFonts w:cs="Arial"/>
        </w:rPr>
        <w:tab/>
        <w:t xml:space="preserve">This Chapter discusses the responses regarding Recommendation 6 in the Consultation Paper: </w:t>
      </w:r>
    </w:p>
    <w:p w14:paraId="5E54DE16" w14:textId="77777777" w:rsidR="009247ED" w:rsidRPr="00A241F5" w:rsidRDefault="009247ED" w:rsidP="009247ED">
      <w:pPr>
        <w:widowControl/>
        <w:tabs>
          <w:tab w:val="clear" w:pos="1418"/>
          <w:tab w:val="left" w:pos="1440"/>
        </w:tabs>
        <w:rPr>
          <w:rFonts w:cs="Arial"/>
        </w:rPr>
      </w:pPr>
    </w:p>
    <w:p w14:paraId="78D8EAEC" w14:textId="609D4531" w:rsidR="009247ED" w:rsidRPr="00A241F5" w:rsidRDefault="00C61F4B" w:rsidP="00C22562">
      <w:pPr>
        <w:widowControl/>
        <w:tabs>
          <w:tab w:val="clear" w:pos="1418"/>
          <w:tab w:val="left" w:pos="1440"/>
        </w:tabs>
        <w:ind w:left="720"/>
        <w:rPr>
          <w:rFonts w:cs="Arial"/>
        </w:rPr>
      </w:pPr>
      <w:r w:rsidRPr="00A241F5">
        <w:rPr>
          <w:rFonts w:cs="Arial"/>
          <w:i/>
        </w:rPr>
        <w:t>"</w:t>
      </w:r>
      <w:r w:rsidR="009247ED" w:rsidRPr="00A241F5">
        <w:rPr>
          <w:rFonts w:cs="Arial"/>
          <w:i/>
        </w:rPr>
        <w:t>The Sub-committee invites submissions on whether the Ontario model or the Success fee model should apply to DBAs</w:t>
      </w:r>
      <w:r w:rsidR="009247ED" w:rsidRPr="00A241F5">
        <w:rPr>
          <w:rFonts w:cs="Arial"/>
        </w:rPr>
        <w:t>.</w:t>
      </w:r>
    </w:p>
    <w:p w14:paraId="34B96662" w14:textId="77777777" w:rsidR="009247ED" w:rsidRPr="00A241F5" w:rsidRDefault="009247ED" w:rsidP="00C22562">
      <w:pPr>
        <w:widowControl/>
        <w:tabs>
          <w:tab w:val="clear" w:pos="1418"/>
          <w:tab w:val="left" w:pos="1440"/>
        </w:tabs>
        <w:ind w:left="720"/>
        <w:rPr>
          <w:rFonts w:cs="Arial"/>
        </w:rPr>
      </w:pPr>
    </w:p>
    <w:p w14:paraId="479980D0" w14:textId="2470E708" w:rsidR="009247ED" w:rsidRPr="00A241F5" w:rsidRDefault="009247ED" w:rsidP="00C22562">
      <w:pPr>
        <w:widowControl/>
        <w:tabs>
          <w:tab w:val="clear" w:pos="1418"/>
          <w:tab w:val="left" w:pos="1440"/>
        </w:tabs>
        <w:ind w:left="720"/>
        <w:rPr>
          <w:rFonts w:cs="Arial"/>
        </w:rPr>
      </w:pPr>
      <w:r w:rsidRPr="00A241F5">
        <w:rPr>
          <w:i/>
        </w:rPr>
        <w:t>It is the Sub-committee</w:t>
      </w:r>
      <w:r w:rsidR="00C61F4B" w:rsidRPr="00A241F5">
        <w:rPr>
          <w:i/>
        </w:rPr>
        <w:t>'</w:t>
      </w:r>
      <w:r w:rsidRPr="00A241F5">
        <w:rPr>
          <w:i/>
        </w:rPr>
        <w:t>s preliminary view that the 2019 DBA Reform Project</w:t>
      </w:r>
      <w:r w:rsidR="00C61F4B" w:rsidRPr="00A241F5">
        <w:rPr>
          <w:i/>
        </w:rPr>
        <w:t>'</w:t>
      </w:r>
      <w:r w:rsidRPr="00A241F5">
        <w:rPr>
          <w:i/>
        </w:rPr>
        <w:t>s recommendation to move to a Success fee model should be followed.</w:t>
      </w:r>
      <w:r w:rsidR="00C61F4B" w:rsidRPr="00A241F5">
        <w:rPr>
          <w:rFonts w:cs="Arial"/>
          <w:i/>
        </w:rPr>
        <w:t>"</w:t>
      </w:r>
      <w:r w:rsidRPr="00A241F5">
        <w:rPr>
          <w:rStyle w:val="FootnoteReference"/>
          <w:rFonts w:cs="Arial"/>
          <w:sz w:val="24"/>
        </w:rPr>
        <w:footnoteReference w:id="43"/>
      </w:r>
      <w:r w:rsidRPr="00A241F5">
        <w:rPr>
          <w:rFonts w:cs="Arial"/>
        </w:rPr>
        <w:t xml:space="preserve"> </w:t>
      </w:r>
    </w:p>
    <w:p w14:paraId="66EF82C7" w14:textId="77777777" w:rsidR="009247ED" w:rsidRPr="00A241F5" w:rsidRDefault="009247ED" w:rsidP="009247ED">
      <w:pPr>
        <w:widowControl/>
        <w:tabs>
          <w:tab w:val="clear" w:pos="1418"/>
          <w:tab w:val="left" w:pos="1440"/>
        </w:tabs>
        <w:rPr>
          <w:rFonts w:cs="Arial"/>
        </w:rPr>
      </w:pPr>
    </w:p>
    <w:p w14:paraId="0D78F69F" w14:textId="34415AAA" w:rsidR="009247ED" w:rsidRPr="00A241F5" w:rsidRDefault="002924EF" w:rsidP="009247ED">
      <w:pPr>
        <w:widowControl/>
        <w:tabs>
          <w:tab w:val="clear" w:pos="1418"/>
          <w:tab w:val="left" w:pos="1440"/>
        </w:tabs>
        <w:rPr>
          <w:rFonts w:cs="Arial"/>
        </w:rPr>
      </w:pPr>
      <w:r w:rsidRPr="00A241F5">
        <w:rPr>
          <w:rFonts w:cs="Arial"/>
        </w:rPr>
        <w:t>7.</w:t>
      </w:r>
      <w:r w:rsidR="009247ED" w:rsidRPr="00A241F5">
        <w:rPr>
          <w:rFonts w:cs="Arial"/>
        </w:rPr>
        <w:t>2</w:t>
      </w:r>
      <w:r w:rsidR="009247ED" w:rsidRPr="00A241F5">
        <w:rPr>
          <w:rFonts w:cs="Arial"/>
        </w:rPr>
        <w:tab/>
        <w:t>Of the Respondents who commented specifically on Recommendation 6, almost all supported the application of the Success fee model to DBAs, as opposed to the Ontario model.  A small number of Respondents did not specifically agree, but this was primarily on the basis that the position on costs should not be pre-determined by legislation and/or that the Tribunal should retain discretion over how to apportion costs between the parties depending on the circumstances and outcome of the case.  Only one Respondent advocated for the Ontario model to apply, instead of the Success fee model, at least initially.</w:t>
      </w:r>
    </w:p>
    <w:p w14:paraId="7499DB92" w14:textId="77777777" w:rsidR="009247ED" w:rsidRPr="00A241F5" w:rsidRDefault="009247ED" w:rsidP="009247ED">
      <w:pPr>
        <w:widowControl/>
        <w:tabs>
          <w:tab w:val="clear" w:pos="1418"/>
          <w:tab w:val="left" w:pos="1440"/>
        </w:tabs>
        <w:rPr>
          <w:rFonts w:cs="Arial"/>
        </w:rPr>
      </w:pPr>
    </w:p>
    <w:p w14:paraId="4D895784" w14:textId="77777777" w:rsidR="009247ED" w:rsidRPr="00A241F5" w:rsidRDefault="009247ED" w:rsidP="009247ED">
      <w:pPr>
        <w:widowControl/>
        <w:tabs>
          <w:tab w:val="clear" w:pos="1418"/>
          <w:tab w:val="left" w:pos="1440"/>
        </w:tabs>
        <w:rPr>
          <w:rFonts w:cs="Arial"/>
        </w:rPr>
      </w:pPr>
    </w:p>
    <w:p w14:paraId="28EF36F3" w14:textId="77777777" w:rsidR="009247ED" w:rsidRPr="00A241F5" w:rsidRDefault="009247ED" w:rsidP="009247ED">
      <w:pPr>
        <w:pStyle w:val="Heading2"/>
        <w:widowControl/>
        <w:tabs>
          <w:tab w:val="clear" w:pos="1418"/>
          <w:tab w:val="left" w:pos="1440"/>
        </w:tabs>
        <w:rPr>
          <w:rFonts w:cs="Arial"/>
          <w:i/>
          <w:sz w:val="24"/>
        </w:rPr>
      </w:pPr>
      <w:r w:rsidRPr="00A241F5">
        <w:rPr>
          <w:rFonts w:cs="Arial"/>
          <w:i/>
          <w:sz w:val="24"/>
        </w:rPr>
        <w:t>Comments from Respondents who supported the Success fee model</w:t>
      </w:r>
    </w:p>
    <w:p w14:paraId="7C1BD381" w14:textId="77777777" w:rsidR="009247ED" w:rsidRPr="00A241F5" w:rsidRDefault="009247ED" w:rsidP="009247ED">
      <w:pPr>
        <w:widowControl/>
        <w:tabs>
          <w:tab w:val="clear" w:pos="1418"/>
          <w:tab w:val="left" w:pos="1440"/>
        </w:tabs>
        <w:rPr>
          <w:rFonts w:cs="Arial"/>
        </w:rPr>
      </w:pPr>
    </w:p>
    <w:p w14:paraId="528DE3CA" w14:textId="21883A47" w:rsidR="009247ED" w:rsidRPr="00A241F5" w:rsidRDefault="002924EF" w:rsidP="009247ED">
      <w:pPr>
        <w:widowControl/>
        <w:tabs>
          <w:tab w:val="clear" w:pos="1418"/>
          <w:tab w:val="left" w:pos="1440"/>
        </w:tabs>
        <w:rPr>
          <w:rFonts w:cs="Arial"/>
        </w:rPr>
      </w:pPr>
      <w:r w:rsidRPr="00A241F5">
        <w:rPr>
          <w:rFonts w:cs="Arial"/>
        </w:rPr>
        <w:t>7.</w:t>
      </w:r>
      <w:r w:rsidR="009247ED" w:rsidRPr="00A241F5">
        <w:rPr>
          <w:rFonts w:cs="Arial"/>
        </w:rPr>
        <w:t>3</w:t>
      </w:r>
      <w:r w:rsidR="009247ED" w:rsidRPr="00A241F5">
        <w:rPr>
          <w:rFonts w:cs="Arial"/>
        </w:rPr>
        <w:tab/>
        <w:t>The Law Society agreed with the Sub-committee</w:t>
      </w:r>
      <w:r w:rsidR="00C61F4B" w:rsidRPr="00A241F5">
        <w:rPr>
          <w:rFonts w:cs="Arial"/>
        </w:rPr>
        <w:t>'</w:t>
      </w:r>
      <w:r w:rsidR="009247ED" w:rsidRPr="00A241F5">
        <w:rPr>
          <w:rFonts w:cs="Arial"/>
        </w:rPr>
        <w:t xml:space="preserve">s tentative recommendation that, if DBAs are used in arbitration, the Success fee model should be followed.  Having explained the differences between the two models, the Law Society said: </w:t>
      </w:r>
      <w:r w:rsidR="00C61F4B" w:rsidRPr="00A241F5">
        <w:rPr>
          <w:rFonts w:cs="Arial"/>
          <w:i/>
        </w:rPr>
        <w:t>"</w:t>
      </w:r>
      <w:r w:rsidR="009247ED" w:rsidRPr="00A241F5">
        <w:rPr>
          <w:rFonts w:cs="Arial"/>
          <w:i/>
        </w:rPr>
        <w:t xml:space="preserve">We </w:t>
      </w:r>
      <w:r w:rsidR="009247ED" w:rsidRPr="00A241F5">
        <w:rPr>
          <w:rFonts w:cs="Arial"/>
          <w:b/>
          <w:i/>
        </w:rPr>
        <w:t>strongly</w:t>
      </w:r>
      <w:r w:rsidR="009247ED" w:rsidRPr="00A241F5">
        <w:rPr>
          <w:rFonts w:cs="Arial"/>
          <w:i/>
        </w:rPr>
        <w:t xml:space="preserve"> feel that we ought to continue to follow the Success fee model.  Otherwise, essentially, a losing party stands to benefit at the expense of the winning party, which is inherently – and fundamentally – wrong … The Success fee model is clearly to be preferred … to fairly allow a winning party to recover as much of its recoverable costs as possible</w:t>
      </w:r>
      <w:r w:rsidR="00923002" w:rsidRPr="00A241F5">
        <w:rPr>
          <w:rFonts w:cs="Arial"/>
        </w:rPr>
        <w:t>.</w:t>
      </w:r>
      <w:r w:rsidR="00C61F4B" w:rsidRPr="00A241F5">
        <w:rPr>
          <w:rFonts w:cs="Arial"/>
          <w:i/>
        </w:rPr>
        <w:t>"</w:t>
      </w:r>
      <w:r w:rsidR="006B2524" w:rsidRPr="00A241F5">
        <w:rPr>
          <w:rFonts w:cs="Arial"/>
        </w:rPr>
        <w:t xml:space="preserve"> (emphasis in original)</w:t>
      </w:r>
      <w:r w:rsidR="00923002" w:rsidRPr="00A241F5">
        <w:rPr>
          <w:rFonts w:cs="Arial"/>
        </w:rPr>
        <w:t>.</w:t>
      </w:r>
      <w:r w:rsidR="00A75376" w:rsidRPr="00A241F5">
        <w:rPr>
          <w:rFonts w:cs="Arial"/>
        </w:rPr>
        <w:t xml:space="preserve"> </w:t>
      </w:r>
    </w:p>
    <w:p w14:paraId="286893D3" w14:textId="77777777" w:rsidR="009247ED" w:rsidRPr="00A241F5" w:rsidRDefault="009247ED" w:rsidP="009247ED">
      <w:pPr>
        <w:widowControl/>
        <w:tabs>
          <w:tab w:val="clear" w:pos="1418"/>
          <w:tab w:val="left" w:pos="1440"/>
        </w:tabs>
        <w:rPr>
          <w:rFonts w:cs="Arial"/>
        </w:rPr>
      </w:pPr>
    </w:p>
    <w:p w14:paraId="702539B2" w14:textId="77777777" w:rsidR="00856E8B" w:rsidRDefault="00856E8B" w:rsidP="00856E8B">
      <w:pPr>
        <w:keepNext/>
        <w:keepLines/>
        <w:widowControl/>
        <w:tabs>
          <w:tab w:val="clear" w:pos="1418"/>
          <w:tab w:val="left" w:pos="1440"/>
        </w:tabs>
        <w:rPr>
          <w:rFonts w:cs="Arial"/>
        </w:rPr>
      </w:pPr>
    </w:p>
    <w:p w14:paraId="474DDEF1" w14:textId="71CA1219" w:rsidR="008D11B8" w:rsidRPr="00A241F5" w:rsidRDefault="002924EF" w:rsidP="00856E8B">
      <w:pPr>
        <w:keepNext/>
        <w:keepLines/>
        <w:widowControl/>
        <w:tabs>
          <w:tab w:val="clear" w:pos="1418"/>
          <w:tab w:val="left" w:pos="1440"/>
        </w:tabs>
        <w:rPr>
          <w:rFonts w:cs="Arial"/>
        </w:rPr>
      </w:pPr>
      <w:r w:rsidRPr="00A241F5">
        <w:rPr>
          <w:rFonts w:cs="Arial"/>
        </w:rPr>
        <w:t>7.</w:t>
      </w:r>
      <w:r w:rsidR="009247ED" w:rsidRPr="00A241F5">
        <w:rPr>
          <w:rFonts w:cs="Arial"/>
        </w:rPr>
        <w:t>4</w:t>
      </w:r>
      <w:r w:rsidR="009247ED" w:rsidRPr="00A241F5">
        <w:rPr>
          <w:rFonts w:cs="Arial"/>
        </w:rPr>
        <w:tab/>
        <w:t xml:space="preserve">Two other Respondents, both law firms, agreed, with one noting: </w:t>
      </w:r>
    </w:p>
    <w:p w14:paraId="50683881" w14:textId="77777777" w:rsidR="008D11B8" w:rsidRPr="00A241F5" w:rsidRDefault="008D11B8" w:rsidP="00856E8B">
      <w:pPr>
        <w:keepNext/>
        <w:keepLines/>
        <w:widowControl/>
        <w:tabs>
          <w:tab w:val="clear" w:pos="1418"/>
          <w:tab w:val="left" w:pos="1440"/>
        </w:tabs>
        <w:rPr>
          <w:rFonts w:cs="Arial"/>
        </w:rPr>
      </w:pPr>
    </w:p>
    <w:p w14:paraId="4EFBDE84" w14:textId="34F8D316" w:rsidR="009247ED" w:rsidRPr="00A241F5" w:rsidRDefault="00C61F4B" w:rsidP="003A6D3A">
      <w:pPr>
        <w:widowControl/>
        <w:tabs>
          <w:tab w:val="clear" w:pos="1418"/>
          <w:tab w:val="left" w:pos="1440"/>
        </w:tabs>
        <w:ind w:left="720"/>
        <w:rPr>
          <w:rFonts w:cs="Arial"/>
        </w:rPr>
      </w:pPr>
      <w:r w:rsidRPr="00A241F5">
        <w:rPr>
          <w:rFonts w:cs="Arial"/>
          <w:i/>
        </w:rPr>
        <w:t>"</w:t>
      </w:r>
      <w:r w:rsidR="009247ED" w:rsidRPr="00A241F5">
        <w:rPr>
          <w:rFonts w:cs="Arial"/>
          <w:i/>
        </w:rPr>
        <w:t>We agree with the Sub-Committee</w:t>
      </w:r>
      <w:r w:rsidRPr="00A241F5">
        <w:rPr>
          <w:rFonts w:cs="Arial"/>
          <w:i/>
        </w:rPr>
        <w:t>'</w:t>
      </w:r>
      <w:r w:rsidR="009247ED" w:rsidRPr="00A241F5">
        <w:rPr>
          <w:rFonts w:cs="Arial"/>
          <w:i/>
        </w:rPr>
        <w:t>s view.  In particular, we view the cap on recoverability in the Ontario model to be problematic because a losing respondent may not be responsible for paying the full recoverable costs.  Our overarching view is that a losing respondent should be liable to pay the full recoverable costs on a costs indemnity basis, irrespective of which ORFS is employed between the client and lawyer (providing always of course that the claimant should not recover more than the amount of legal fees incurred)</w:t>
      </w:r>
      <w:r w:rsidR="00923002" w:rsidRPr="00A241F5">
        <w:rPr>
          <w:rFonts w:cs="Arial"/>
        </w:rPr>
        <w:t>.</w:t>
      </w:r>
      <w:r w:rsidRPr="00A241F5">
        <w:rPr>
          <w:rFonts w:cs="Arial"/>
          <w:i/>
        </w:rPr>
        <w:t>"</w:t>
      </w:r>
    </w:p>
    <w:p w14:paraId="2F945821" w14:textId="77777777" w:rsidR="009247ED" w:rsidRPr="00A241F5" w:rsidRDefault="009247ED" w:rsidP="009247ED">
      <w:pPr>
        <w:widowControl/>
        <w:tabs>
          <w:tab w:val="clear" w:pos="1418"/>
          <w:tab w:val="left" w:pos="1440"/>
        </w:tabs>
        <w:rPr>
          <w:rFonts w:cs="Arial"/>
        </w:rPr>
      </w:pPr>
    </w:p>
    <w:p w14:paraId="0192A671" w14:textId="42841BC6" w:rsidR="002924EF" w:rsidRPr="00A241F5" w:rsidRDefault="002924EF" w:rsidP="009247ED">
      <w:pPr>
        <w:widowControl/>
        <w:tabs>
          <w:tab w:val="clear" w:pos="1418"/>
          <w:tab w:val="left" w:pos="1440"/>
        </w:tabs>
        <w:rPr>
          <w:rFonts w:cs="Arial"/>
        </w:rPr>
      </w:pPr>
      <w:r w:rsidRPr="00A241F5">
        <w:rPr>
          <w:rFonts w:cs="Arial"/>
        </w:rPr>
        <w:t>7.</w:t>
      </w:r>
      <w:r w:rsidR="009247ED" w:rsidRPr="00A241F5">
        <w:rPr>
          <w:rFonts w:cs="Arial"/>
        </w:rPr>
        <w:t>5</w:t>
      </w:r>
      <w:r w:rsidR="009247ED" w:rsidRPr="00A241F5">
        <w:rPr>
          <w:rFonts w:cs="Arial"/>
        </w:rPr>
        <w:tab/>
      </w:r>
      <w:r w:rsidR="002E4F7C" w:rsidRPr="00A241F5">
        <w:rPr>
          <w:rFonts w:cs="Arial"/>
        </w:rPr>
        <w:t xml:space="preserve">A </w:t>
      </w:r>
      <w:r w:rsidR="00DC4EB7" w:rsidRPr="00A241F5">
        <w:rPr>
          <w:rFonts w:cs="Arial"/>
        </w:rPr>
        <w:t xml:space="preserve">professional body and a </w:t>
      </w:r>
      <w:r w:rsidR="002E4F7C" w:rsidRPr="00A241F5">
        <w:t>consumer/public interest group</w:t>
      </w:r>
      <w:r w:rsidR="009247ED" w:rsidRPr="00A241F5">
        <w:rPr>
          <w:rFonts w:cs="Arial"/>
        </w:rPr>
        <w:t xml:space="preserve"> concurred, saying </w:t>
      </w:r>
      <w:r w:rsidR="00C61F4B" w:rsidRPr="00A241F5">
        <w:rPr>
          <w:rFonts w:cs="Arial"/>
          <w:i/>
        </w:rPr>
        <w:t>"</w:t>
      </w:r>
      <w:r w:rsidR="009247ED" w:rsidRPr="00A241F5">
        <w:rPr>
          <w:rFonts w:cs="Arial"/>
          <w:i/>
        </w:rPr>
        <w:t>The success fee model should apply to DBAs</w:t>
      </w:r>
      <w:r w:rsidR="00C61F4B" w:rsidRPr="00A241F5">
        <w:rPr>
          <w:rFonts w:cs="Arial"/>
          <w:i/>
        </w:rPr>
        <w:t>"</w:t>
      </w:r>
      <w:r w:rsidR="009247ED" w:rsidRPr="00A241F5">
        <w:rPr>
          <w:rFonts w:cs="Arial"/>
        </w:rPr>
        <w:t xml:space="preserve">, and </w:t>
      </w:r>
    </w:p>
    <w:p w14:paraId="39F05F18" w14:textId="77777777" w:rsidR="002924EF" w:rsidRPr="00A241F5" w:rsidRDefault="002924EF" w:rsidP="009247ED">
      <w:pPr>
        <w:widowControl/>
        <w:tabs>
          <w:tab w:val="clear" w:pos="1418"/>
          <w:tab w:val="left" w:pos="1440"/>
        </w:tabs>
        <w:rPr>
          <w:rFonts w:cs="Arial"/>
        </w:rPr>
      </w:pPr>
    </w:p>
    <w:p w14:paraId="6905AC39" w14:textId="66E238E5" w:rsidR="009247ED" w:rsidRPr="00A241F5" w:rsidRDefault="00C61F4B" w:rsidP="00717512">
      <w:pPr>
        <w:pStyle w:val="BlockText"/>
      </w:pPr>
      <w:r w:rsidRPr="00A241F5">
        <w:t>"</w:t>
      </w:r>
      <w:r w:rsidR="009247ED" w:rsidRPr="00A241F5">
        <w:t xml:space="preserve">The </w:t>
      </w:r>
      <w:r w:rsidR="00250D62" w:rsidRPr="00A241F5">
        <w:rPr>
          <w:i w:val="0"/>
        </w:rPr>
        <w:t>[</w:t>
      </w:r>
      <w:r w:rsidR="00250D62" w:rsidRPr="00A241F5">
        <w:t>group</w:t>
      </w:r>
      <w:r w:rsidR="00250D62" w:rsidRPr="00A241F5">
        <w:rPr>
          <w:i w:val="0"/>
        </w:rPr>
        <w:t>]</w:t>
      </w:r>
      <w:r w:rsidR="00250D62" w:rsidRPr="00A241F5">
        <w:t xml:space="preserve"> </w:t>
      </w:r>
      <w:r w:rsidR="009247ED" w:rsidRPr="00A241F5">
        <w:t>agrees with the Sub-committee</w:t>
      </w:r>
      <w:r w:rsidRPr="00A241F5">
        <w:t>'</w:t>
      </w:r>
      <w:r w:rsidR="009247ED" w:rsidRPr="00A241F5">
        <w:t xml:space="preserve">s preliminary view … </w:t>
      </w:r>
      <w:r w:rsidR="009247ED" w:rsidRPr="00A241F5">
        <w:rPr>
          <w:i w:val="0"/>
        </w:rPr>
        <w:t>[</w:t>
      </w:r>
      <w:r w:rsidR="009247ED" w:rsidRPr="00A241F5">
        <w:t>that</w:t>
      </w:r>
      <w:r w:rsidR="009247ED" w:rsidRPr="00A241F5">
        <w:rPr>
          <w:i w:val="0"/>
        </w:rPr>
        <w:t>]</w:t>
      </w:r>
      <w:r w:rsidR="009247ED" w:rsidRPr="00A241F5">
        <w:t xml:space="preserve"> a Success fee model should be followed.  Under the Ontario model</w:t>
      </w:r>
      <w:r w:rsidR="00D86777" w:rsidRPr="00A241F5">
        <w:t>,</w:t>
      </w:r>
      <w:r w:rsidR="009247ED" w:rsidRPr="00A241F5">
        <w:t xml:space="preserve"> if the claim is successful, the lawyer cannot treat the DBA Payment as a true success fee, on top of the recoverable costs incurred to successfully pursue the claim.  The </w:t>
      </w:r>
      <w:r w:rsidR="00250D62" w:rsidRPr="00A241F5">
        <w:rPr>
          <w:i w:val="0"/>
        </w:rPr>
        <w:t>[</w:t>
      </w:r>
      <w:r w:rsidR="00250D62" w:rsidRPr="00A241F5">
        <w:t>group</w:t>
      </w:r>
      <w:r w:rsidR="00250D62" w:rsidRPr="00A241F5">
        <w:rPr>
          <w:i w:val="0"/>
        </w:rPr>
        <w:t>]</w:t>
      </w:r>
      <w:r w:rsidR="00250D62" w:rsidRPr="00A241F5">
        <w:t xml:space="preserve"> </w:t>
      </w:r>
      <w:r w:rsidR="009247ED" w:rsidRPr="00A241F5">
        <w:t>found it unfair to Lawyers.  Conversely, the Success fee model allows Lawyers to retain the DBA Payment on top of the recoverable costs awarded, whereby the lawyers will be reasonably remunerated in proportion to what they have given</w:t>
      </w:r>
      <w:r w:rsidR="00923002" w:rsidRPr="00A241F5">
        <w:t>.</w:t>
      </w:r>
      <w:r w:rsidRPr="00A241F5">
        <w:t>"</w:t>
      </w:r>
    </w:p>
    <w:p w14:paraId="19ACF66E" w14:textId="77777777" w:rsidR="009247ED" w:rsidRPr="00A241F5" w:rsidRDefault="009247ED" w:rsidP="009247ED">
      <w:pPr>
        <w:widowControl/>
        <w:tabs>
          <w:tab w:val="clear" w:pos="1418"/>
          <w:tab w:val="left" w:pos="1440"/>
        </w:tabs>
        <w:rPr>
          <w:rFonts w:cs="Arial"/>
        </w:rPr>
      </w:pPr>
    </w:p>
    <w:p w14:paraId="1B7686C5" w14:textId="7440006D" w:rsidR="009247ED" w:rsidRPr="00A241F5" w:rsidRDefault="002924EF" w:rsidP="009247ED">
      <w:pPr>
        <w:widowControl/>
        <w:tabs>
          <w:tab w:val="clear" w:pos="1418"/>
          <w:tab w:val="left" w:pos="1440"/>
        </w:tabs>
        <w:rPr>
          <w:rFonts w:cs="Arial"/>
          <w:i/>
        </w:rPr>
      </w:pPr>
      <w:r w:rsidRPr="00A241F5">
        <w:rPr>
          <w:rFonts w:cs="Arial"/>
        </w:rPr>
        <w:t>7.</w:t>
      </w:r>
      <w:r w:rsidR="009247ED" w:rsidRPr="00A241F5">
        <w:rPr>
          <w:rFonts w:cs="Arial"/>
        </w:rPr>
        <w:t>6</w:t>
      </w:r>
      <w:r w:rsidR="009247ED" w:rsidRPr="00A241F5">
        <w:rPr>
          <w:rFonts w:cs="Arial"/>
        </w:rPr>
        <w:tab/>
        <w:t xml:space="preserve">A chamber of commerce also agreed, saying that the </w:t>
      </w:r>
      <w:r w:rsidR="00C61F4B" w:rsidRPr="00A241F5">
        <w:rPr>
          <w:rFonts w:cs="Arial"/>
          <w:i/>
        </w:rPr>
        <w:t>"</w:t>
      </w:r>
      <w:r w:rsidR="009247ED" w:rsidRPr="00A241F5">
        <w:rPr>
          <w:rFonts w:cs="Arial"/>
          <w:i/>
        </w:rPr>
        <w:t>question of recoverable costs should be kept separate from the question of the amount of the DBA payment</w:t>
      </w:r>
      <w:r w:rsidR="00C61F4B" w:rsidRPr="00A241F5">
        <w:rPr>
          <w:rFonts w:cs="Arial"/>
          <w:i/>
        </w:rPr>
        <w:t>"</w:t>
      </w:r>
      <w:r w:rsidR="00923002" w:rsidRPr="00A241F5">
        <w:rPr>
          <w:rFonts w:cs="Arial"/>
        </w:rPr>
        <w:t>.</w:t>
      </w:r>
      <w:r w:rsidR="009247ED" w:rsidRPr="00A241F5">
        <w:rPr>
          <w:rFonts w:cs="Arial"/>
          <w:i/>
        </w:rPr>
        <w:t xml:space="preserve"> </w:t>
      </w:r>
    </w:p>
    <w:p w14:paraId="2D1CFEDF" w14:textId="77777777" w:rsidR="009247ED" w:rsidRPr="00A241F5" w:rsidRDefault="009247ED" w:rsidP="009247ED">
      <w:pPr>
        <w:widowControl/>
        <w:tabs>
          <w:tab w:val="clear" w:pos="1418"/>
          <w:tab w:val="left" w:pos="1440"/>
        </w:tabs>
        <w:rPr>
          <w:rFonts w:cs="Arial"/>
          <w:i/>
        </w:rPr>
      </w:pPr>
    </w:p>
    <w:p w14:paraId="1A07562F" w14:textId="77777777" w:rsidR="00716114" w:rsidRPr="00A241F5" w:rsidRDefault="002924EF" w:rsidP="009247ED">
      <w:pPr>
        <w:widowControl/>
        <w:tabs>
          <w:tab w:val="clear" w:pos="1418"/>
          <w:tab w:val="left" w:pos="1440"/>
        </w:tabs>
        <w:rPr>
          <w:rFonts w:cs="Arial"/>
        </w:rPr>
      </w:pPr>
      <w:r w:rsidRPr="00A241F5">
        <w:rPr>
          <w:rFonts w:cs="Arial"/>
        </w:rPr>
        <w:t>7.</w:t>
      </w:r>
      <w:r w:rsidR="009247ED" w:rsidRPr="00A241F5">
        <w:rPr>
          <w:rFonts w:cs="Arial"/>
        </w:rPr>
        <w:t>7</w:t>
      </w:r>
      <w:r w:rsidR="009247ED" w:rsidRPr="00A241F5">
        <w:rPr>
          <w:rFonts w:cs="Arial"/>
        </w:rPr>
        <w:tab/>
        <w:t xml:space="preserve">A further Respondent – another law firm – also supported the adoption of the Success fee model in preference to the Ontario model, saying: </w:t>
      </w:r>
    </w:p>
    <w:p w14:paraId="3B271804" w14:textId="77777777" w:rsidR="00716114" w:rsidRPr="00A241F5" w:rsidRDefault="00716114" w:rsidP="009247ED">
      <w:pPr>
        <w:widowControl/>
        <w:tabs>
          <w:tab w:val="clear" w:pos="1418"/>
          <w:tab w:val="left" w:pos="1440"/>
        </w:tabs>
        <w:rPr>
          <w:rFonts w:cs="Arial"/>
        </w:rPr>
      </w:pPr>
    </w:p>
    <w:p w14:paraId="4C6A798B" w14:textId="109E9A78" w:rsidR="009247ED" w:rsidRPr="00A241F5" w:rsidRDefault="00C61F4B" w:rsidP="00716114">
      <w:pPr>
        <w:widowControl/>
        <w:tabs>
          <w:tab w:val="clear" w:pos="1418"/>
          <w:tab w:val="left" w:pos="1440"/>
        </w:tabs>
        <w:ind w:left="720" w:right="720"/>
        <w:rPr>
          <w:rFonts w:cs="Arial"/>
        </w:rPr>
      </w:pPr>
      <w:r w:rsidRPr="00A241F5">
        <w:rPr>
          <w:rFonts w:cs="Arial"/>
          <w:i/>
        </w:rPr>
        <w:t>"</w:t>
      </w:r>
      <w:r w:rsidR="009247ED" w:rsidRPr="00A241F5">
        <w:rPr>
          <w:rFonts w:cs="Arial"/>
          <w:i/>
        </w:rPr>
        <w:t xml:space="preserve">The Ontario model is subject to the indemnity principle.  In other words, if the DBA Payment is lower than the amount of recoverable costs, then the DBA </w:t>
      </w:r>
      <w:r w:rsidR="003C0FF4" w:rsidRPr="00A241F5">
        <w:rPr>
          <w:rFonts w:cs="Arial"/>
        </w:rPr>
        <w:t>[</w:t>
      </w:r>
      <w:r w:rsidR="003C0FF4" w:rsidRPr="00A241F5">
        <w:rPr>
          <w:rFonts w:cs="Arial"/>
          <w:i/>
        </w:rPr>
        <w:t>sic</w:t>
      </w:r>
      <w:r w:rsidR="003C0FF4" w:rsidRPr="00A241F5">
        <w:rPr>
          <w:rFonts w:cs="Arial"/>
        </w:rPr>
        <w:t>]</w:t>
      </w:r>
      <w:r w:rsidR="003C0FF4" w:rsidRPr="00A241F5">
        <w:rPr>
          <w:rFonts w:cs="Arial"/>
          <w:i/>
        </w:rPr>
        <w:t xml:space="preserve"> </w:t>
      </w:r>
      <w:r w:rsidR="009247ED" w:rsidRPr="00A241F5">
        <w:rPr>
          <w:rFonts w:cs="Arial"/>
          <w:i/>
        </w:rPr>
        <w:t>acts as a ceiling on the recoverable costs to which the client is entitled from the losing party.  The losing party can therefore escape the consequences of an award of recoverable costs.</w:t>
      </w:r>
      <w:r w:rsidRPr="00A241F5">
        <w:rPr>
          <w:rFonts w:cs="Arial"/>
          <w:i/>
        </w:rPr>
        <w:t>"</w:t>
      </w:r>
    </w:p>
    <w:p w14:paraId="2BC59CBE" w14:textId="77777777" w:rsidR="009247ED" w:rsidRPr="00A241F5" w:rsidRDefault="009247ED" w:rsidP="009247ED">
      <w:pPr>
        <w:widowControl/>
        <w:tabs>
          <w:tab w:val="clear" w:pos="1418"/>
          <w:tab w:val="left" w:pos="1440"/>
        </w:tabs>
        <w:rPr>
          <w:rFonts w:cs="Arial"/>
        </w:rPr>
      </w:pPr>
    </w:p>
    <w:p w14:paraId="20077C1F" w14:textId="77777777" w:rsidR="00716114" w:rsidRPr="00A241F5" w:rsidRDefault="002924EF" w:rsidP="009247ED">
      <w:pPr>
        <w:widowControl/>
        <w:tabs>
          <w:tab w:val="clear" w:pos="1418"/>
          <w:tab w:val="left" w:pos="1440"/>
        </w:tabs>
        <w:rPr>
          <w:rFonts w:cs="Arial"/>
        </w:rPr>
      </w:pPr>
      <w:r w:rsidRPr="00A241F5">
        <w:rPr>
          <w:rFonts w:cs="Arial"/>
        </w:rPr>
        <w:t>7.</w:t>
      </w:r>
      <w:r w:rsidR="009247ED" w:rsidRPr="00A241F5">
        <w:rPr>
          <w:rFonts w:cs="Arial"/>
        </w:rPr>
        <w:t>8</w:t>
      </w:r>
      <w:r w:rsidR="009247ED" w:rsidRPr="00A241F5">
        <w:rPr>
          <w:rFonts w:cs="Arial"/>
        </w:rPr>
        <w:tab/>
        <w:t xml:space="preserve">The same Respondent continued: </w:t>
      </w:r>
    </w:p>
    <w:p w14:paraId="7EFBC960" w14:textId="77777777" w:rsidR="00716114" w:rsidRPr="00A241F5" w:rsidRDefault="00716114" w:rsidP="009247ED">
      <w:pPr>
        <w:widowControl/>
        <w:tabs>
          <w:tab w:val="clear" w:pos="1418"/>
          <w:tab w:val="left" w:pos="1440"/>
        </w:tabs>
        <w:rPr>
          <w:rFonts w:cs="Arial"/>
        </w:rPr>
      </w:pPr>
    </w:p>
    <w:p w14:paraId="20702BC5" w14:textId="0D248DF7" w:rsidR="00D86777" w:rsidRPr="00A241F5" w:rsidRDefault="00C61F4B" w:rsidP="00716114">
      <w:pPr>
        <w:widowControl/>
        <w:tabs>
          <w:tab w:val="clear" w:pos="1418"/>
          <w:tab w:val="left" w:pos="1440"/>
        </w:tabs>
        <w:ind w:left="720" w:right="720"/>
        <w:rPr>
          <w:rFonts w:cs="Arial"/>
          <w:i/>
        </w:rPr>
      </w:pPr>
      <w:r w:rsidRPr="00A241F5">
        <w:rPr>
          <w:rFonts w:cs="Arial"/>
          <w:i/>
        </w:rPr>
        <w:t>"</w:t>
      </w:r>
      <w:r w:rsidR="009247ED" w:rsidRPr="00A241F5">
        <w:rPr>
          <w:rFonts w:cs="Arial"/>
          <w:i/>
        </w:rPr>
        <w:t>The Ontario model is particularly unattractive when the claimant wins on the merits but loses its quantum case</w:t>
      </w:r>
      <w:r w:rsidR="009E2A67" w:rsidRPr="00A241F5">
        <w:rPr>
          <w:rFonts w:cs="Arial"/>
          <w:i/>
        </w:rPr>
        <w:t>.</w:t>
      </w:r>
      <w:r w:rsidR="009247ED" w:rsidRPr="00A241F5">
        <w:rPr>
          <w:rFonts w:cs="Arial"/>
          <w:i/>
        </w:rPr>
        <w:t xml:space="preserve"> ...</w:t>
      </w:r>
      <w:r w:rsidR="00923002" w:rsidRPr="00A241F5">
        <w:rPr>
          <w:rFonts w:cs="Arial"/>
          <w:i/>
        </w:rPr>
        <w:t xml:space="preserve"> </w:t>
      </w:r>
      <w:r w:rsidR="009247ED" w:rsidRPr="00A241F5">
        <w:rPr>
          <w:rFonts w:cs="Arial"/>
          <w:i/>
        </w:rPr>
        <w:t>In these circumstances, Lawyers risk making a loss even when they have won the case (or at least part of the case) for their clients</w:t>
      </w:r>
      <w:r w:rsidR="009E2A67" w:rsidRPr="00A241F5">
        <w:rPr>
          <w:rFonts w:cs="Arial"/>
          <w:i/>
        </w:rPr>
        <w:t>.</w:t>
      </w:r>
    </w:p>
    <w:p w14:paraId="6023A3D1" w14:textId="77777777" w:rsidR="00D86777" w:rsidRPr="00A241F5" w:rsidRDefault="00D86777" w:rsidP="00716114">
      <w:pPr>
        <w:widowControl/>
        <w:tabs>
          <w:tab w:val="clear" w:pos="1418"/>
          <w:tab w:val="left" w:pos="1440"/>
        </w:tabs>
        <w:ind w:left="720" w:right="720"/>
        <w:rPr>
          <w:rFonts w:cs="Arial"/>
          <w:i/>
        </w:rPr>
      </w:pPr>
    </w:p>
    <w:p w14:paraId="571AF74B" w14:textId="48C6B228" w:rsidR="009247ED" w:rsidRPr="00A241F5" w:rsidRDefault="009E2A67" w:rsidP="00716114">
      <w:pPr>
        <w:widowControl/>
        <w:tabs>
          <w:tab w:val="clear" w:pos="1418"/>
          <w:tab w:val="left" w:pos="1440"/>
        </w:tabs>
        <w:ind w:left="720" w:right="720"/>
        <w:rPr>
          <w:rFonts w:cs="Arial"/>
        </w:rPr>
      </w:pPr>
      <w:r w:rsidRPr="00A241F5">
        <w:rPr>
          <w:rFonts w:cs="Arial"/>
          <w:i/>
        </w:rPr>
        <w:t>…</w:t>
      </w:r>
      <w:r w:rsidR="008D61D3" w:rsidRPr="00A241F5">
        <w:rPr>
          <w:rFonts w:cs="Arial"/>
          <w:i/>
        </w:rPr>
        <w:t xml:space="preserve"> </w:t>
      </w:r>
      <w:r w:rsidRPr="00A241F5">
        <w:rPr>
          <w:rFonts w:cs="Arial"/>
          <w:i/>
        </w:rPr>
        <w:t>t</w:t>
      </w:r>
      <w:r w:rsidR="009247ED" w:rsidRPr="00A241F5">
        <w:rPr>
          <w:rFonts w:cs="Arial"/>
          <w:i/>
        </w:rPr>
        <w:t>his scenario does not arise under the Success fee model because recoverable costs are paid in addition to, and independent of, the DBA Payment.  Adopting the Success fee model means that the successful party</w:t>
      </w:r>
      <w:r w:rsidR="00C61F4B" w:rsidRPr="00A241F5">
        <w:rPr>
          <w:rFonts w:cs="Arial"/>
          <w:i/>
        </w:rPr>
        <w:t>'</w:t>
      </w:r>
      <w:r w:rsidR="009247ED" w:rsidRPr="00A241F5">
        <w:rPr>
          <w:rFonts w:cs="Arial"/>
          <w:i/>
        </w:rPr>
        <w:t xml:space="preserve">s recoverable costs will not </w:t>
      </w:r>
      <w:r w:rsidR="009247ED" w:rsidRPr="00A241F5">
        <w:rPr>
          <w:rFonts w:cs="Arial"/>
          <w:i/>
        </w:rPr>
        <w:lastRenderedPageBreak/>
        <w:t>be offset against the damages awarded.  Further, we are of the view that the Success fee model is more compatible with Hybrid DBAs, which we also support</w:t>
      </w:r>
      <w:r w:rsidR="00EB787B" w:rsidRPr="00A241F5">
        <w:rPr>
          <w:rFonts w:cs="Arial"/>
          <w:i/>
        </w:rPr>
        <w:t xml:space="preserve"> </w:t>
      </w:r>
      <w:r w:rsidR="004131E8" w:rsidRPr="00A241F5">
        <w:rPr>
          <w:rFonts w:cs="Arial"/>
          <w:i/>
        </w:rPr>
        <w:t>…</w:t>
      </w:r>
      <w:r w:rsidR="00C044A3" w:rsidRPr="00A241F5">
        <w:rPr>
          <w:rFonts w:cs="Arial"/>
          <w:i/>
        </w:rPr>
        <w:t xml:space="preserve"> .</w:t>
      </w:r>
      <w:r w:rsidR="00C61F4B" w:rsidRPr="00A241F5">
        <w:rPr>
          <w:rFonts w:cs="Arial"/>
          <w:i/>
        </w:rPr>
        <w:t>"</w:t>
      </w:r>
    </w:p>
    <w:p w14:paraId="408DE305" w14:textId="77777777" w:rsidR="009247ED" w:rsidRPr="00A241F5" w:rsidRDefault="009247ED" w:rsidP="009247ED">
      <w:pPr>
        <w:widowControl/>
        <w:tabs>
          <w:tab w:val="clear" w:pos="1418"/>
          <w:tab w:val="left" w:pos="1440"/>
        </w:tabs>
        <w:rPr>
          <w:rFonts w:cs="Arial"/>
        </w:rPr>
      </w:pPr>
    </w:p>
    <w:p w14:paraId="05EB150D" w14:textId="1E8A30AC" w:rsidR="00716114" w:rsidRPr="00A241F5" w:rsidRDefault="002924EF" w:rsidP="00BD5776">
      <w:pPr>
        <w:keepNext/>
        <w:keepLines/>
        <w:widowControl/>
        <w:tabs>
          <w:tab w:val="clear" w:pos="1418"/>
          <w:tab w:val="left" w:pos="1440"/>
        </w:tabs>
        <w:rPr>
          <w:rFonts w:cs="Arial"/>
        </w:rPr>
      </w:pPr>
      <w:r w:rsidRPr="00A241F5">
        <w:rPr>
          <w:rFonts w:cs="Arial"/>
        </w:rPr>
        <w:t>7.</w:t>
      </w:r>
      <w:r w:rsidR="009247ED" w:rsidRPr="00A241F5">
        <w:rPr>
          <w:rFonts w:cs="Arial"/>
        </w:rPr>
        <w:t>9</w:t>
      </w:r>
      <w:r w:rsidR="009247ED" w:rsidRPr="00A241F5">
        <w:rPr>
          <w:rFonts w:cs="Arial"/>
        </w:rPr>
        <w:tab/>
        <w:t>An arbitral institution also agreed that the Success fee model should apply.  As did a Governme</w:t>
      </w:r>
      <w:r w:rsidR="00ED5FF1" w:rsidRPr="00A241F5">
        <w:rPr>
          <w:rFonts w:cs="Arial"/>
        </w:rPr>
        <w:t>nt department, which noted that</w:t>
      </w:r>
      <w:r w:rsidR="00D86777" w:rsidRPr="00A241F5">
        <w:rPr>
          <w:rFonts w:cs="Arial"/>
        </w:rPr>
        <w:t>:</w:t>
      </w:r>
    </w:p>
    <w:p w14:paraId="6E19E7E9" w14:textId="77777777" w:rsidR="00716114" w:rsidRPr="00A241F5" w:rsidRDefault="00716114" w:rsidP="009247ED">
      <w:pPr>
        <w:widowControl/>
        <w:tabs>
          <w:tab w:val="clear" w:pos="1418"/>
          <w:tab w:val="left" w:pos="1440"/>
        </w:tabs>
        <w:rPr>
          <w:rFonts w:cs="Arial"/>
        </w:rPr>
      </w:pPr>
    </w:p>
    <w:p w14:paraId="1E4B0A70" w14:textId="59AEC594" w:rsidR="009247ED" w:rsidRPr="00A241F5" w:rsidRDefault="00C61F4B" w:rsidP="00716114">
      <w:pPr>
        <w:widowControl/>
        <w:tabs>
          <w:tab w:val="clear" w:pos="1418"/>
          <w:tab w:val="left" w:pos="1440"/>
        </w:tabs>
        <w:ind w:left="720" w:right="720"/>
        <w:rPr>
          <w:rFonts w:cs="Arial"/>
        </w:rPr>
      </w:pPr>
      <w:r w:rsidRPr="00A241F5">
        <w:rPr>
          <w:rFonts w:cs="Arial"/>
          <w:i/>
        </w:rPr>
        <w:t>"</w:t>
      </w:r>
      <w:r w:rsidR="009E2A67" w:rsidRPr="00A241F5">
        <w:rPr>
          <w:rFonts w:cs="Arial"/>
        </w:rPr>
        <w:t>…</w:t>
      </w:r>
      <w:r w:rsidR="008D61D3" w:rsidRPr="00A241F5">
        <w:rPr>
          <w:rFonts w:cs="Arial"/>
        </w:rPr>
        <w:t xml:space="preserve"> </w:t>
      </w:r>
      <w:r w:rsidR="009247ED" w:rsidRPr="00A241F5">
        <w:rPr>
          <w:rFonts w:cs="Arial"/>
          <w:i/>
        </w:rPr>
        <w:t>England and Wales has been considering switching to the Success fee model from the Ontario model.  We see merits in the key arguments for moving to the Success fee model (as highlighted in paragraph 4.88 of the Consultation Paper) and have no other comments on the LRC Sub-committee</w:t>
      </w:r>
      <w:r w:rsidRPr="00A241F5">
        <w:rPr>
          <w:rFonts w:cs="Arial"/>
          <w:i/>
        </w:rPr>
        <w:t>'</w:t>
      </w:r>
      <w:r w:rsidR="009247ED" w:rsidRPr="00A241F5">
        <w:rPr>
          <w:rFonts w:cs="Arial"/>
          <w:i/>
        </w:rPr>
        <w:t>s recommendation to follow the trend of adopting the Success fee model</w:t>
      </w:r>
      <w:r w:rsidR="00923002" w:rsidRPr="00A241F5">
        <w:rPr>
          <w:rFonts w:cs="Arial"/>
          <w:i/>
        </w:rPr>
        <w:t>.</w:t>
      </w:r>
      <w:r w:rsidRPr="00A241F5">
        <w:rPr>
          <w:rFonts w:cs="Arial"/>
          <w:i/>
        </w:rPr>
        <w:t>"</w:t>
      </w:r>
      <w:r w:rsidR="009247ED" w:rsidRPr="00A241F5">
        <w:rPr>
          <w:rFonts w:cs="Arial"/>
          <w:i/>
        </w:rPr>
        <w:t xml:space="preserve"> </w:t>
      </w:r>
      <w:r w:rsidR="009247ED" w:rsidRPr="00A241F5">
        <w:rPr>
          <w:rFonts w:cs="Arial"/>
        </w:rPr>
        <w:t xml:space="preserve"> </w:t>
      </w:r>
    </w:p>
    <w:p w14:paraId="3FDC3970" w14:textId="77777777" w:rsidR="009247ED" w:rsidRPr="00A241F5" w:rsidRDefault="009247ED" w:rsidP="009247ED">
      <w:pPr>
        <w:widowControl/>
        <w:tabs>
          <w:tab w:val="clear" w:pos="1418"/>
          <w:tab w:val="left" w:pos="1440"/>
        </w:tabs>
        <w:rPr>
          <w:rFonts w:cs="Arial"/>
        </w:rPr>
      </w:pPr>
    </w:p>
    <w:p w14:paraId="7E9453DA" w14:textId="77777777" w:rsidR="009247ED" w:rsidRPr="00A241F5" w:rsidRDefault="009247ED" w:rsidP="009247ED">
      <w:pPr>
        <w:widowControl/>
        <w:tabs>
          <w:tab w:val="clear" w:pos="1418"/>
          <w:tab w:val="left" w:pos="1440"/>
        </w:tabs>
        <w:rPr>
          <w:rFonts w:cs="Arial"/>
        </w:rPr>
      </w:pPr>
    </w:p>
    <w:p w14:paraId="1B61CE0E" w14:textId="77777777" w:rsidR="009247ED" w:rsidRPr="00A241F5" w:rsidRDefault="009247ED" w:rsidP="009247ED">
      <w:pPr>
        <w:pStyle w:val="Heading2"/>
        <w:keepLines/>
        <w:widowControl/>
        <w:tabs>
          <w:tab w:val="clear" w:pos="1418"/>
          <w:tab w:val="left" w:pos="1440"/>
        </w:tabs>
        <w:rPr>
          <w:rFonts w:cs="Arial"/>
          <w:i/>
          <w:sz w:val="24"/>
        </w:rPr>
      </w:pPr>
      <w:r w:rsidRPr="00A241F5">
        <w:rPr>
          <w:rFonts w:cs="Arial"/>
          <w:i/>
          <w:sz w:val="24"/>
        </w:rPr>
        <w:t>Comments from Respondents who opposed the Success fee model</w:t>
      </w:r>
    </w:p>
    <w:p w14:paraId="122AAC4E" w14:textId="77777777" w:rsidR="009247ED" w:rsidRPr="00A241F5" w:rsidRDefault="009247ED" w:rsidP="009247ED">
      <w:pPr>
        <w:keepNext/>
        <w:keepLines/>
        <w:widowControl/>
        <w:tabs>
          <w:tab w:val="clear" w:pos="1418"/>
          <w:tab w:val="left" w:pos="1440"/>
        </w:tabs>
        <w:rPr>
          <w:rFonts w:cs="Arial"/>
        </w:rPr>
      </w:pPr>
    </w:p>
    <w:p w14:paraId="0A20EF2D" w14:textId="4FB4B740" w:rsidR="009247ED" w:rsidRPr="00A241F5" w:rsidRDefault="002924EF" w:rsidP="009247ED">
      <w:pPr>
        <w:widowControl/>
        <w:tabs>
          <w:tab w:val="clear" w:pos="1418"/>
          <w:tab w:val="left" w:pos="1440"/>
        </w:tabs>
        <w:rPr>
          <w:rFonts w:cs="Arial"/>
        </w:rPr>
      </w:pPr>
      <w:r w:rsidRPr="00A241F5">
        <w:rPr>
          <w:rFonts w:cs="Arial"/>
        </w:rPr>
        <w:t>7.</w:t>
      </w:r>
      <w:r w:rsidR="009247ED" w:rsidRPr="00A241F5">
        <w:rPr>
          <w:rFonts w:cs="Arial"/>
        </w:rPr>
        <w:t>10</w:t>
      </w:r>
      <w:r w:rsidR="009247ED" w:rsidRPr="00A241F5">
        <w:rPr>
          <w:rFonts w:cs="Arial"/>
        </w:rPr>
        <w:tab/>
        <w:t xml:space="preserve">Of the Respondents who commented on Recommendation 6, only a small number objected to the application of the Success fee model to DBAs. </w:t>
      </w:r>
    </w:p>
    <w:p w14:paraId="2C8445B9" w14:textId="77777777" w:rsidR="009247ED" w:rsidRPr="00A241F5" w:rsidRDefault="009247ED" w:rsidP="009247ED">
      <w:pPr>
        <w:widowControl/>
        <w:tabs>
          <w:tab w:val="clear" w:pos="1418"/>
          <w:tab w:val="left" w:pos="1440"/>
        </w:tabs>
        <w:rPr>
          <w:rFonts w:cs="Arial"/>
        </w:rPr>
      </w:pPr>
    </w:p>
    <w:p w14:paraId="716407B0" w14:textId="31AC4B38" w:rsidR="00716114" w:rsidRPr="00A241F5" w:rsidRDefault="002924EF" w:rsidP="009247ED">
      <w:pPr>
        <w:widowControl/>
        <w:tabs>
          <w:tab w:val="clear" w:pos="1418"/>
          <w:tab w:val="left" w:pos="1440"/>
        </w:tabs>
        <w:rPr>
          <w:rFonts w:cs="Arial"/>
        </w:rPr>
      </w:pPr>
      <w:r w:rsidRPr="00A241F5">
        <w:rPr>
          <w:rFonts w:cs="Arial"/>
        </w:rPr>
        <w:t>7.</w:t>
      </w:r>
      <w:r w:rsidR="009247ED" w:rsidRPr="00A241F5">
        <w:rPr>
          <w:rFonts w:cs="Arial"/>
        </w:rPr>
        <w:t>11</w:t>
      </w:r>
      <w:r w:rsidR="009247ED" w:rsidRPr="00A241F5">
        <w:rPr>
          <w:rFonts w:cs="Arial"/>
        </w:rPr>
        <w:tab/>
        <w:t>A l</w:t>
      </w:r>
      <w:r w:rsidR="00ED5FF1" w:rsidRPr="00A241F5">
        <w:rPr>
          <w:rFonts w:cs="Arial"/>
        </w:rPr>
        <w:t>itigation funder commented that</w:t>
      </w:r>
      <w:r w:rsidR="00D86777" w:rsidRPr="00A241F5">
        <w:rPr>
          <w:rFonts w:cs="Arial"/>
        </w:rPr>
        <w:t>:</w:t>
      </w:r>
      <w:r w:rsidR="009247ED" w:rsidRPr="00A241F5">
        <w:rPr>
          <w:rFonts w:cs="Arial"/>
        </w:rPr>
        <w:t xml:space="preserve"> </w:t>
      </w:r>
    </w:p>
    <w:p w14:paraId="4D06E3B2" w14:textId="77777777" w:rsidR="00716114" w:rsidRPr="00A241F5" w:rsidRDefault="00716114" w:rsidP="009247ED">
      <w:pPr>
        <w:widowControl/>
        <w:tabs>
          <w:tab w:val="clear" w:pos="1418"/>
          <w:tab w:val="left" w:pos="1440"/>
        </w:tabs>
        <w:rPr>
          <w:rFonts w:cs="Arial"/>
        </w:rPr>
      </w:pPr>
    </w:p>
    <w:p w14:paraId="6973A2C5" w14:textId="489B46CD" w:rsidR="009247ED" w:rsidRPr="00A241F5" w:rsidRDefault="00C61F4B" w:rsidP="00716114">
      <w:pPr>
        <w:pStyle w:val="BlockText"/>
      </w:pPr>
      <w:r w:rsidRPr="00A241F5">
        <w:t>"</w:t>
      </w:r>
      <w:r w:rsidR="00D86777" w:rsidRPr="00A241F5">
        <w:t>T</w:t>
      </w:r>
      <w:r w:rsidR="00D86777" w:rsidRPr="00A241F5">
        <w:rPr>
          <w:rFonts w:cs="Arial"/>
        </w:rPr>
        <w:t xml:space="preserve">his </w:t>
      </w:r>
      <w:r w:rsidR="009247ED" w:rsidRPr="00A241F5">
        <w:t xml:space="preserve">recommendation principally goes to the question of cost recovery in an arbitration.  As noted above, </w:t>
      </w:r>
      <w:r w:rsidR="009247ED" w:rsidRPr="00A241F5">
        <w:rPr>
          <w:i w:val="0"/>
        </w:rPr>
        <w:t>[</w:t>
      </w:r>
      <w:r w:rsidR="009247ED" w:rsidRPr="00A241F5">
        <w:t>this funder</w:t>
      </w:r>
      <w:r w:rsidR="009247ED" w:rsidRPr="00A241F5">
        <w:rPr>
          <w:i w:val="0"/>
        </w:rPr>
        <w:t>]</w:t>
      </w:r>
      <w:r w:rsidR="009247ED" w:rsidRPr="00A241F5">
        <w:t xml:space="preserve"> considers that the allocation of legal and other costs (including any success-based fee due to the lawyers or a third-party funder) should remain at the discretion of the tribunal, subject to any agreement between the parties.  This is in line with international best practice and the core arbitral principles of flexibility and party-autonomy.  The situation in arbitration is distinct from court litigation in England and Wales and Hong Kong arbitration should adopt a lighter touch approach reflecting the nature and sophistication of its corporate users</w:t>
      </w:r>
      <w:r w:rsidR="00923002" w:rsidRPr="00A241F5">
        <w:t>.</w:t>
      </w:r>
      <w:r w:rsidRPr="00A241F5">
        <w:t>"</w:t>
      </w:r>
      <w:r w:rsidR="009247ED" w:rsidRPr="00A241F5">
        <w:br/>
        <w:t xml:space="preserve"> </w:t>
      </w:r>
    </w:p>
    <w:p w14:paraId="1438543C" w14:textId="1828D721" w:rsidR="009247ED" w:rsidRPr="00A241F5" w:rsidRDefault="002924EF" w:rsidP="00D86777">
      <w:pPr>
        <w:widowControl/>
        <w:tabs>
          <w:tab w:val="clear" w:pos="1418"/>
          <w:tab w:val="left" w:pos="1440"/>
        </w:tabs>
        <w:rPr>
          <w:rFonts w:cs="Arial"/>
        </w:rPr>
      </w:pPr>
      <w:r w:rsidRPr="00A241F5">
        <w:rPr>
          <w:rFonts w:cs="Arial"/>
        </w:rPr>
        <w:t>7.</w:t>
      </w:r>
      <w:r w:rsidR="009247ED" w:rsidRPr="00A241F5">
        <w:rPr>
          <w:rFonts w:cs="Arial"/>
        </w:rPr>
        <w:t>12</w:t>
      </w:r>
      <w:r w:rsidR="009247ED" w:rsidRPr="00A241F5">
        <w:rPr>
          <w:rFonts w:cs="Arial"/>
        </w:rPr>
        <w:tab/>
      </w:r>
      <w:r w:rsidR="009B76AD" w:rsidRPr="00A241F5">
        <w:rPr>
          <w:rFonts w:cs="Arial"/>
        </w:rPr>
        <w:t xml:space="preserve">Two </w:t>
      </w:r>
      <w:r w:rsidR="009247ED" w:rsidRPr="00A241F5">
        <w:rPr>
          <w:rFonts w:cs="Arial"/>
        </w:rPr>
        <w:t>Respondent</w:t>
      </w:r>
      <w:r w:rsidR="009B76AD" w:rsidRPr="00A241F5">
        <w:rPr>
          <w:rFonts w:cs="Arial"/>
        </w:rPr>
        <w:t>s</w:t>
      </w:r>
      <w:r w:rsidR="009247ED" w:rsidRPr="00A241F5">
        <w:rPr>
          <w:rFonts w:cs="Arial"/>
        </w:rPr>
        <w:t xml:space="preserve"> </w:t>
      </w:r>
      <w:r w:rsidR="009B76AD" w:rsidRPr="00A241F5">
        <w:rPr>
          <w:rFonts w:cs="Arial"/>
        </w:rPr>
        <w:t>(who submitted identical responses</w:t>
      </w:r>
      <w:r w:rsidR="00175CFB" w:rsidRPr="00A241F5">
        <w:rPr>
          <w:rFonts w:cs="Arial"/>
        </w:rPr>
        <w:t>)</w:t>
      </w:r>
      <w:r w:rsidR="009247ED" w:rsidRPr="00A241F5">
        <w:rPr>
          <w:rFonts w:cs="Arial"/>
        </w:rPr>
        <w:t xml:space="preserve"> also disagreed with the application of Success fee model.  However, </w:t>
      </w:r>
      <w:r w:rsidR="009B76AD" w:rsidRPr="00A241F5">
        <w:rPr>
          <w:rFonts w:cs="Arial"/>
        </w:rPr>
        <w:t xml:space="preserve">these </w:t>
      </w:r>
      <w:r w:rsidR="009247ED" w:rsidRPr="00A241F5">
        <w:rPr>
          <w:rFonts w:cs="Arial"/>
        </w:rPr>
        <w:t>Respondent</w:t>
      </w:r>
      <w:r w:rsidR="00175CFB" w:rsidRPr="00A241F5">
        <w:rPr>
          <w:rFonts w:cs="Arial"/>
        </w:rPr>
        <w:t>s</w:t>
      </w:r>
      <w:r w:rsidR="00716114" w:rsidRPr="00A241F5">
        <w:rPr>
          <w:rFonts w:cs="Arial"/>
        </w:rPr>
        <w:t xml:space="preserve"> </w:t>
      </w:r>
      <w:r w:rsidR="009247ED" w:rsidRPr="00A241F5">
        <w:rPr>
          <w:rFonts w:cs="Arial"/>
        </w:rPr>
        <w:t xml:space="preserve">did not prefer the Ontario model.  Rather, their approach was similar, and to the effect that </w:t>
      </w:r>
      <w:r w:rsidR="00C61F4B" w:rsidRPr="00A241F5">
        <w:rPr>
          <w:rFonts w:cs="Arial"/>
          <w:i/>
        </w:rPr>
        <w:t>"</w:t>
      </w:r>
      <w:r w:rsidR="009247ED" w:rsidRPr="00A241F5">
        <w:rPr>
          <w:rFonts w:cs="Arial"/>
        </w:rPr>
        <w:t>[</w:t>
      </w:r>
      <w:r w:rsidR="009247ED" w:rsidRPr="00A241F5">
        <w:rPr>
          <w:rFonts w:cs="Arial"/>
          <w:i/>
        </w:rPr>
        <w:t>g</w:t>
      </w:r>
      <w:r w:rsidR="009247ED" w:rsidRPr="00A241F5">
        <w:rPr>
          <w:rFonts w:cs="Arial"/>
        </w:rPr>
        <w:t>]</w:t>
      </w:r>
      <w:r w:rsidR="009247ED" w:rsidRPr="00A241F5">
        <w:rPr>
          <w:rFonts w:cs="Arial"/>
          <w:i/>
        </w:rPr>
        <w:t xml:space="preserve">iven the importance of </w:t>
      </w:r>
      <w:r w:rsidR="00C61F4B" w:rsidRPr="00A241F5">
        <w:rPr>
          <w:rFonts w:cs="Arial"/>
          <w:i/>
        </w:rPr>
        <w:t>'</w:t>
      </w:r>
      <w:r w:rsidR="009247ED" w:rsidRPr="00A241F5">
        <w:rPr>
          <w:rFonts w:cs="Arial"/>
          <w:i/>
        </w:rPr>
        <w:t>freedom of contract</w:t>
      </w:r>
      <w:r w:rsidR="00C61F4B" w:rsidRPr="00A241F5">
        <w:rPr>
          <w:rFonts w:cs="Arial"/>
          <w:i/>
        </w:rPr>
        <w:t>'</w:t>
      </w:r>
      <w:r w:rsidR="009247ED" w:rsidRPr="00A241F5">
        <w:rPr>
          <w:rFonts w:cs="Arial"/>
          <w:i/>
        </w:rPr>
        <w:t xml:space="preserve"> </w:t>
      </w:r>
      <w:r w:rsidR="009247ED" w:rsidRPr="00A241F5">
        <w:rPr>
          <w:rFonts w:cs="Arial"/>
        </w:rPr>
        <w:t xml:space="preserve">… </w:t>
      </w:r>
      <w:r w:rsidR="009247ED" w:rsidRPr="00A241F5">
        <w:rPr>
          <w:rFonts w:cs="Arial"/>
          <w:i/>
        </w:rPr>
        <w:t>no pre-determined success fee model, whether the Ontario Model or any other discussed model, should be imposed to fetter the application of DBA</w:t>
      </w:r>
      <w:r w:rsidR="00C61F4B" w:rsidRPr="00A241F5">
        <w:rPr>
          <w:rFonts w:cs="Arial"/>
          <w:i/>
        </w:rPr>
        <w:t>"</w:t>
      </w:r>
      <w:r w:rsidR="00923002" w:rsidRPr="00A241F5">
        <w:rPr>
          <w:rFonts w:cs="Arial"/>
        </w:rPr>
        <w:t>.</w:t>
      </w:r>
      <w:r w:rsidR="009247ED" w:rsidRPr="00A241F5">
        <w:rPr>
          <w:rFonts w:cs="Arial"/>
        </w:rPr>
        <w:t xml:space="preserve">  As these Respondents put it: </w:t>
      </w:r>
      <w:r w:rsidR="00C61F4B" w:rsidRPr="00A241F5">
        <w:rPr>
          <w:rFonts w:cs="Arial"/>
          <w:i/>
        </w:rPr>
        <w:t>"</w:t>
      </w:r>
      <w:r w:rsidR="009247ED" w:rsidRPr="00A241F5">
        <w:rPr>
          <w:rFonts w:cs="Arial"/>
          <w:i/>
        </w:rPr>
        <w:t>It is for the parties to keep clear contemporaneous records of costs, to be assessed and recoverable based on indemnity principles</w:t>
      </w:r>
      <w:r w:rsidR="00923002" w:rsidRPr="00A241F5">
        <w:rPr>
          <w:rFonts w:cs="Arial"/>
        </w:rPr>
        <w:t>.</w:t>
      </w:r>
      <w:r w:rsidR="00C61F4B" w:rsidRPr="00A241F5">
        <w:rPr>
          <w:rFonts w:cs="Arial"/>
          <w:i/>
        </w:rPr>
        <w:t>"</w:t>
      </w:r>
    </w:p>
    <w:p w14:paraId="50042E27" w14:textId="77777777" w:rsidR="009247ED" w:rsidRPr="00A241F5" w:rsidRDefault="009247ED" w:rsidP="009247ED">
      <w:pPr>
        <w:widowControl/>
        <w:tabs>
          <w:tab w:val="clear" w:pos="1418"/>
          <w:tab w:val="left" w:pos="1440"/>
        </w:tabs>
        <w:rPr>
          <w:rFonts w:cs="Arial"/>
        </w:rPr>
      </w:pPr>
    </w:p>
    <w:p w14:paraId="4B6B7C63" w14:textId="70D39CCA" w:rsidR="009247ED" w:rsidRPr="00A241F5" w:rsidRDefault="002924EF" w:rsidP="00856E8B">
      <w:pPr>
        <w:keepNext/>
        <w:keepLines/>
        <w:widowControl/>
        <w:tabs>
          <w:tab w:val="clear" w:pos="1418"/>
          <w:tab w:val="left" w:pos="1440"/>
        </w:tabs>
        <w:rPr>
          <w:rFonts w:cs="Arial"/>
        </w:rPr>
      </w:pPr>
      <w:r w:rsidRPr="00A241F5">
        <w:rPr>
          <w:rFonts w:cs="Arial"/>
        </w:rPr>
        <w:lastRenderedPageBreak/>
        <w:t>7.</w:t>
      </w:r>
      <w:r w:rsidR="009247ED" w:rsidRPr="00A241F5">
        <w:rPr>
          <w:rFonts w:cs="Arial"/>
        </w:rPr>
        <w:t>13</w:t>
      </w:r>
      <w:r w:rsidR="009247ED" w:rsidRPr="00A241F5">
        <w:rPr>
          <w:rFonts w:cs="Arial"/>
        </w:rPr>
        <w:tab/>
        <w:t>The HKBA is the only Respondent who preferred the Ontario model.  It stated:</w:t>
      </w:r>
    </w:p>
    <w:p w14:paraId="758FC338" w14:textId="77777777" w:rsidR="009247ED" w:rsidRPr="00A241F5" w:rsidRDefault="009247ED" w:rsidP="00856E8B">
      <w:pPr>
        <w:keepNext/>
        <w:keepLines/>
        <w:widowControl/>
        <w:tabs>
          <w:tab w:val="clear" w:pos="1418"/>
          <w:tab w:val="left" w:pos="1440"/>
        </w:tabs>
        <w:rPr>
          <w:rFonts w:cs="Arial"/>
        </w:rPr>
      </w:pPr>
    </w:p>
    <w:p w14:paraId="274132B5" w14:textId="3E6FF236" w:rsidR="009247ED" w:rsidRPr="00A241F5" w:rsidRDefault="00C61F4B" w:rsidP="009247ED">
      <w:pPr>
        <w:widowControl/>
        <w:tabs>
          <w:tab w:val="clear" w:pos="1418"/>
          <w:tab w:val="left" w:pos="1440"/>
        </w:tabs>
        <w:ind w:left="720" w:right="720"/>
        <w:rPr>
          <w:rFonts w:cs="Arial"/>
          <w:i/>
        </w:rPr>
      </w:pPr>
      <w:r w:rsidRPr="00A241F5">
        <w:rPr>
          <w:rFonts w:cs="Arial"/>
          <w:i/>
        </w:rPr>
        <w:t>"</w:t>
      </w:r>
      <w:r w:rsidR="009247ED" w:rsidRPr="00A241F5">
        <w:rPr>
          <w:rFonts w:cs="Arial"/>
          <w:i/>
        </w:rPr>
        <w:t xml:space="preserve">With respect to Recommendation 6, the HKBA proposes that initially the Ontario model should generally apply which requires that the DBA payment includes recoverable costs to prevent overcompensation of Lawyers. </w:t>
      </w:r>
    </w:p>
    <w:p w14:paraId="0B430ADF" w14:textId="77777777" w:rsidR="009247ED" w:rsidRPr="00A241F5" w:rsidRDefault="009247ED" w:rsidP="009247ED">
      <w:pPr>
        <w:widowControl/>
        <w:tabs>
          <w:tab w:val="clear" w:pos="1418"/>
          <w:tab w:val="left" w:pos="1440"/>
        </w:tabs>
        <w:ind w:left="720" w:right="720"/>
        <w:rPr>
          <w:rFonts w:cs="Arial"/>
          <w:i/>
        </w:rPr>
      </w:pPr>
    </w:p>
    <w:p w14:paraId="2604BA92" w14:textId="41B2DD1B" w:rsidR="009247ED" w:rsidRPr="00A241F5" w:rsidRDefault="009247ED" w:rsidP="009247ED">
      <w:pPr>
        <w:widowControl/>
        <w:tabs>
          <w:tab w:val="clear" w:pos="1418"/>
          <w:tab w:val="left" w:pos="1440"/>
        </w:tabs>
        <w:ind w:left="720" w:right="720"/>
        <w:rPr>
          <w:rFonts w:cs="Arial"/>
        </w:rPr>
      </w:pPr>
      <w:r w:rsidRPr="00A241F5">
        <w:rPr>
          <w:rFonts w:cs="Arial"/>
          <w:i/>
        </w:rPr>
        <w:t>If the Success Fee model is applied, a reduced cap should apply, once again to prevent overcompensation of Lawyers</w:t>
      </w:r>
      <w:r w:rsidR="00923002" w:rsidRPr="00A241F5">
        <w:rPr>
          <w:rFonts w:cs="Arial"/>
          <w:i/>
        </w:rPr>
        <w:t>.</w:t>
      </w:r>
      <w:r w:rsidR="00C61F4B" w:rsidRPr="00A241F5">
        <w:rPr>
          <w:rFonts w:cs="Arial"/>
          <w:i/>
        </w:rPr>
        <w:t>"</w:t>
      </w:r>
    </w:p>
    <w:p w14:paraId="1E76374D" w14:textId="77777777" w:rsidR="009247ED" w:rsidRPr="00A241F5" w:rsidRDefault="009247ED" w:rsidP="009247ED">
      <w:pPr>
        <w:widowControl/>
        <w:tabs>
          <w:tab w:val="clear" w:pos="1418"/>
          <w:tab w:val="left" w:pos="1440"/>
        </w:tabs>
        <w:rPr>
          <w:rFonts w:cs="Arial"/>
        </w:rPr>
      </w:pPr>
    </w:p>
    <w:p w14:paraId="38344AA8" w14:textId="77777777" w:rsidR="009247ED" w:rsidRPr="00A241F5" w:rsidRDefault="009247ED" w:rsidP="009247ED">
      <w:pPr>
        <w:widowControl/>
        <w:tabs>
          <w:tab w:val="clear" w:pos="1418"/>
          <w:tab w:val="left" w:pos="1440"/>
        </w:tabs>
        <w:rPr>
          <w:rFonts w:cs="Arial"/>
        </w:rPr>
      </w:pPr>
    </w:p>
    <w:p w14:paraId="4920E606" w14:textId="77777777" w:rsidR="009247ED" w:rsidRPr="00A241F5" w:rsidRDefault="009247ED" w:rsidP="009247ED">
      <w:pPr>
        <w:pStyle w:val="Heading2"/>
        <w:keepLines/>
        <w:widowControl/>
        <w:tabs>
          <w:tab w:val="clear" w:pos="1418"/>
          <w:tab w:val="left" w:pos="1440"/>
        </w:tabs>
        <w:rPr>
          <w:rFonts w:cs="Arial"/>
        </w:rPr>
      </w:pPr>
      <w:r w:rsidRPr="00A241F5">
        <w:rPr>
          <w:rFonts w:cs="Arial"/>
        </w:rPr>
        <w:t>Our analysis and response</w:t>
      </w:r>
    </w:p>
    <w:p w14:paraId="0E25499A" w14:textId="77777777" w:rsidR="009247ED" w:rsidRPr="00A241F5" w:rsidRDefault="009247ED" w:rsidP="009247ED">
      <w:pPr>
        <w:keepNext/>
        <w:keepLines/>
        <w:widowControl/>
        <w:tabs>
          <w:tab w:val="clear" w:pos="1418"/>
          <w:tab w:val="left" w:pos="1440"/>
        </w:tabs>
        <w:rPr>
          <w:rFonts w:cs="Arial"/>
        </w:rPr>
      </w:pPr>
    </w:p>
    <w:p w14:paraId="47854F1E" w14:textId="428123D8" w:rsidR="009247ED" w:rsidRPr="00A241F5" w:rsidRDefault="002924EF" w:rsidP="009247ED">
      <w:pPr>
        <w:widowControl/>
        <w:tabs>
          <w:tab w:val="clear" w:pos="1418"/>
          <w:tab w:val="left" w:pos="1440"/>
        </w:tabs>
        <w:rPr>
          <w:rFonts w:cs="Arial"/>
        </w:rPr>
      </w:pPr>
      <w:r w:rsidRPr="00A241F5">
        <w:rPr>
          <w:rFonts w:cs="Arial"/>
        </w:rPr>
        <w:t>7.</w:t>
      </w:r>
      <w:r w:rsidR="009247ED" w:rsidRPr="00A241F5">
        <w:rPr>
          <w:rFonts w:cs="Arial"/>
        </w:rPr>
        <w:t>14</w:t>
      </w:r>
      <w:r w:rsidR="009247ED" w:rsidRPr="00A241F5">
        <w:rPr>
          <w:rFonts w:cs="Arial"/>
        </w:rPr>
        <w:tab/>
        <w:t>We have considered carefully the responses and comments including those summarised above.  This includes the comments received from the HKBA in favour of applying the Ontario model, as well as comments from Respondents who were not in favour of any specific fee model being applied, and wished to leave this to the parties – and the Tribunal – to regulate.</w:t>
      </w:r>
    </w:p>
    <w:p w14:paraId="60391840" w14:textId="77777777" w:rsidR="009247ED" w:rsidRPr="00A241F5" w:rsidRDefault="009247ED" w:rsidP="009247ED">
      <w:pPr>
        <w:widowControl/>
        <w:tabs>
          <w:tab w:val="clear" w:pos="1418"/>
          <w:tab w:val="left" w:pos="1440"/>
        </w:tabs>
        <w:rPr>
          <w:rFonts w:cs="Arial"/>
        </w:rPr>
      </w:pPr>
    </w:p>
    <w:p w14:paraId="09642DBD" w14:textId="131D60A4" w:rsidR="009247ED" w:rsidRPr="00A241F5" w:rsidRDefault="002924EF" w:rsidP="009247ED">
      <w:pPr>
        <w:widowControl/>
        <w:tabs>
          <w:tab w:val="clear" w:pos="1418"/>
          <w:tab w:val="left" w:pos="1440"/>
        </w:tabs>
        <w:rPr>
          <w:rFonts w:cs="Arial"/>
        </w:rPr>
      </w:pPr>
      <w:r w:rsidRPr="00A241F5">
        <w:rPr>
          <w:rFonts w:cs="Arial"/>
        </w:rPr>
        <w:t>7.</w:t>
      </w:r>
      <w:r w:rsidR="009247ED" w:rsidRPr="00A241F5">
        <w:rPr>
          <w:rFonts w:cs="Arial"/>
        </w:rPr>
        <w:t>15</w:t>
      </w:r>
      <w:r w:rsidR="009247ED" w:rsidRPr="00A241F5">
        <w:rPr>
          <w:rFonts w:cs="Arial"/>
        </w:rPr>
        <w:tab/>
        <w:t xml:space="preserve">In our view, however, there are two key difficulties with this latter approach.  </w:t>
      </w:r>
    </w:p>
    <w:p w14:paraId="633B6102" w14:textId="77777777" w:rsidR="009247ED" w:rsidRPr="00A241F5" w:rsidRDefault="009247ED" w:rsidP="009247ED">
      <w:pPr>
        <w:widowControl/>
        <w:tabs>
          <w:tab w:val="clear" w:pos="1418"/>
          <w:tab w:val="left" w:pos="1440"/>
        </w:tabs>
        <w:rPr>
          <w:rFonts w:cs="Arial"/>
        </w:rPr>
      </w:pPr>
    </w:p>
    <w:p w14:paraId="78057027" w14:textId="475C11DB" w:rsidR="009247ED" w:rsidRPr="00A241F5" w:rsidRDefault="002924EF" w:rsidP="009247ED">
      <w:pPr>
        <w:widowControl/>
        <w:tabs>
          <w:tab w:val="clear" w:pos="1418"/>
          <w:tab w:val="left" w:pos="1440"/>
        </w:tabs>
        <w:rPr>
          <w:rFonts w:cs="Arial"/>
        </w:rPr>
      </w:pPr>
      <w:r w:rsidRPr="00A241F5">
        <w:rPr>
          <w:rFonts w:cs="Arial"/>
        </w:rPr>
        <w:t>7.</w:t>
      </w:r>
      <w:r w:rsidR="009247ED" w:rsidRPr="00A241F5">
        <w:rPr>
          <w:rFonts w:cs="Arial"/>
        </w:rPr>
        <w:t>16</w:t>
      </w:r>
      <w:r w:rsidR="009247ED" w:rsidRPr="00A241F5">
        <w:rPr>
          <w:rFonts w:cs="Arial"/>
        </w:rPr>
        <w:tab/>
        <w:t>The first is that it does not address the indemnity principle, which applies to commercial arbitrations in Hong Kong, just as it does in commercial litigation.  As the Sub-committee explained in the Consultation Paper,</w:t>
      </w:r>
      <w:r w:rsidR="009247ED" w:rsidRPr="00A241F5">
        <w:rPr>
          <w:rStyle w:val="FootnoteReference"/>
          <w:rFonts w:cs="Arial"/>
          <w:sz w:val="24"/>
        </w:rPr>
        <w:footnoteReference w:id="44"/>
      </w:r>
      <w:r w:rsidR="009247ED" w:rsidRPr="00A241F5">
        <w:rPr>
          <w:rFonts w:cs="Arial"/>
        </w:rPr>
        <w:t xml:space="preserve"> if the Success fee model is not adopted and the DBA Payment is less than the amount of recoverable costs (including as assessed by the Tribunal), then the opponent is not obliged to pay those recoverable costs, and the DBA Payment becomes the ceiling of recoverable costs to which the client is entitled.  This can be a significant windfall for the losing opponent.  Although in most cases the DBA Payment is likely to be higher than recoverable costs, there will be some cases, as indicated by one law firm</w:t>
      </w:r>
      <w:r w:rsidR="00C61F4B" w:rsidRPr="00A241F5">
        <w:rPr>
          <w:rFonts w:cs="Arial"/>
        </w:rPr>
        <w:t>'</w:t>
      </w:r>
      <w:r w:rsidR="009247ED" w:rsidRPr="00A241F5">
        <w:rPr>
          <w:rFonts w:cs="Arial"/>
        </w:rPr>
        <w:t>s response</w:t>
      </w:r>
      <w:r w:rsidR="009B76AD" w:rsidRPr="00A241F5">
        <w:rPr>
          <w:rFonts w:cs="Arial"/>
        </w:rPr>
        <w:t xml:space="preserve"> in paragraph</w:t>
      </w:r>
      <w:r w:rsidR="009A106A" w:rsidRPr="00A241F5">
        <w:rPr>
          <w:rFonts w:cs="Arial"/>
        </w:rPr>
        <w:t>s 7.7 and</w:t>
      </w:r>
      <w:r w:rsidR="009B76AD" w:rsidRPr="00A241F5">
        <w:rPr>
          <w:rFonts w:cs="Arial"/>
        </w:rPr>
        <w:t xml:space="preserve"> 7.8</w:t>
      </w:r>
      <w:r w:rsidR="009247ED" w:rsidRPr="00A241F5">
        <w:rPr>
          <w:rFonts w:cs="Arial"/>
        </w:rPr>
        <w:t xml:space="preserve"> above, where it is not.  </w:t>
      </w:r>
    </w:p>
    <w:p w14:paraId="03AC6DA0" w14:textId="77777777" w:rsidR="009247ED" w:rsidRPr="00A241F5" w:rsidRDefault="009247ED" w:rsidP="009247ED">
      <w:pPr>
        <w:widowControl/>
        <w:tabs>
          <w:tab w:val="clear" w:pos="1418"/>
          <w:tab w:val="left" w:pos="1440"/>
        </w:tabs>
        <w:rPr>
          <w:rFonts w:cs="Arial"/>
        </w:rPr>
      </w:pPr>
    </w:p>
    <w:p w14:paraId="08F64482" w14:textId="301DAE25" w:rsidR="009247ED" w:rsidRPr="00A241F5" w:rsidRDefault="002924EF" w:rsidP="009247ED">
      <w:pPr>
        <w:widowControl/>
        <w:tabs>
          <w:tab w:val="clear" w:pos="1418"/>
          <w:tab w:val="left" w:pos="1440"/>
        </w:tabs>
        <w:rPr>
          <w:rFonts w:cs="Arial"/>
        </w:rPr>
      </w:pPr>
      <w:r w:rsidRPr="00A241F5">
        <w:rPr>
          <w:rFonts w:cs="Arial"/>
        </w:rPr>
        <w:t>7.</w:t>
      </w:r>
      <w:r w:rsidR="009247ED" w:rsidRPr="00A241F5">
        <w:rPr>
          <w:rFonts w:cs="Arial"/>
        </w:rPr>
        <w:t>17</w:t>
      </w:r>
      <w:r w:rsidR="009247ED" w:rsidRPr="00A241F5">
        <w:rPr>
          <w:rFonts w:cs="Arial"/>
        </w:rPr>
        <w:tab/>
        <w:t>The benefit, then, in these scenario</w:t>
      </w:r>
      <w:r w:rsidR="00434F14" w:rsidRPr="00A241F5">
        <w:rPr>
          <w:rFonts w:cs="Arial"/>
        </w:rPr>
        <w:t>s</w:t>
      </w:r>
      <w:r w:rsidR="009247ED" w:rsidRPr="00A241F5">
        <w:rPr>
          <w:rFonts w:cs="Arial"/>
        </w:rPr>
        <w:t xml:space="preserve"> of using the Success fee model, is that the windfall scenario described does not arise, as recoverable costs are paid </w:t>
      </w:r>
      <w:r w:rsidR="009247ED" w:rsidRPr="00A241F5">
        <w:rPr>
          <w:rFonts w:cs="Arial"/>
          <w:i/>
        </w:rPr>
        <w:t xml:space="preserve">in addition </w:t>
      </w:r>
      <w:r w:rsidR="009247ED" w:rsidRPr="00A241F5">
        <w:rPr>
          <w:rFonts w:cs="Arial"/>
        </w:rPr>
        <w:t xml:space="preserve">to the DBA Payment. </w:t>
      </w:r>
    </w:p>
    <w:p w14:paraId="6AAED73C" w14:textId="77777777" w:rsidR="009247ED" w:rsidRPr="00A241F5" w:rsidRDefault="009247ED" w:rsidP="009247ED">
      <w:pPr>
        <w:widowControl/>
        <w:tabs>
          <w:tab w:val="clear" w:pos="1418"/>
          <w:tab w:val="left" w:pos="1440"/>
        </w:tabs>
        <w:rPr>
          <w:rFonts w:cs="Arial"/>
        </w:rPr>
      </w:pPr>
    </w:p>
    <w:p w14:paraId="508418D9" w14:textId="3284502B" w:rsidR="009247ED" w:rsidRPr="00A241F5" w:rsidRDefault="002924EF" w:rsidP="009247ED">
      <w:pPr>
        <w:widowControl/>
        <w:tabs>
          <w:tab w:val="clear" w:pos="1418"/>
          <w:tab w:val="left" w:pos="1440"/>
        </w:tabs>
        <w:rPr>
          <w:rFonts w:cs="Arial"/>
        </w:rPr>
      </w:pPr>
      <w:r w:rsidRPr="00A241F5">
        <w:rPr>
          <w:rFonts w:cs="Arial"/>
        </w:rPr>
        <w:t>7.</w:t>
      </w:r>
      <w:r w:rsidR="009247ED" w:rsidRPr="00A241F5">
        <w:rPr>
          <w:rFonts w:cs="Arial"/>
        </w:rPr>
        <w:t>18</w:t>
      </w:r>
      <w:r w:rsidR="009247ED" w:rsidRPr="00A241F5">
        <w:rPr>
          <w:rFonts w:cs="Arial"/>
        </w:rPr>
        <w:tab/>
        <w:t xml:space="preserve">The other difficulty is that if recoverable costs are payable in any way by reference to the DBA Payment – and if there is any chance that the losing </w:t>
      </w:r>
      <w:r w:rsidR="00614E5B" w:rsidRPr="00A241F5">
        <w:rPr>
          <w:rFonts w:cs="Arial"/>
        </w:rPr>
        <w:t xml:space="preserve">opponent </w:t>
      </w:r>
      <w:r w:rsidR="009247ED" w:rsidRPr="00A241F5">
        <w:rPr>
          <w:rFonts w:cs="Arial"/>
        </w:rPr>
        <w:t xml:space="preserve">might be responsible for any part of that payment, beyond recoverable costs – the </w:t>
      </w:r>
      <w:r w:rsidR="00604D82" w:rsidRPr="00A241F5">
        <w:rPr>
          <w:rFonts w:cs="Arial"/>
        </w:rPr>
        <w:t xml:space="preserve">losing </w:t>
      </w:r>
      <w:r w:rsidR="009247ED" w:rsidRPr="00A241F5">
        <w:rPr>
          <w:rFonts w:cs="Arial"/>
        </w:rPr>
        <w:t>opponent has an incentive to challenge the enforceability of the DBA</w:t>
      </w:r>
      <w:r w:rsidR="00473C11" w:rsidRPr="00A241F5">
        <w:rPr>
          <w:rFonts w:cs="Arial"/>
        </w:rPr>
        <w:t xml:space="preserve"> (including Hybrid DBA)</w:t>
      </w:r>
      <w:r w:rsidR="009247ED" w:rsidRPr="00A241F5">
        <w:rPr>
          <w:rFonts w:cs="Arial"/>
        </w:rPr>
        <w:t>, which increases the propensity for satellite litigation.</w:t>
      </w:r>
    </w:p>
    <w:p w14:paraId="76BA26ED" w14:textId="77777777" w:rsidR="009247ED" w:rsidRPr="00A241F5" w:rsidRDefault="009247ED" w:rsidP="009247ED">
      <w:pPr>
        <w:widowControl/>
        <w:tabs>
          <w:tab w:val="clear" w:pos="1418"/>
          <w:tab w:val="left" w:pos="1440"/>
        </w:tabs>
        <w:rPr>
          <w:rFonts w:cs="Arial"/>
        </w:rPr>
      </w:pPr>
    </w:p>
    <w:p w14:paraId="5E745A17" w14:textId="6E2CFF09" w:rsidR="009247ED" w:rsidRPr="00A241F5" w:rsidRDefault="002924EF" w:rsidP="009247ED">
      <w:pPr>
        <w:widowControl/>
        <w:tabs>
          <w:tab w:val="clear" w:pos="1418"/>
          <w:tab w:val="left" w:pos="1440"/>
        </w:tabs>
        <w:rPr>
          <w:rFonts w:cs="Arial"/>
        </w:rPr>
      </w:pPr>
      <w:r w:rsidRPr="00A241F5">
        <w:rPr>
          <w:rFonts w:cs="Arial"/>
        </w:rPr>
        <w:t>7.</w:t>
      </w:r>
      <w:r w:rsidR="009247ED" w:rsidRPr="00A241F5">
        <w:rPr>
          <w:rFonts w:cs="Arial"/>
        </w:rPr>
        <w:t>19</w:t>
      </w:r>
      <w:r w:rsidR="009247ED" w:rsidRPr="00A241F5">
        <w:rPr>
          <w:rFonts w:cs="Arial"/>
        </w:rPr>
        <w:tab/>
        <w:t xml:space="preserve">In light of these issues, and considering the otherwise overwhelming support for the Success fee model from the Respondents, we </w:t>
      </w:r>
      <w:r w:rsidR="009247ED" w:rsidRPr="00A241F5">
        <w:rPr>
          <w:rFonts w:cs="Arial"/>
        </w:rPr>
        <w:lastRenderedPageBreak/>
        <w:t>agree with the Sub-committee</w:t>
      </w:r>
      <w:r w:rsidR="00C61F4B" w:rsidRPr="00A241F5">
        <w:rPr>
          <w:rFonts w:cs="Arial"/>
        </w:rPr>
        <w:t>'</w:t>
      </w:r>
      <w:r w:rsidR="009247ED" w:rsidRPr="00A241F5">
        <w:rPr>
          <w:rFonts w:cs="Arial"/>
        </w:rPr>
        <w:t>s view that, where a DBA or a Hybrid DBA is in place, the Success fee model should be adopted.  This means that costs recovered from the opponent are outside of, and additional to, the DBA Payment, and the DBA Payment is treated as true success fee on top of recoverable costs.</w:t>
      </w:r>
    </w:p>
    <w:p w14:paraId="30B11845" w14:textId="77777777" w:rsidR="009247ED" w:rsidRPr="00A241F5" w:rsidRDefault="009247ED" w:rsidP="009247ED">
      <w:pPr>
        <w:widowControl/>
        <w:tabs>
          <w:tab w:val="clear" w:pos="1418"/>
          <w:tab w:val="left" w:pos="1440"/>
        </w:tabs>
        <w:rPr>
          <w:rFonts w:cs="Arial"/>
        </w:rPr>
      </w:pPr>
      <w:r w:rsidRPr="00A241F5">
        <w:rPr>
          <w:rFonts w:cs="Arial"/>
        </w:rPr>
        <w:tab/>
      </w:r>
    </w:p>
    <w:p w14:paraId="14FCE8D5" w14:textId="6F55F386" w:rsidR="009247ED" w:rsidRPr="00A241F5" w:rsidRDefault="002924EF" w:rsidP="009247ED">
      <w:pPr>
        <w:widowControl/>
        <w:tabs>
          <w:tab w:val="clear" w:pos="1418"/>
          <w:tab w:val="left" w:pos="1440"/>
        </w:tabs>
        <w:rPr>
          <w:rFonts w:cs="Arial"/>
        </w:rPr>
      </w:pPr>
      <w:r w:rsidRPr="00A241F5">
        <w:rPr>
          <w:rFonts w:cs="Arial"/>
        </w:rPr>
        <w:t>7.</w:t>
      </w:r>
      <w:r w:rsidR="009247ED" w:rsidRPr="00A241F5">
        <w:rPr>
          <w:rFonts w:cs="Arial"/>
        </w:rPr>
        <w:t>20</w:t>
      </w:r>
      <w:r w:rsidR="009247ED" w:rsidRPr="00A241F5">
        <w:rPr>
          <w:rFonts w:cs="Arial"/>
        </w:rPr>
        <w:tab/>
        <w:t xml:space="preserve">In reaching this conclusion, we have taken into account the fact that, Tribunals have significant discretion and flexibility in how to award and apportion costs between the parties.  The Success fee model does not affect or fetter that discretion in any way.  Notably, the winning party is still able to recover its costs, reasonably incurred, from the losing opponent, taking into account the circumstances of the particular case, its outcome and the conduct of the parties.    </w:t>
      </w:r>
    </w:p>
    <w:p w14:paraId="457CFE15" w14:textId="77777777" w:rsidR="009247ED" w:rsidRPr="00A241F5" w:rsidRDefault="009247ED" w:rsidP="009247ED"/>
    <w:p w14:paraId="672C4923" w14:textId="77777777" w:rsidR="009247ED" w:rsidRPr="00A241F5" w:rsidRDefault="009247ED" w:rsidP="009247ED">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t>Final Recommendation 6</w:t>
      </w:r>
    </w:p>
    <w:p w14:paraId="28FEB7EE" w14:textId="77777777" w:rsidR="009247ED" w:rsidRPr="00A241F5" w:rsidRDefault="009247ED" w:rsidP="009247ED">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4EE2F4BC" w14:textId="77777777" w:rsidR="009247ED" w:rsidRPr="00A241F5" w:rsidRDefault="009247ED" w:rsidP="009247ED">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rPr>
          <w:lang w:val="en-US"/>
        </w:rPr>
      </w:pPr>
      <w:r w:rsidRPr="00A241F5">
        <w:rPr>
          <w:lang w:val="en-US"/>
        </w:rPr>
        <w:t>We recommend that the Success fee model should apply to DBAs, including Hybrid DBAs.</w:t>
      </w:r>
    </w:p>
    <w:p w14:paraId="73D3B0E0" w14:textId="77777777" w:rsidR="009247ED" w:rsidRPr="00A241F5" w:rsidRDefault="009247ED" w:rsidP="009247ED">
      <w:pPr>
        <w:rPr>
          <w:b/>
        </w:rPr>
      </w:pPr>
    </w:p>
    <w:p w14:paraId="1B3586C0" w14:textId="77777777" w:rsidR="009247ED" w:rsidRPr="00A241F5" w:rsidRDefault="009247ED" w:rsidP="009247ED"/>
    <w:p w14:paraId="6F7F3383" w14:textId="77777777" w:rsidR="009247ED" w:rsidRPr="00A241F5" w:rsidRDefault="009247ED" w:rsidP="009247ED"/>
    <w:p w14:paraId="7DE81887" w14:textId="77777777" w:rsidR="009247ED" w:rsidRPr="00A241F5" w:rsidRDefault="009247ED" w:rsidP="009247ED"/>
    <w:p w14:paraId="4C0201A2" w14:textId="77777777" w:rsidR="009247ED" w:rsidRPr="00A241F5" w:rsidRDefault="009247ED" w:rsidP="009247ED">
      <w:pPr>
        <w:pStyle w:val="Heading1"/>
        <w:widowControl/>
        <w:rPr>
          <w:i/>
          <w:sz w:val="20"/>
          <w:szCs w:val="20"/>
        </w:rPr>
        <w:sectPr w:rsidR="009247ED" w:rsidRPr="00A241F5" w:rsidSect="00121360">
          <w:footnotePr>
            <w:numRestart w:val="eachSect"/>
          </w:footnotePr>
          <w:pgSz w:w="11906" w:h="16838" w:code="9"/>
          <w:pgMar w:top="1440" w:right="1800" w:bottom="1440" w:left="1800" w:header="720" w:footer="720" w:gutter="0"/>
          <w:cols w:space="425"/>
          <w:docGrid w:linePitch="360"/>
        </w:sectPr>
      </w:pPr>
    </w:p>
    <w:p w14:paraId="040570CF" w14:textId="64AFE975" w:rsidR="009247ED" w:rsidRPr="00A241F5" w:rsidRDefault="00070C53" w:rsidP="009247ED">
      <w:pPr>
        <w:pStyle w:val="Heading1"/>
      </w:pPr>
      <w:bookmarkStart w:id="20" w:name="Chapter08"/>
      <w:bookmarkEnd w:id="20"/>
      <w:r w:rsidRPr="00A241F5">
        <w:lastRenderedPageBreak/>
        <w:t>Chapter 8</w:t>
      </w:r>
    </w:p>
    <w:p w14:paraId="5FC55737" w14:textId="77777777" w:rsidR="009247ED" w:rsidRPr="00A241F5" w:rsidRDefault="009247ED" w:rsidP="009247ED">
      <w:pPr>
        <w:pStyle w:val="Heading2"/>
        <w:widowControl/>
        <w:tabs>
          <w:tab w:val="clear" w:pos="1418"/>
          <w:tab w:val="left" w:pos="1440"/>
        </w:tabs>
        <w:rPr>
          <w:rFonts w:cs="Arial"/>
        </w:rPr>
      </w:pPr>
    </w:p>
    <w:p w14:paraId="6218152E" w14:textId="5C118707" w:rsidR="009247ED" w:rsidRPr="00A241F5" w:rsidRDefault="00C24ECC" w:rsidP="009247ED">
      <w:pPr>
        <w:pStyle w:val="Heading2"/>
        <w:widowControl/>
        <w:tabs>
          <w:tab w:val="clear" w:pos="1418"/>
          <w:tab w:val="left" w:pos="1440"/>
        </w:tabs>
        <w:rPr>
          <w:rFonts w:cs="Arial"/>
        </w:rPr>
      </w:pPr>
      <w:r w:rsidRPr="00A241F5">
        <w:rPr>
          <w:rFonts w:cs="Arial"/>
          <w:sz w:val="32"/>
          <w:szCs w:val="32"/>
        </w:rPr>
        <w:t>C</w:t>
      </w:r>
      <w:r w:rsidR="009247ED" w:rsidRPr="00A241F5">
        <w:rPr>
          <w:rFonts w:cs="Arial"/>
          <w:sz w:val="32"/>
          <w:szCs w:val="32"/>
        </w:rPr>
        <w:t xml:space="preserve">ap on DBA Payment </w:t>
      </w:r>
    </w:p>
    <w:p w14:paraId="50F16FBC" w14:textId="4A60FC20" w:rsidR="009247ED" w:rsidRPr="00A241F5" w:rsidRDefault="009247ED" w:rsidP="009247ED">
      <w:pPr>
        <w:rPr>
          <w:rFonts w:cs="Arial"/>
        </w:rPr>
      </w:pPr>
      <w:r w:rsidRPr="00A241F5">
        <w:rPr>
          <w:rFonts w:cs="Arial"/>
        </w:rPr>
        <w:t>_________________________</w:t>
      </w:r>
    </w:p>
    <w:p w14:paraId="595859F5" w14:textId="712116B2" w:rsidR="009247ED" w:rsidRPr="00A241F5" w:rsidRDefault="009247ED" w:rsidP="004F149A"/>
    <w:p w14:paraId="1D70997C" w14:textId="77777777" w:rsidR="00800942" w:rsidRPr="00A241F5" w:rsidRDefault="00800942" w:rsidP="004F149A"/>
    <w:p w14:paraId="2D8003F7" w14:textId="77777777" w:rsidR="009247ED" w:rsidRPr="00A241F5" w:rsidRDefault="009247ED" w:rsidP="004F149A"/>
    <w:p w14:paraId="2324ED27" w14:textId="2D9FE81A" w:rsidR="009247ED" w:rsidRPr="00A241F5" w:rsidRDefault="009247ED" w:rsidP="009247ED">
      <w:pPr>
        <w:pStyle w:val="Heading2"/>
        <w:widowControl/>
        <w:tabs>
          <w:tab w:val="clear" w:pos="1418"/>
          <w:tab w:val="left" w:pos="1440"/>
        </w:tabs>
        <w:rPr>
          <w:rFonts w:cs="Arial"/>
        </w:rPr>
      </w:pPr>
      <w:r w:rsidRPr="00A241F5">
        <w:rPr>
          <w:rFonts w:cs="Arial"/>
        </w:rPr>
        <w:t>Responses to the Sub-committee</w:t>
      </w:r>
      <w:r w:rsidR="00C61F4B" w:rsidRPr="00A241F5">
        <w:rPr>
          <w:rFonts w:cs="Arial"/>
        </w:rPr>
        <w:t>'</w:t>
      </w:r>
      <w:r w:rsidRPr="00A241F5">
        <w:rPr>
          <w:rFonts w:cs="Arial"/>
        </w:rPr>
        <w:t>s Recommendation 7</w:t>
      </w:r>
    </w:p>
    <w:p w14:paraId="5AAAC383" w14:textId="77777777" w:rsidR="009247ED" w:rsidRPr="00A241F5" w:rsidRDefault="009247ED" w:rsidP="009247ED">
      <w:pPr>
        <w:widowControl/>
        <w:tabs>
          <w:tab w:val="clear" w:pos="1418"/>
          <w:tab w:val="left" w:pos="1440"/>
        </w:tabs>
        <w:rPr>
          <w:rFonts w:cs="Arial"/>
        </w:rPr>
      </w:pPr>
    </w:p>
    <w:p w14:paraId="641B6A54" w14:textId="404469B1" w:rsidR="009247ED" w:rsidRPr="00A241F5" w:rsidRDefault="00F9375C" w:rsidP="009247ED">
      <w:pPr>
        <w:widowControl/>
        <w:tabs>
          <w:tab w:val="clear" w:pos="1418"/>
          <w:tab w:val="left" w:pos="1440"/>
        </w:tabs>
        <w:rPr>
          <w:rFonts w:cs="Arial"/>
        </w:rPr>
      </w:pPr>
      <w:r w:rsidRPr="00A241F5">
        <w:rPr>
          <w:rFonts w:cs="Arial"/>
        </w:rPr>
        <w:t>8.</w:t>
      </w:r>
      <w:r w:rsidR="009247ED" w:rsidRPr="00A241F5">
        <w:rPr>
          <w:rFonts w:cs="Arial"/>
        </w:rPr>
        <w:t>1</w:t>
      </w:r>
      <w:r w:rsidR="009247ED" w:rsidRPr="00A241F5">
        <w:rPr>
          <w:rFonts w:cs="Arial"/>
        </w:rPr>
        <w:tab/>
        <w:t>This Chapter discusses the responses regarding Recommendation 7 in the Consultation Paper:</w:t>
      </w:r>
    </w:p>
    <w:p w14:paraId="0ACB0E62" w14:textId="77777777" w:rsidR="009247ED" w:rsidRPr="00A241F5" w:rsidRDefault="009247ED" w:rsidP="009247ED">
      <w:pPr>
        <w:widowControl/>
        <w:tabs>
          <w:tab w:val="clear" w:pos="1418"/>
          <w:tab w:val="left" w:pos="1440"/>
        </w:tabs>
        <w:rPr>
          <w:rFonts w:cs="Arial"/>
        </w:rPr>
      </w:pPr>
    </w:p>
    <w:p w14:paraId="2AF36E5D" w14:textId="3E2801B3" w:rsidR="009247ED" w:rsidRPr="00A241F5" w:rsidRDefault="00C61F4B" w:rsidP="00022BC8">
      <w:pPr>
        <w:pStyle w:val="BlockText"/>
      </w:pPr>
      <w:r w:rsidRPr="00A241F5">
        <w:t>"</w:t>
      </w:r>
      <w:r w:rsidR="009247ED" w:rsidRPr="00A241F5">
        <w:t xml:space="preserve">The Sub-committee recommends that there should be a cap on the DBA Payment, which should be expressed as a percentage of the </w:t>
      </w:r>
      <w:r w:rsidRPr="00A241F5">
        <w:t>'</w:t>
      </w:r>
      <w:r w:rsidR="009247ED" w:rsidRPr="00A241F5">
        <w:t>financial benefit</w:t>
      </w:r>
      <w:r w:rsidRPr="00A241F5">
        <w:t>'</w:t>
      </w:r>
      <w:r w:rsidR="009247ED" w:rsidRPr="00A241F5">
        <w:t xml:space="preserve"> or </w:t>
      </w:r>
      <w:r w:rsidRPr="00A241F5">
        <w:t>'</w:t>
      </w:r>
      <w:r w:rsidR="009247ED" w:rsidRPr="00A241F5">
        <w:t>compensation</w:t>
      </w:r>
      <w:r w:rsidRPr="00A241F5">
        <w:t>'</w:t>
      </w:r>
      <w:r w:rsidR="009247ED" w:rsidRPr="00A241F5">
        <w:t xml:space="preserve"> received by the client.  The cap should be fixed after consultation. </w:t>
      </w:r>
    </w:p>
    <w:p w14:paraId="57DDB86E" w14:textId="77777777" w:rsidR="009247ED" w:rsidRPr="00A241F5" w:rsidRDefault="009247ED" w:rsidP="00C22562">
      <w:pPr>
        <w:widowControl/>
        <w:tabs>
          <w:tab w:val="clear" w:pos="1418"/>
          <w:tab w:val="left" w:pos="1440"/>
        </w:tabs>
        <w:ind w:left="720"/>
        <w:rPr>
          <w:rFonts w:cs="Arial"/>
        </w:rPr>
      </w:pPr>
    </w:p>
    <w:p w14:paraId="6FF93B36" w14:textId="1A6E3D9F" w:rsidR="009247ED" w:rsidRPr="00A241F5" w:rsidRDefault="009247ED" w:rsidP="00D647A2">
      <w:pPr>
        <w:pStyle w:val="BlockText"/>
        <w:rPr>
          <w:rFonts w:cs="Arial"/>
        </w:rPr>
      </w:pPr>
      <w:r w:rsidRPr="00A241F5">
        <w:t>The Sub-committee is of the view that there is scope for capping the maximum DBA Payment at less than the 50% cap currently adopted in England and Wales for commercial claims, particularly if the Success fee model is adopted, and that an appropriate range for consultation is 30% to 50%.</w:t>
      </w:r>
      <w:r w:rsidR="00C61F4B" w:rsidRPr="00A241F5">
        <w:t>"</w:t>
      </w:r>
      <w:r w:rsidRPr="005D57BA">
        <w:rPr>
          <w:rStyle w:val="FootnoteReference"/>
          <w:rFonts w:cs="Arial"/>
          <w:i w:val="0"/>
          <w:sz w:val="24"/>
        </w:rPr>
        <w:footnoteReference w:id="45"/>
      </w:r>
    </w:p>
    <w:p w14:paraId="47616BFF" w14:textId="77777777" w:rsidR="009247ED" w:rsidRPr="00A241F5" w:rsidRDefault="009247ED" w:rsidP="009247ED">
      <w:pPr>
        <w:widowControl/>
        <w:tabs>
          <w:tab w:val="clear" w:pos="1418"/>
          <w:tab w:val="left" w:pos="1440"/>
        </w:tabs>
        <w:rPr>
          <w:rFonts w:cs="Arial"/>
        </w:rPr>
      </w:pPr>
    </w:p>
    <w:p w14:paraId="7F78E655" w14:textId="729A7E14" w:rsidR="009247ED" w:rsidRPr="00A241F5" w:rsidRDefault="00F9375C" w:rsidP="009247ED">
      <w:pPr>
        <w:widowControl/>
        <w:tabs>
          <w:tab w:val="clear" w:pos="1418"/>
          <w:tab w:val="left" w:pos="1440"/>
        </w:tabs>
        <w:rPr>
          <w:rFonts w:cs="Arial"/>
        </w:rPr>
      </w:pPr>
      <w:r w:rsidRPr="00A241F5">
        <w:rPr>
          <w:rFonts w:cs="Arial"/>
        </w:rPr>
        <w:t>8.</w:t>
      </w:r>
      <w:r w:rsidR="009247ED" w:rsidRPr="00A241F5">
        <w:rPr>
          <w:rFonts w:cs="Arial"/>
        </w:rPr>
        <w:t>2</w:t>
      </w:r>
      <w:r w:rsidR="009247ED" w:rsidRPr="00A241F5">
        <w:rPr>
          <w:rFonts w:cs="Arial"/>
        </w:rPr>
        <w:tab/>
        <w:t>Again, a substantial majority of the Respondents</w:t>
      </w:r>
      <w:r w:rsidR="00434F14" w:rsidRPr="00A241F5">
        <w:rPr>
          <w:rFonts w:cs="Arial"/>
        </w:rPr>
        <w:t>, who expressed their views on Recommendation 7</w:t>
      </w:r>
      <w:r w:rsidR="009247ED" w:rsidRPr="00A241F5">
        <w:rPr>
          <w:rFonts w:cs="Arial"/>
        </w:rPr>
        <w:t xml:space="preserve"> agreed with </w:t>
      </w:r>
      <w:r w:rsidR="00434F14" w:rsidRPr="00A241F5">
        <w:rPr>
          <w:rFonts w:cs="Arial"/>
        </w:rPr>
        <w:t>the r</w:t>
      </w:r>
      <w:r w:rsidR="009247ED" w:rsidRPr="00A241F5">
        <w:rPr>
          <w:rFonts w:cs="Arial"/>
        </w:rPr>
        <w:t xml:space="preserve">ecommendation.  With one exception, the Respondents who did not agree with a cap were, on the whole, the same as those who disagreed with a cap for CFAs.  </w:t>
      </w:r>
    </w:p>
    <w:p w14:paraId="5C293CC5" w14:textId="77777777" w:rsidR="009247ED" w:rsidRPr="00A241F5" w:rsidRDefault="009247ED" w:rsidP="009247ED">
      <w:pPr>
        <w:widowControl/>
        <w:tabs>
          <w:tab w:val="clear" w:pos="1418"/>
          <w:tab w:val="left" w:pos="1440"/>
        </w:tabs>
        <w:rPr>
          <w:rFonts w:cs="Arial"/>
        </w:rPr>
      </w:pPr>
    </w:p>
    <w:p w14:paraId="350D2F01" w14:textId="77777777" w:rsidR="009247ED" w:rsidRPr="00A241F5" w:rsidRDefault="009247ED" w:rsidP="009247ED">
      <w:pPr>
        <w:widowControl/>
        <w:tabs>
          <w:tab w:val="clear" w:pos="1418"/>
          <w:tab w:val="left" w:pos="1440"/>
        </w:tabs>
        <w:rPr>
          <w:rFonts w:cs="Arial"/>
        </w:rPr>
      </w:pPr>
    </w:p>
    <w:p w14:paraId="55D1003F" w14:textId="124902B2" w:rsidR="009247ED" w:rsidRPr="00A241F5" w:rsidRDefault="009247ED" w:rsidP="009247ED">
      <w:pPr>
        <w:pStyle w:val="Heading2"/>
        <w:widowControl/>
        <w:tabs>
          <w:tab w:val="clear" w:pos="1418"/>
          <w:tab w:val="left" w:pos="1440"/>
        </w:tabs>
        <w:rPr>
          <w:rFonts w:cs="Arial"/>
          <w:i/>
          <w:sz w:val="24"/>
        </w:rPr>
      </w:pPr>
      <w:r w:rsidRPr="00A241F5">
        <w:rPr>
          <w:rFonts w:cs="Arial"/>
          <w:i/>
          <w:sz w:val="24"/>
        </w:rPr>
        <w:t>Comments from Respondents who supported Recommendation 7</w:t>
      </w:r>
    </w:p>
    <w:p w14:paraId="4E034448" w14:textId="77777777" w:rsidR="009247ED" w:rsidRPr="00A241F5" w:rsidRDefault="009247ED" w:rsidP="009247ED">
      <w:pPr>
        <w:widowControl/>
        <w:tabs>
          <w:tab w:val="clear" w:pos="1418"/>
          <w:tab w:val="left" w:pos="1440"/>
        </w:tabs>
        <w:rPr>
          <w:rFonts w:cs="Arial"/>
        </w:rPr>
      </w:pPr>
    </w:p>
    <w:p w14:paraId="00EA3031" w14:textId="61246009" w:rsidR="00D647A2" w:rsidRPr="00A241F5" w:rsidRDefault="00F9375C" w:rsidP="009247ED">
      <w:pPr>
        <w:widowControl/>
        <w:tabs>
          <w:tab w:val="clear" w:pos="1418"/>
          <w:tab w:val="left" w:pos="1440"/>
        </w:tabs>
        <w:rPr>
          <w:rFonts w:cs="Arial"/>
        </w:rPr>
      </w:pPr>
      <w:r w:rsidRPr="00A241F5">
        <w:rPr>
          <w:rFonts w:cs="Arial"/>
        </w:rPr>
        <w:t>8.</w:t>
      </w:r>
      <w:r w:rsidR="009247ED" w:rsidRPr="00A241F5">
        <w:rPr>
          <w:rFonts w:cs="Arial"/>
        </w:rPr>
        <w:t>3</w:t>
      </w:r>
      <w:r w:rsidR="009247ED" w:rsidRPr="00A241F5">
        <w:rPr>
          <w:rFonts w:cs="Arial"/>
        </w:rPr>
        <w:tab/>
        <w:t xml:space="preserve">Among the Respondents who were in favour of a cap, a </w:t>
      </w:r>
      <w:r w:rsidR="00530EFB" w:rsidRPr="00A241F5">
        <w:rPr>
          <w:rFonts w:cs="Arial"/>
        </w:rPr>
        <w:t>consumer/public interest group</w:t>
      </w:r>
      <w:r w:rsidR="009247ED" w:rsidRPr="00A241F5">
        <w:rPr>
          <w:rFonts w:cs="Arial"/>
        </w:rPr>
        <w:t xml:space="preserve"> explained its view as follows: </w:t>
      </w:r>
      <w:r w:rsidR="00C61F4B" w:rsidRPr="00A241F5">
        <w:rPr>
          <w:rFonts w:cs="Arial"/>
          <w:i/>
        </w:rPr>
        <w:t>"</w:t>
      </w:r>
      <w:r w:rsidR="007655BF" w:rsidRPr="00A241F5">
        <w:rPr>
          <w:rFonts w:cs="Arial"/>
          <w:i/>
        </w:rPr>
        <w:t>T</w:t>
      </w:r>
      <w:r w:rsidR="009247ED" w:rsidRPr="00A241F5">
        <w:rPr>
          <w:rFonts w:cs="Arial"/>
          <w:i/>
        </w:rPr>
        <w:t xml:space="preserve">he </w:t>
      </w:r>
      <w:r w:rsidR="00250D62" w:rsidRPr="00A241F5">
        <w:rPr>
          <w:rFonts w:cs="Arial"/>
        </w:rPr>
        <w:t>[</w:t>
      </w:r>
      <w:r w:rsidR="00250D62" w:rsidRPr="00A241F5">
        <w:rPr>
          <w:rFonts w:cs="Arial"/>
          <w:i/>
        </w:rPr>
        <w:t>group</w:t>
      </w:r>
      <w:r w:rsidR="00250D62" w:rsidRPr="00A241F5">
        <w:rPr>
          <w:rFonts w:cs="Arial"/>
        </w:rPr>
        <w:t>]</w:t>
      </w:r>
      <w:r w:rsidR="00250D62" w:rsidRPr="00A241F5">
        <w:rPr>
          <w:rFonts w:cs="Arial"/>
          <w:i/>
        </w:rPr>
        <w:t xml:space="preserve"> </w:t>
      </w:r>
      <w:r w:rsidR="009247ED" w:rsidRPr="00A241F5">
        <w:rPr>
          <w:rFonts w:cs="Arial"/>
          <w:i/>
        </w:rPr>
        <w:t xml:space="preserve">agrees that there should be </w:t>
      </w:r>
      <w:r w:rsidR="00F0015D" w:rsidRPr="00A241F5">
        <w:rPr>
          <w:rFonts w:cs="Arial"/>
          <w:i/>
        </w:rPr>
        <w:t xml:space="preserve">a </w:t>
      </w:r>
      <w:r w:rsidR="009247ED" w:rsidRPr="00A241F5">
        <w:rPr>
          <w:rFonts w:cs="Arial"/>
          <w:i/>
        </w:rPr>
        <w:t>cap on the DBA Payment payable by the client to its lawyer …</w:t>
      </w:r>
      <w:r w:rsidR="007655BF" w:rsidRPr="00A241F5">
        <w:rPr>
          <w:rFonts w:cs="Arial"/>
          <w:i/>
        </w:rPr>
        <w:t xml:space="preserve"> .</w:t>
      </w:r>
      <w:r w:rsidR="00C61F4B" w:rsidRPr="00A241F5">
        <w:rPr>
          <w:rFonts w:cs="Arial"/>
          <w:i/>
        </w:rPr>
        <w:t>"</w:t>
      </w:r>
      <w:r w:rsidR="009247ED" w:rsidRPr="00A241F5">
        <w:rPr>
          <w:rFonts w:cs="Arial"/>
        </w:rPr>
        <w:t xml:space="preserve">  In terms of what that cap should be, and acknowledging that England and Wales was proposing a reduction of the cap from 50% to 40% if the Success fee model was adopted, this body proposed</w:t>
      </w:r>
      <w:r w:rsidR="00EA6A08" w:rsidRPr="00A241F5">
        <w:rPr>
          <w:rFonts w:cs="Arial"/>
        </w:rPr>
        <w:t xml:space="preserve"> that</w:t>
      </w:r>
      <w:r w:rsidR="00161845" w:rsidRPr="00A241F5">
        <w:rPr>
          <w:rFonts w:cs="Arial"/>
        </w:rPr>
        <w:t>:</w:t>
      </w:r>
      <w:r w:rsidR="009247ED" w:rsidRPr="00A241F5">
        <w:rPr>
          <w:rFonts w:cs="Arial"/>
        </w:rPr>
        <w:t xml:space="preserve"> </w:t>
      </w:r>
    </w:p>
    <w:p w14:paraId="17897818" w14:textId="77777777" w:rsidR="00D647A2" w:rsidRPr="00A241F5" w:rsidRDefault="00D647A2" w:rsidP="009247ED">
      <w:pPr>
        <w:widowControl/>
        <w:tabs>
          <w:tab w:val="clear" w:pos="1418"/>
          <w:tab w:val="left" w:pos="1440"/>
        </w:tabs>
        <w:rPr>
          <w:rFonts w:cs="Arial"/>
        </w:rPr>
      </w:pPr>
    </w:p>
    <w:p w14:paraId="224A0FDF" w14:textId="0B1A507F" w:rsidR="009247ED" w:rsidRPr="00A241F5" w:rsidRDefault="00C61F4B" w:rsidP="00D647A2">
      <w:pPr>
        <w:pStyle w:val="BlockText"/>
      </w:pPr>
      <w:r w:rsidRPr="00A241F5">
        <w:t>"</w:t>
      </w:r>
      <w:r w:rsidR="009E2A67" w:rsidRPr="00A241F5">
        <w:t>…</w:t>
      </w:r>
      <w:r w:rsidR="004C7FA9" w:rsidRPr="00A241F5">
        <w:t xml:space="preserve"> </w:t>
      </w:r>
      <w:r w:rsidR="009247ED" w:rsidRPr="00A241F5">
        <w:t>it be capped at 50%.  Notwithstanding UK</w:t>
      </w:r>
      <w:r w:rsidRPr="00A241F5">
        <w:t>'</w:t>
      </w:r>
      <w:r w:rsidR="009247ED" w:rsidRPr="00A241F5">
        <w:t xml:space="preserve">s reduction of the capped share of the financial benefit obtained by the client to 40% in 2019 to prevent a lawyer being over-compensated, the </w:t>
      </w:r>
      <w:r w:rsidR="00250D62" w:rsidRPr="00A241F5">
        <w:rPr>
          <w:i w:val="0"/>
        </w:rPr>
        <w:t>[</w:t>
      </w:r>
      <w:r w:rsidR="00250D62" w:rsidRPr="00A241F5">
        <w:t>group</w:t>
      </w:r>
      <w:r w:rsidR="00250D62" w:rsidRPr="00A241F5">
        <w:rPr>
          <w:i w:val="0"/>
        </w:rPr>
        <w:t>]</w:t>
      </w:r>
      <w:r w:rsidR="00250D62" w:rsidRPr="00A241F5">
        <w:t xml:space="preserve"> </w:t>
      </w:r>
      <w:r w:rsidR="009247ED" w:rsidRPr="00A241F5">
        <w:t>considers that a cap of 50% does not necessarily lead to such presumption of over-compensation as it is after all a recommendation only and it is believed that the client will negotiate the payment with its lawyer according to the prevailing situation when signing the agreement.</w:t>
      </w:r>
      <w:r w:rsidRPr="00A241F5">
        <w:t>"</w:t>
      </w:r>
    </w:p>
    <w:p w14:paraId="0E4FACB1" w14:textId="77777777" w:rsidR="009247ED" w:rsidRPr="00A241F5" w:rsidRDefault="009247ED" w:rsidP="009247ED">
      <w:pPr>
        <w:widowControl/>
        <w:tabs>
          <w:tab w:val="clear" w:pos="1418"/>
          <w:tab w:val="left" w:pos="1440"/>
        </w:tabs>
        <w:rPr>
          <w:rFonts w:cs="Arial"/>
        </w:rPr>
      </w:pPr>
    </w:p>
    <w:p w14:paraId="3FF8AD55" w14:textId="6C336A63" w:rsidR="00D647A2" w:rsidRPr="00A241F5" w:rsidRDefault="00F9375C" w:rsidP="009247ED">
      <w:pPr>
        <w:widowControl/>
        <w:tabs>
          <w:tab w:val="clear" w:pos="1418"/>
          <w:tab w:val="left" w:pos="1440"/>
        </w:tabs>
        <w:rPr>
          <w:rFonts w:cs="Arial"/>
        </w:rPr>
      </w:pPr>
      <w:r w:rsidRPr="00A241F5">
        <w:rPr>
          <w:rFonts w:cs="Arial"/>
        </w:rPr>
        <w:lastRenderedPageBreak/>
        <w:t>8.</w:t>
      </w:r>
      <w:r w:rsidR="009021A0" w:rsidRPr="00A241F5">
        <w:rPr>
          <w:rFonts w:cs="Arial"/>
        </w:rPr>
        <w:t>4</w:t>
      </w:r>
      <w:r w:rsidR="009247ED" w:rsidRPr="00A241F5">
        <w:rPr>
          <w:rFonts w:cs="Arial"/>
        </w:rPr>
        <w:tab/>
        <w:t xml:space="preserve">An arbitral institution agreed: </w:t>
      </w:r>
      <w:r w:rsidR="00C61F4B" w:rsidRPr="00A241F5">
        <w:rPr>
          <w:rFonts w:cs="Arial"/>
          <w:i/>
        </w:rPr>
        <w:t>"</w:t>
      </w:r>
      <w:r w:rsidR="009247ED" w:rsidRPr="00A241F5">
        <w:rPr>
          <w:rFonts w:cs="Arial"/>
          <w:i/>
        </w:rPr>
        <w:t>Consistent with the position in other jurisdictions, there should be appropriate caps on the … DBA payment by the client to its lawyer under DBAs and Hybrid DBAs</w:t>
      </w:r>
      <w:r w:rsidR="00923002" w:rsidRPr="00A241F5">
        <w:rPr>
          <w:rFonts w:cs="Arial"/>
          <w:i/>
        </w:rPr>
        <w:t>.</w:t>
      </w:r>
      <w:r w:rsidR="00C61F4B" w:rsidRPr="00A241F5">
        <w:rPr>
          <w:rFonts w:cs="Arial"/>
          <w:i/>
        </w:rPr>
        <w:t>"</w:t>
      </w:r>
      <w:r w:rsidR="009247ED" w:rsidRPr="00A241F5">
        <w:rPr>
          <w:rFonts w:cs="Arial"/>
        </w:rPr>
        <w:t xml:space="preserve">  The institution did not express a specific view on what the cap should be, but noted that it was</w:t>
      </w:r>
      <w:r w:rsidR="00C048B2" w:rsidRPr="00A241F5">
        <w:rPr>
          <w:rFonts w:cs="Arial"/>
        </w:rPr>
        <w:t>:</w:t>
      </w:r>
      <w:r w:rsidR="009247ED" w:rsidRPr="00A241F5">
        <w:rPr>
          <w:rFonts w:cs="Arial"/>
        </w:rPr>
        <w:t xml:space="preserve"> </w:t>
      </w:r>
    </w:p>
    <w:p w14:paraId="3946740D" w14:textId="77777777" w:rsidR="00D647A2" w:rsidRPr="00A241F5" w:rsidRDefault="00D647A2" w:rsidP="009247ED">
      <w:pPr>
        <w:widowControl/>
        <w:tabs>
          <w:tab w:val="clear" w:pos="1418"/>
          <w:tab w:val="left" w:pos="1440"/>
        </w:tabs>
        <w:rPr>
          <w:rFonts w:cs="Arial"/>
        </w:rPr>
      </w:pPr>
    </w:p>
    <w:p w14:paraId="21A0AB24" w14:textId="0F5A9086" w:rsidR="009247ED" w:rsidRPr="00A241F5" w:rsidRDefault="00C61F4B" w:rsidP="00D647A2">
      <w:pPr>
        <w:pStyle w:val="BlockText"/>
      </w:pPr>
      <w:r w:rsidRPr="00A241F5">
        <w:t>"</w:t>
      </w:r>
      <w:r w:rsidR="009E2A67" w:rsidRPr="00A241F5">
        <w:t>…</w:t>
      </w:r>
      <w:r w:rsidR="00A75376" w:rsidRPr="00A241F5">
        <w:t xml:space="preserve"> </w:t>
      </w:r>
      <w:r w:rsidR="009247ED" w:rsidRPr="00A241F5">
        <w:t>important … that such caps and other safeguards are carefully drawn so as not to have the effect of unduly limiting the circumstances in which ORFSs can be used (e</w:t>
      </w:r>
      <w:r w:rsidR="00F0015D" w:rsidRPr="00A241F5">
        <w:t>.</w:t>
      </w:r>
      <w:r w:rsidR="009247ED" w:rsidRPr="00A241F5">
        <w:t>g</w:t>
      </w:r>
      <w:r w:rsidR="00F0015D" w:rsidRPr="00A241F5">
        <w:t>.</w:t>
      </w:r>
      <w:r w:rsidR="009247ED" w:rsidRPr="00A241F5">
        <w:t xml:space="preserve"> by preventing parties and their lawyers from being able to appropriately share the risk and reward of a dispute in a DBA)</w:t>
      </w:r>
      <w:r w:rsidRPr="00A241F5">
        <w:t>"</w:t>
      </w:r>
      <w:r w:rsidR="00923002" w:rsidRPr="00A241F5">
        <w:t>.</w:t>
      </w:r>
    </w:p>
    <w:p w14:paraId="2BD23755" w14:textId="77777777" w:rsidR="009247ED" w:rsidRPr="00A241F5" w:rsidRDefault="009247ED" w:rsidP="009247ED">
      <w:pPr>
        <w:widowControl/>
        <w:tabs>
          <w:tab w:val="clear" w:pos="1418"/>
          <w:tab w:val="left" w:pos="1440"/>
        </w:tabs>
        <w:rPr>
          <w:rFonts w:cs="Arial"/>
        </w:rPr>
      </w:pPr>
    </w:p>
    <w:p w14:paraId="3AA174A5" w14:textId="2E35DF64" w:rsidR="009247ED" w:rsidRPr="00A241F5" w:rsidRDefault="00F9375C" w:rsidP="009247ED">
      <w:pPr>
        <w:widowControl/>
        <w:tabs>
          <w:tab w:val="clear" w:pos="1418"/>
          <w:tab w:val="left" w:pos="1440"/>
        </w:tabs>
        <w:rPr>
          <w:rFonts w:cs="Arial"/>
        </w:rPr>
      </w:pPr>
      <w:r w:rsidRPr="00A241F5">
        <w:rPr>
          <w:rFonts w:cs="Arial"/>
        </w:rPr>
        <w:t>8.</w:t>
      </w:r>
      <w:r w:rsidR="009021A0" w:rsidRPr="00A241F5">
        <w:rPr>
          <w:rFonts w:cs="Arial"/>
        </w:rPr>
        <w:t>5</w:t>
      </w:r>
      <w:r w:rsidR="009247ED" w:rsidRPr="00A241F5">
        <w:rPr>
          <w:rFonts w:cs="Arial"/>
        </w:rPr>
        <w:tab/>
        <w:t>Another Respondent, a professional body, was of the view that the appropriate range for consultation was 30% to 50%, but did not express a view within that range.</w:t>
      </w:r>
    </w:p>
    <w:p w14:paraId="5F04C3B1" w14:textId="77777777" w:rsidR="009247ED" w:rsidRPr="00A241F5" w:rsidRDefault="009247ED" w:rsidP="009247ED">
      <w:pPr>
        <w:widowControl/>
        <w:tabs>
          <w:tab w:val="clear" w:pos="1418"/>
          <w:tab w:val="left" w:pos="1440"/>
        </w:tabs>
        <w:rPr>
          <w:rFonts w:cs="Arial"/>
        </w:rPr>
      </w:pPr>
    </w:p>
    <w:p w14:paraId="54D450C4" w14:textId="65D403C2" w:rsidR="009247ED" w:rsidRPr="00A241F5" w:rsidRDefault="00F9375C" w:rsidP="009247ED">
      <w:pPr>
        <w:widowControl/>
        <w:tabs>
          <w:tab w:val="clear" w:pos="1418"/>
          <w:tab w:val="left" w:pos="1440"/>
        </w:tabs>
        <w:rPr>
          <w:rFonts w:cs="Arial"/>
        </w:rPr>
      </w:pPr>
      <w:r w:rsidRPr="00A241F5">
        <w:rPr>
          <w:rFonts w:cs="Arial"/>
        </w:rPr>
        <w:t>8.</w:t>
      </w:r>
      <w:r w:rsidR="009021A0" w:rsidRPr="00A241F5">
        <w:rPr>
          <w:rFonts w:cs="Arial"/>
        </w:rPr>
        <w:t>6</w:t>
      </w:r>
      <w:r w:rsidR="009247ED" w:rsidRPr="00A241F5">
        <w:rPr>
          <w:rFonts w:cs="Arial"/>
        </w:rPr>
        <w:tab/>
        <w:t xml:space="preserve">Other Respondents – law firms – also agreed with the cap.  One expressly stated its preference for the </w:t>
      </w:r>
      <w:r w:rsidR="00C61F4B" w:rsidRPr="00A241F5">
        <w:rPr>
          <w:rFonts w:cs="Arial"/>
          <w:i/>
        </w:rPr>
        <w:t>"</w:t>
      </w:r>
      <w:r w:rsidR="009247ED" w:rsidRPr="00A241F5">
        <w:rPr>
          <w:rFonts w:cs="Arial"/>
          <w:i/>
        </w:rPr>
        <w:t>cap to be set at the higher end of the range, ie 50%</w:t>
      </w:r>
      <w:r w:rsidR="00C61F4B" w:rsidRPr="00A241F5">
        <w:rPr>
          <w:rFonts w:cs="Arial"/>
          <w:i/>
        </w:rPr>
        <w:t>"</w:t>
      </w:r>
      <w:r w:rsidR="00923002" w:rsidRPr="00A241F5">
        <w:rPr>
          <w:rFonts w:cs="Arial"/>
        </w:rPr>
        <w:t>.</w:t>
      </w:r>
      <w:r w:rsidR="009247ED" w:rsidRPr="00A241F5">
        <w:rPr>
          <w:rFonts w:cs="Arial"/>
        </w:rPr>
        <w:t xml:space="preserve">  They noted that this </w:t>
      </w:r>
      <w:r w:rsidR="00C61F4B" w:rsidRPr="00A241F5">
        <w:rPr>
          <w:rFonts w:cs="Arial"/>
          <w:i/>
        </w:rPr>
        <w:t>"</w:t>
      </w:r>
      <w:r w:rsidR="009247ED" w:rsidRPr="00A241F5">
        <w:rPr>
          <w:rFonts w:cs="Arial"/>
          <w:i/>
        </w:rPr>
        <w:t>potentially increases the number of lower value claims for which a DBA may be considered</w:t>
      </w:r>
      <w:r w:rsidR="00C61F4B" w:rsidRPr="00A241F5">
        <w:rPr>
          <w:rFonts w:cs="Arial"/>
          <w:i/>
        </w:rPr>
        <w:t>"</w:t>
      </w:r>
      <w:r w:rsidR="009247ED" w:rsidRPr="00A241F5">
        <w:rPr>
          <w:rFonts w:cs="Arial"/>
        </w:rPr>
        <w:t>, and that a higher cap was preferred in particular in circumstances where a solicitor and a barrister might each be engaged via a separate DBA, where their combined DBA Payments would be subject to the prescribed cap.</w:t>
      </w:r>
    </w:p>
    <w:p w14:paraId="702B4585" w14:textId="77777777" w:rsidR="009247ED" w:rsidRPr="00A241F5" w:rsidRDefault="009247ED" w:rsidP="009247ED">
      <w:pPr>
        <w:widowControl/>
        <w:tabs>
          <w:tab w:val="clear" w:pos="1418"/>
          <w:tab w:val="left" w:pos="1440"/>
        </w:tabs>
        <w:rPr>
          <w:rFonts w:cs="Arial"/>
        </w:rPr>
      </w:pPr>
    </w:p>
    <w:p w14:paraId="4716E2BF" w14:textId="4C7FBC3B" w:rsidR="009247ED" w:rsidRPr="00A241F5" w:rsidRDefault="00F9375C" w:rsidP="009247ED">
      <w:pPr>
        <w:widowControl/>
        <w:tabs>
          <w:tab w:val="clear" w:pos="1418"/>
          <w:tab w:val="left" w:pos="1440"/>
        </w:tabs>
        <w:rPr>
          <w:rFonts w:cs="Arial"/>
        </w:rPr>
      </w:pPr>
      <w:r w:rsidRPr="00A241F5">
        <w:rPr>
          <w:rFonts w:cs="Arial"/>
        </w:rPr>
        <w:t>8.</w:t>
      </w:r>
      <w:r w:rsidR="009021A0" w:rsidRPr="00A241F5">
        <w:rPr>
          <w:rFonts w:cs="Arial"/>
        </w:rPr>
        <w:t>7</w:t>
      </w:r>
      <w:r w:rsidR="009247ED" w:rsidRPr="00A241F5">
        <w:rPr>
          <w:rFonts w:cs="Arial"/>
        </w:rPr>
        <w:tab/>
        <w:t xml:space="preserve">Another law firm also agreed with the cap, its view being that the cap should be 40% if the Success fee model is adopted: </w:t>
      </w:r>
      <w:r w:rsidR="00C61F4B" w:rsidRPr="00A241F5">
        <w:rPr>
          <w:rFonts w:cs="Arial"/>
          <w:i/>
        </w:rPr>
        <w:t>"</w:t>
      </w:r>
      <w:r w:rsidR="007655BF" w:rsidRPr="00A241F5">
        <w:rPr>
          <w:rFonts w:cs="Arial"/>
          <w:i/>
        </w:rPr>
        <w:t>O</w:t>
      </w:r>
      <w:r w:rsidR="009247ED" w:rsidRPr="00A241F5">
        <w:rPr>
          <w:rFonts w:cs="Arial"/>
          <w:i/>
        </w:rPr>
        <w:t>n the assumption that the Success fee model were to be applied, we agree with the 2019 DBA Reform Project</w:t>
      </w:r>
      <w:r w:rsidR="00C61F4B" w:rsidRPr="00A241F5">
        <w:rPr>
          <w:rFonts w:cs="Arial"/>
          <w:i/>
        </w:rPr>
        <w:t>'</w:t>
      </w:r>
      <w:r w:rsidR="009247ED" w:rsidRPr="00A241F5">
        <w:rPr>
          <w:rFonts w:cs="Arial"/>
          <w:i/>
        </w:rPr>
        <w:t>s proposal that the percentage should be 40% on the basis that the client must pay recoverable costs in addition to the DBA Payment and the Lawyers should not be overcompensated</w:t>
      </w:r>
      <w:r w:rsidR="00C044A3" w:rsidRPr="00A241F5">
        <w:rPr>
          <w:rFonts w:cs="Arial"/>
          <w:i/>
        </w:rPr>
        <w:t>.</w:t>
      </w:r>
      <w:r w:rsidR="00C61F4B" w:rsidRPr="00A241F5">
        <w:rPr>
          <w:rFonts w:cs="Arial"/>
          <w:i/>
        </w:rPr>
        <w:t>"</w:t>
      </w:r>
      <w:r w:rsidR="009247ED" w:rsidRPr="00A241F5">
        <w:rPr>
          <w:rFonts w:cs="Arial"/>
        </w:rPr>
        <w:t xml:space="preserve"> </w:t>
      </w:r>
    </w:p>
    <w:p w14:paraId="540594B9" w14:textId="77777777" w:rsidR="009247ED" w:rsidRPr="00A241F5" w:rsidRDefault="009247ED" w:rsidP="009247ED">
      <w:pPr>
        <w:widowControl/>
        <w:tabs>
          <w:tab w:val="clear" w:pos="1418"/>
          <w:tab w:val="left" w:pos="1440"/>
        </w:tabs>
        <w:rPr>
          <w:rFonts w:cs="Arial"/>
        </w:rPr>
      </w:pPr>
    </w:p>
    <w:p w14:paraId="75276727" w14:textId="7A9D5479" w:rsidR="009247ED" w:rsidRPr="00A241F5" w:rsidRDefault="00F9375C" w:rsidP="009247ED">
      <w:pPr>
        <w:widowControl/>
        <w:tabs>
          <w:tab w:val="clear" w:pos="1418"/>
          <w:tab w:val="left" w:pos="1440"/>
        </w:tabs>
        <w:rPr>
          <w:rFonts w:cs="Arial"/>
        </w:rPr>
      </w:pPr>
      <w:r w:rsidRPr="00A241F5">
        <w:rPr>
          <w:rFonts w:cs="Arial"/>
        </w:rPr>
        <w:t>8.</w:t>
      </w:r>
      <w:r w:rsidR="009021A0" w:rsidRPr="00A241F5">
        <w:rPr>
          <w:rFonts w:cs="Arial"/>
        </w:rPr>
        <w:t>8</w:t>
      </w:r>
      <w:r w:rsidR="009247ED" w:rsidRPr="00A241F5">
        <w:rPr>
          <w:rFonts w:cs="Arial"/>
        </w:rPr>
        <w:tab/>
        <w:t xml:space="preserve">The Law Society agreed with there being a cap, expressed as a percentage of financial benefit or compensation obtained by the client, and expressed the view that a </w:t>
      </w:r>
      <w:r w:rsidR="00C61F4B" w:rsidRPr="00A241F5">
        <w:rPr>
          <w:rFonts w:cs="Arial"/>
          <w:i/>
        </w:rPr>
        <w:t>"</w:t>
      </w:r>
      <w:r w:rsidR="009247ED" w:rsidRPr="00A241F5">
        <w:rPr>
          <w:rFonts w:cs="Arial"/>
          <w:i/>
        </w:rPr>
        <w:t>lower percentage is appropriate if the Success fee model is adopted</w:t>
      </w:r>
      <w:r w:rsidR="00C61F4B" w:rsidRPr="00A241F5">
        <w:rPr>
          <w:rFonts w:cs="Arial"/>
          <w:i/>
        </w:rPr>
        <w:t>"</w:t>
      </w:r>
      <w:r w:rsidR="00923002" w:rsidRPr="00A241F5">
        <w:rPr>
          <w:rFonts w:cs="Arial"/>
        </w:rPr>
        <w:t>.</w:t>
      </w:r>
      <w:r w:rsidR="009247ED" w:rsidRPr="00A241F5">
        <w:rPr>
          <w:rFonts w:cs="Arial"/>
        </w:rPr>
        <w:t xml:space="preserve">  The Law Society thought that </w:t>
      </w:r>
      <w:r w:rsidR="00C61F4B" w:rsidRPr="00A241F5">
        <w:rPr>
          <w:rFonts w:cs="Arial"/>
          <w:i/>
        </w:rPr>
        <w:t>"</w:t>
      </w:r>
      <w:r w:rsidR="009247ED" w:rsidRPr="00A241F5">
        <w:rPr>
          <w:rFonts w:cs="Arial"/>
        </w:rPr>
        <w:t>[</w:t>
      </w:r>
      <w:r w:rsidR="009247ED" w:rsidRPr="00A241F5">
        <w:rPr>
          <w:rFonts w:cs="Arial"/>
          <w:i/>
        </w:rPr>
        <w:t>c</w:t>
      </w:r>
      <w:r w:rsidR="009247ED" w:rsidRPr="00A241F5">
        <w:rPr>
          <w:rFonts w:cs="Arial"/>
        </w:rPr>
        <w:t>]</w:t>
      </w:r>
      <w:r w:rsidR="009247ED" w:rsidRPr="00A241F5">
        <w:rPr>
          <w:rFonts w:cs="Arial"/>
          <w:i/>
        </w:rPr>
        <w:t>onsideration should be given to the possibility of different percentages depending on the value of the claim – e</w:t>
      </w:r>
      <w:r w:rsidR="00F0015D" w:rsidRPr="00A241F5">
        <w:rPr>
          <w:rFonts w:cs="Arial"/>
          <w:i/>
        </w:rPr>
        <w:t>.</w:t>
      </w:r>
      <w:r w:rsidR="009247ED" w:rsidRPr="00A241F5">
        <w:rPr>
          <w:rFonts w:cs="Arial"/>
          <w:i/>
        </w:rPr>
        <w:t>g</w:t>
      </w:r>
      <w:r w:rsidR="00F0015D" w:rsidRPr="00A241F5">
        <w:rPr>
          <w:rFonts w:cs="Arial"/>
          <w:i/>
        </w:rPr>
        <w:t>.</w:t>
      </w:r>
      <w:r w:rsidR="009247ED" w:rsidRPr="00A241F5">
        <w:rPr>
          <w:rFonts w:cs="Arial"/>
          <w:i/>
        </w:rPr>
        <w:t xml:space="preserve"> a higher percentage if the claim value is lower.  This cap (which could be reviewed</w:t>
      </w:r>
      <w:r w:rsidR="00D647A2" w:rsidRPr="00A241F5">
        <w:rPr>
          <w:rFonts w:cs="Arial"/>
          <w:i/>
        </w:rPr>
        <w:t xml:space="preserve"> </w:t>
      </w:r>
      <w:r w:rsidR="009247ED" w:rsidRPr="00A241F5">
        <w:rPr>
          <w:rFonts w:cs="Arial"/>
          <w:i/>
        </w:rPr>
        <w:t>say two years after the implementation of ORFS for arbitration) should favourably put Hong Kong in a competitive position in the international arbitration landscape</w:t>
      </w:r>
      <w:r w:rsidR="00923002" w:rsidRPr="00A241F5">
        <w:rPr>
          <w:rFonts w:cs="Arial"/>
        </w:rPr>
        <w:t>.</w:t>
      </w:r>
      <w:r w:rsidR="00C61F4B" w:rsidRPr="00A241F5">
        <w:rPr>
          <w:rFonts w:cs="Arial"/>
          <w:i/>
        </w:rPr>
        <w:t>"</w:t>
      </w:r>
      <w:r w:rsidR="009247ED" w:rsidRPr="00A241F5">
        <w:rPr>
          <w:rFonts w:cs="Arial"/>
        </w:rPr>
        <w:t xml:space="preserve">  The HKBA agreed with a cap, and expressed a similar view: </w:t>
      </w:r>
      <w:r w:rsidR="00C61F4B" w:rsidRPr="00A241F5">
        <w:rPr>
          <w:rFonts w:cs="Arial"/>
          <w:i/>
        </w:rPr>
        <w:t>"</w:t>
      </w:r>
      <w:r w:rsidR="009247ED" w:rsidRPr="00A241F5">
        <w:rPr>
          <w:rFonts w:cs="Arial"/>
          <w:i/>
        </w:rPr>
        <w:t>The HKBA considers that the cap should be</w:t>
      </w:r>
      <w:r w:rsidR="007655BF" w:rsidRPr="00A241F5">
        <w:rPr>
          <w:rFonts w:cs="Arial"/>
          <w:i/>
        </w:rPr>
        <w:t>:</w:t>
      </w:r>
      <w:r w:rsidR="009247ED" w:rsidRPr="00A241F5">
        <w:rPr>
          <w:rFonts w:cs="Arial"/>
          <w:i/>
        </w:rPr>
        <w:t xml:space="preserve"> (1) 40% if the Ontario Model is adopted </w:t>
      </w:r>
      <w:r w:rsidR="009247ED" w:rsidRPr="00A241F5">
        <w:rPr>
          <w:rFonts w:cs="Arial"/>
        </w:rPr>
        <w:t>[</w:t>
      </w:r>
      <w:r w:rsidR="009247ED" w:rsidRPr="00A241F5">
        <w:rPr>
          <w:rFonts w:cs="Arial"/>
          <w:i/>
        </w:rPr>
        <w:t>, and</w:t>
      </w:r>
      <w:r w:rsidR="009247ED" w:rsidRPr="00A241F5">
        <w:rPr>
          <w:rFonts w:cs="Arial"/>
        </w:rPr>
        <w:t>]</w:t>
      </w:r>
      <w:r w:rsidR="009247ED" w:rsidRPr="00A241F5">
        <w:rPr>
          <w:rFonts w:cs="Arial"/>
          <w:i/>
        </w:rPr>
        <w:t xml:space="preserve"> (2) 30% if the Success Fee </w:t>
      </w:r>
      <w:r w:rsidR="00F0015D" w:rsidRPr="00A241F5">
        <w:rPr>
          <w:rFonts w:cs="Arial"/>
          <w:i/>
        </w:rPr>
        <w:t>M</w:t>
      </w:r>
      <w:r w:rsidR="009247ED" w:rsidRPr="00A241F5">
        <w:rPr>
          <w:rFonts w:cs="Arial"/>
          <w:i/>
        </w:rPr>
        <w:t>odel is adopted</w:t>
      </w:r>
      <w:r w:rsidR="00923002" w:rsidRPr="00A241F5">
        <w:rPr>
          <w:rFonts w:cs="Arial"/>
          <w:i/>
        </w:rPr>
        <w:t>.</w:t>
      </w:r>
      <w:r w:rsidR="00C61F4B" w:rsidRPr="00A241F5">
        <w:rPr>
          <w:rFonts w:cs="Arial"/>
          <w:i/>
        </w:rPr>
        <w:t>"</w:t>
      </w:r>
    </w:p>
    <w:p w14:paraId="03AD3D3B" w14:textId="77777777" w:rsidR="009247ED" w:rsidRPr="00A241F5" w:rsidRDefault="009247ED" w:rsidP="009247ED">
      <w:pPr>
        <w:widowControl/>
        <w:tabs>
          <w:tab w:val="clear" w:pos="1418"/>
          <w:tab w:val="left" w:pos="1440"/>
        </w:tabs>
        <w:rPr>
          <w:rFonts w:cs="Arial"/>
        </w:rPr>
      </w:pPr>
    </w:p>
    <w:p w14:paraId="6287C3A0" w14:textId="1884F443" w:rsidR="00D647A2" w:rsidRPr="00A241F5" w:rsidRDefault="00F9375C" w:rsidP="009247ED">
      <w:pPr>
        <w:tabs>
          <w:tab w:val="clear" w:pos="1418"/>
          <w:tab w:val="left" w:pos="1440"/>
        </w:tabs>
        <w:rPr>
          <w:rFonts w:cs="Arial"/>
        </w:rPr>
      </w:pPr>
      <w:r w:rsidRPr="00A241F5">
        <w:rPr>
          <w:rFonts w:cs="Arial"/>
        </w:rPr>
        <w:t>8.</w:t>
      </w:r>
      <w:r w:rsidR="009021A0" w:rsidRPr="00A241F5">
        <w:rPr>
          <w:rFonts w:cs="Arial"/>
        </w:rPr>
        <w:t>9</w:t>
      </w:r>
      <w:r w:rsidR="009247ED" w:rsidRPr="00A241F5">
        <w:rPr>
          <w:rFonts w:cs="Arial"/>
        </w:rPr>
        <w:tab/>
        <w:t xml:space="preserve">The Consumer Council was also in favour of a cap, but said it would leave the precise cap to the legal profession to decide: </w:t>
      </w:r>
    </w:p>
    <w:p w14:paraId="329634D9" w14:textId="77777777" w:rsidR="00D647A2" w:rsidRPr="00A241F5" w:rsidRDefault="00D647A2" w:rsidP="009247ED">
      <w:pPr>
        <w:tabs>
          <w:tab w:val="clear" w:pos="1418"/>
          <w:tab w:val="left" w:pos="1440"/>
        </w:tabs>
        <w:rPr>
          <w:rFonts w:cs="Arial"/>
        </w:rPr>
      </w:pPr>
    </w:p>
    <w:p w14:paraId="2812AFDD" w14:textId="7FAC32D0" w:rsidR="009247ED" w:rsidRPr="00A241F5" w:rsidRDefault="00C61F4B" w:rsidP="00D647A2">
      <w:pPr>
        <w:pStyle w:val="BlockText"/>
      </w:pPr>
      <w:r w:rsidRPr="00A241F5">
        <w:t>"</w:t>
      </w:r>
      <w:r w:rsidR="009247ED" w:rsidRPr="00A241F5">
        <w:t>Suffice to say that any cap imposed should be reasonable and should not make a mockery of taking the matter to arbitration e</w:t>
      </w:r>
      <w:r w:rsidR="00F0015D" w:rsidRPr="00A241F5">
        <w:t>.</w:t>
      </w:r>
      <w:r w:rsidR="009247ED" w:rsidRPr="00A241F5">
        <w:t>g</w:t>
      </w:r>
      <w:r w:rsidR="00F0015D" w:rsidRPr="00A241F5">
        <w:t>.</w:t>
      </w:r>
      <w:r w:rsidR="009247ED" w:rsidRPr="00A241F5">
        <w:t xml:space="preserve"> the consumer client is left in a situation whereby despite succeeding on a case, he/she is left with an unfavourable </w:t>
      </w:r>
      <w:r w:rsidR="009247ED" w:rsidRPr="00A241F5">
        <w:lastRenderedPageBreak/>
        <w:t>outcome where the legal representative retains an inequitable proportion of the a</w:t>
      </w:r>
      <w:r w:rsidR="00D647A2" w:rsidRPr="00A241F5">
        <w:t xml:space="preserve">ward.  When determining what is </w:t>
      </w:r>
      <w:r w:rsidR="00B1570E" w:rsidRPr="00A241F5">
        <w:t xml:space="preserve">an </w:t>
      </w:r>
      <w:r w:rsidR="009247ED" w:rsidRPr="00A241F5">
        <w:t xml:space="preserve">appropriate cap to impose, affordability and a proportionate return for the consumer who embark </w:t>
      </w:r>
      <w:r w:rsidR="009247ED" w:rsidRPr="00A241F5">
        <w:rPr>
          <w:i w:val="0"/>
        </w:rPr>
        <w:t>[</w:t>
      </w:r>
      <w:r w:rsidR="009247ED" w:rsidRPr="00A241F5">
        <w:t>sic</w:t>
      </w:r>
      <w:r w:rsidR="009247ED" w:rsidRPr="00A241F5">
        <w:rPr>
          <w:i w:val="0"/>
        </w:rPr>
        <w:t>]</w:t>
      </w:r>
      <w:r w:rsidR="009247ED" w:rsidRPr="00A241F5">
        <w:t xml:space="preserve"> on such an arrangement with his/her legal counsel should be factors to be taken into account</w:t>
      </w:r>
      <w:r w:rsidR="00923002" w:rsidRPr="00A241F5">
        <w:t>.</w:t>
      </w:r>
      <w:r w:rsidRPr="00A241F5">
        <w:t>"</w:t>
      </w:r>
      <w:r w:rsidR="009247ED" w:rsidRPr="00A241F5">
        <w:br/>
      </w:r>
    </w:p>
    <w:p w14:paraId="2D4E090C" w14:textId="77777777" w:rsidR="00D647A2" w:rsidRPr="00A241F5" w:rsidRDefault="00D647A2" w:rsidP="00D647A2">
      <w:pPr>
        <w:pStyle w:val="BlockText"/>
        <w:ind w:left="0"/>
        <w:rPr>
          <w:i w:val="0"/>
        </w:rPr>
      </w:pPr>
    </w:p>
    <w:p w14:paraId="6FF18A4C" w14:textId="1B9F8E5D" w:rsidR="009247ED" w:rsidRPr="00A241F5" w:rsidRDefault="009247ED" w:rsidP="009247ED">
      <w:pPr>
        <w:pStyle w:val="Heading2"/>
        <w:keepLines/>
        <w:widowControl/>
        <w:tabs>
          <w:tab w:val="clear" w:pos="1418"/>
          <w:tab w:val="left" w:pos="1440"/>
        </w:tabs>
        <w:rPr>
          <w:rFonts w:cs="Arial"/>
          <w:i/>
          <w:sz w:val="24"/>
        </w:rPr>
      </w:pPr>
      <w:r w:rsidRPr="00A241F5">
        <w:rPr>
          <w:rFonts w:cs="Arial"/>
          <w:i/>
          <w:sz w:val="24"/>
        </w:rPr>
        <w:t>Comments from Respondents who opposed Recommendation 7</w:t>
      </w:r>
    </w:p>
    <w:p w14:paraId="20537DB9" w14:textId="77777777" w:rsidR="009247ED" w:rsidRPr="00A241F5" w:rsidRDefault="009247ED" w:rsidP="009247ED">
      <w:pPr>
        <w:keepNext/>
        <w:keepLines/>
        <w:widowControl/>
        <w:tabs>
          <w:tab w:val="clear" w:pos="1418"/>
          <w:tab w:val="left" w:pos="1440"/>
        </w:tabs>
        <w:rPr>
          <w:rFonts w:cs="Arial"/>
        </w:rPr>
      </w:pPr>
    </w:p>
    <w:p w14:paraId="3E0ADC47" w14:textId="4906E973" w:rsidR="009247ED" w:rsidRPr="00A241F5" w:rsidRDefault="00F9375C" w:rsidP="009247ED">
      <w:pPr>
        <w:widowControl/>
        <w:tabs>
          <w:tab w:val="clear" w:pos="1418"/>
          <w:tab w:val="left" w:pos="1440"/>
        </w:tabs>
        <w:rPr>
          <w:rFonts w:cs="Arial"/>
        </w:rPr>
      </w:pPr>
      <w:r w:rsidRPr="00A241F5">
        <w:rPr>
          <w:rFonts w:cs="Arial"/>
        </w:rPr>
        <w:t>8.</w:t>
      </w:r>
      <w:r w:rsidR="009247ED" w:rsidRPr="00A241F5">
        <w:rPr>
          <w:rFonts w:cs="Arial"/>
        </w:rPr>
        <w:t>1</w:t>
      </w:r>
      <w:r w:rsidR="009021A0" w:rsidRPr="00A241F5">
        <w:rPr>
          <w:rFonts w:cs="Arial"/>
        </w:rPr>
        <w:t>0</w:t>
      </w:r>
      <w:r w:rsidR="009247ED" w:rsidRPr="00A241F5">
        <w:rPr>
          <w:rFonts w:cs="Arial"/>
        </w:rPr>
        <w:tab/>
        <w:t>Three Respondents, an arbitrator/barrister, a litigation funder and</w:t>
      </w:r>
      <w:r w:rsidR="00F0015D" w:rsidRPr="00A241F5">
        <w:rPr>
          <w:rFonts w:cs="Arial"/>
        </w:rPr>
        <w:t xml:space="preserve"> a professional body</w:t>
      </w:r>
      <w:r w:rsidR="009247ED" w:rsidRPr="00A241F5">
        <w:rPr>
          <w:rFonts w:cs="Arial"/>
        </w:rPr>
        <w:t>, were against the imposition of any cap.</w:t>
      </w:r>
    </w:p>
    <w:p w14:paraId="41B160DE" w14:textId="77777777" w:rsidR="009247ED" w:rsidRPr="00A241F5" w:rsidRDefault="009247ED" w:rsidP="009247ED">
      <w:pPr>
        <w:widowControl/>
        <w:tabs>
          <w:tab w:val="clear" w:pos="1418"/>
          <w:tab w:val="left" w:pos="1440"/>
        </w:tabs>
        <w:rPr>
          <w:rFonts w:cs="Arial"/>
        </w:rPr>
      </w:pPr>
    </w:p>
    <w:p w14:paraId="4CDDECA7" w14:textId="2936B167" w:rsidR="009247ED" w:rsidRPr="00A241F5" w:rsidRDefault="00F9375C" w:rsidP="009247ED">
      <w:pPr>
        <w:widowControl/>
        <w:tabs>
          <w:tab w:val="clear" w:pos="1418"/>
          <w:tab w:val="left" w:pos="1440"/>
        </w:tabs>
        <w:rPr>
          <w:rFonts w:cs="Arial"/>
        </w:rPr>
      </w:pPr>
      <w:r w:rsidRPr="00A241F5">
        <w:rPr>
          <w:rFonts w:cs="Arial"/>
        </w:rPr>
        <w:t>8.</w:t>
      </w:r>
      <w:r w:rsidR="009247ED" w:rsidRPr="00A241F5">
        <w:rPr>
          <w:rFonts w:cs="Arial"/>
        </w:rPr>
        <w:t>1</w:t>
      </w:r>
      <w:r w:rsidR="009021A0" w:rsidRPr="00A241F5">
        <w:rPr>
          <w:rFonts w:cs="Arial"/>
        </w:rPr>
        <w:t>1</w:t>
      </w:r>
      <w:r w:rsidR="009247ED" w:rsidRPr="00A241F5">
        <w:rPr>
          <w:rFonts w:cs="Arial"/>
        </w:rPr>
        <w:tab/>
        <w:t>The key reasons given were party autonomy and the ability of sophisticated, commercial parties – primary users of Arbitration in Hong Kong – to negotiate their own DBA terms with their Lawyers.</w:t>
      </w:r>
    </w:p>
    <w:p w14:paraId="78CCB1DC" w14:textId="77777777" w:rsidR="009247ED" w:rsidRPr="00A241F5" w:rsidRDefault="009247ED" w:rsidP="009247ED">
      <w:pPr>
        <w:widowControl/>
        <w:tabs>
          <w:tab w:val="clear" w:pos="1418"/>
          <w:tab w:val="left" w:pos="1440"/>
        </w:tabs>
        <w:rPr>
          <w:rFonts w:cs="Arial"/>
        </w:rPr>
      </w:pPr>
    </w:p>
    <w:p w14:paraId="52853746" w14:textId="324080FB" w:rsidR="00962649" w:rsidRPr="00A241F5" w:rsidRDefault="00F9375C" w:rsidP="009247ED">
      <w:pPr>
        <w:widowControl/>
        <w:tabs>
          <w:tab w:val="clear" w:pos="1418"/>
          <w:tab w:val="left" w:pos="1440"/>
        </w:tabs>
        <w:rPr>
          <w:rFonts w:cs="Arial"/>
        </w:rPr>
      </w:pPr>
      <w:r w:rsidRPr="00A241F5">
        <w:rPr>
          <w:rFonts w:cs="Arial"/>
        </w:rPr>
        <w:t>8.</w:t>
      </w:r>
      <w:r w:rsidR="009247ED" w:rsidRPr="00A241F5">
        <w:rPr>
          <w:rFonts w:cs="Arial"/>
        </w:rPr>
        <w:t>1</w:t>
      </w:r>
      <w:r w:rsidR="009021A0" w:rsidRPr="00A241F5">
        <w:rPr>
          <w:rFonts w:cs="Arial"/>
        </w:rPr>
        <w:t>2</w:t>
      </w:r>
      <w:r w:rsidR="009247ED" w:rsidRPr="00A241F5">
        <w:rPr>
          <w:rFonts w:cs="Arial"/>
        </w:rPr>
        <w:tab/>
        <w:t xml:space="preserve">As the funder put it: </w:t>
      </w:r>
    </w:p>
    <w:p w14:paraId="6300703F" w14:textId="77777777" w:rsidR="00962649" w:rsidRPr="00A241F5" w:rsidRDefault="00962649" w:rsidP="009247ED">
      <w:pPr>
        <w:widowControl/>
        <w:tabs>
          <w:tab w:val="clear" w:pos="1418"/>
          <w:tab w:val="left" w:pos="1440"/>
        </w:tabs>
        <w:rPr>
          <w:rFonts w:cs="Arial"/>
        </w:rPr>
      </w:pPr>
    </w:p>
    <w:p w14:paraId="5FD0340A" w14:textId="1D473AB5" w:rsidR="009247ED" w:rsidRPr="00A241F5" w:rsidRDefault="00C61F4B" w:rsidP="00962649">
      <w:pPr>
        <w:pStyle w:val="BlockText"/>
      </w:pPr>
      <w:r w:rsidRPr="00A241F5">
        <w:t>"</w:t>
      </w:r>
      <w:r w:rsidR="009247ED" w:rsidRPr="00A241F5">
        <w:t xml:space="preserve">As noted in the Consultation Paper, most parties to international arbitration are, on the whole, sophisticated commercial parties.  In </w:t>
      </w:r>
      <w:r w:rsidR="009247ED" w:rsidRPr="00A241F5">
        <w:rPr>
          <w:i w:val="0"/>
        </w:rPr>
        <w:t>[</w:t>
      </w:r>
      <w:r w:rsidR="009247ED" w:rsidRPr="00A241F5">
        <w:t>the funder</w:t>
      </w:r>
      <w:r w:rsidRPr="00A241F5">
        <w:t>'</w:t>
      </w:r>
      <w:r w:rsidR="009247ED" w:rsidRPr="00A241F5">
        <w:t>s</w:t>
      </w:r>
      <w:r w:rsidR="009247ED" w:rsidRPr="00A241F5">
        <w:rPr>
          <w:i w:val="0"/>
        </w:rPr>
        <w:t>]</w:t>
      </w:r>
      <w:r w:rsidR="009247ED" w:rsidRPr="00A241F5">
        <w:t xml:space="preserve"> view, the DBA terms should be left to the parties to negotiate, provided there is a requirement in the ORFS regime for clients to receive independent advice.  This will allow parties to have the necessary commercial autonomy to negotiate terms that are appropriate in the circumstances of the case and to maximi</w:t>
      </w:r>
      <w:r w:rsidR="00F0015D" w:rsidRPr="00A241F5">
        <w:t>s</w:t>
      </w:r>
      <w:r w:rsidR="009247ED" w:rsidRPr="00A241F5">
        <w:t>e access to justice</w:t>
      </w:r>
      <w:r w:rsidR="00923002" w:rsidRPr="00A241F5">
        <w:t>.</w:t>
      </w:r>
      <w:r w:rsidRPr="00A241F5">
        <w:t>"</w:t>
      </w:r>
    </w:p>
    <w:p w14:paraId="51694BDB" w14:textId="77777777" w:rsidR="009247ED" w:rsidRPr="00A241F5" w:rsidRDefault="009247ED" w:rsidP="009247ED">
      <w:pPr>
        <w:widowControl/>
        <w:tabs>
          <w:tab w:val="clear" w:pos="1418"/>
          <w:tab w:val="left" w:pos="1440"/>
        </w:tabs>
        <w:rPr>
          <w:rFonts w:cs="Arial"/>
        </w:rPr>
      </w:pPr>
    </w:p>
    <w:p w14:paraId="5C9D6163" w14:textId="0E90C162" w:rsidR="00962649" w:rsidRPr="00A241F5" w:rsidRDefault="00F9375C" w:rsidP="009247ED">
      <w:pPr>
        <w:widowControl/>
        <w:tabs>
          <w:tab w:val="clear" w:pos="1418"/>
          <w:tab w:val="left" w:pos="1440"/>
        </w:tabs>
        <w:rPr>
          <w:rFonts w:cs="Arial"/>
        </w:rPr>
      </w:pPr>
      <w:r w:rsidRPr="00A241F5">
        <w:rPr>
          <w:rFonts w:cs="Arial"/>
        </w:rPr>
        <w:t>8.</w:t>
      </w:r>
      <w:r w:rsidR="009247ED" w:rsidRPr="00A241F5">
        <w:rPr>
          <w:rFonts w:cs="Arial"/>
        </w:rPr>
        <w:t>1</w:t>
      </w:r>
      <w:r w:rsidR="009021A0" w:rsidRPr="00A241F5">
        <w:rPr>
          <w:rFonts w:cs="Arial"/>
        </w:rPr>
        <w:t>3</w:t>
      </w:r>
      <w:r w:rsidR="009247ED" w:rsidRPr="00A241F5">
        <w:rPr>
          <w:rFonts w:cs="Arial"/>
        </w:rPr>
        <w:tab/>
        <w:t>The other two Respondents gave a similar response, namely that a cap should not be necessary</w:t>
      </w:r>
      <w:r w:rsidR="00F0015D" w:rsidRPr="00A241F5">
        <w:rPr>
          <w:rFonts w:cs="Arial"/>
        </w:rPr>
        <w:t>.  The professional body stated that:</w:t>
      </w:r>
    </w:p>
    <w:p w14:paraId="294D1B3D" w14:textId="1DA1A0AA" w:rsidR="00962649" w:rsidRPr="00A241F5" w:rsidRDefault="009247ED" w:rsidP="009247ED">
      <w:pPr>
        <w:widowControl/>
        <w:tabs>
          <w:tab w:val="clear" w:pos="1418"/>
          <w:tab w:val="left" w:pos="1440"/>
        </w:tabs>
        <w:rPr>
          <w:rFonts w:cs="Arial"/>
        </w:rPr>
      </w:pPr>
      <w:r w:rsidRPr="00A241F5">
        <w:rPr>
          <w:rFonts w:cs="Arial"/>
        </w:rPr>
        <w:t xml:space="preserve"> </w:t>
      </w:r>
    </w:p>
    <w:p w14:paraId="0D90B2F5" w14:textId="0DABBC03" w:rsidR="00962649" w:rsidRPr="00A241F5" w:rsidRDefault="00C61F4B" w:rsidP="00962649">
      <w:pPr>
        <w:pStyle w:val="BlockText"/>
      </w:pPr>
      <w:r w:rsidRPr="00A241F5">
        <w:t>"</w:t>
      </w:r>
      <w:r w:rsidR="009E2A67" w:rsidRPr="00A241F5">
        <w:t>…</w:t>
      </w:r>
      <w:r w:rsidR="001A4D76" w:rsidRPr="00A241F5">
        <w:t xml:space="preserve"> </w:t>
      </w:r>
      <w:r w:rsidR="009247ED" w:rsidRPr="00A241F5">
        <w:t xml:space="preserve">given the importance of party autonomy and the need for flexibility to structure </w:t>
      </w:r>
      <w:r w:rsidR="00F0015D" w:rsidRPr="00A241F5">
        <w:t xml:space="preserve">arbitration financing </w:t>
      </w:r>
      <w:r w:rsidR="009247ED" w:rsidRPr="00A241F5">
        <w:t>to meet the needs of the relevant stakeholders, we are against any capping.  We are of the view that the client should be in the best position to make its own commercial decision</w:t>
      </w:r>
      <w:r w:rsidR="00F0015D" w:rsidRPr="00A241F5">
        <w:t>s</w:t>
      </w:r>
      <w:r w:rsidR="009247ED" w:rsidRPr="00A241F5">
        <w:t>, and to take responsibility to protect its own interest</w:t>
      </w:r>
      <w:r w:rsidR="00F0015D" w:rsidRPr="00A241F5">
        <w:t>s</w:t>
      </w:r>
      <w:r w:rsidR="00923002" w:rsidRPr="00A241F5">
        <w:t>.</w:t>
      </w:r>
      <w:r w:rsidRPr="00A241F5">
        <w:t>"</w:t>
      </w:r>
    </w:p>
    <w:p w14:paraId="3080369A" w14:textId="77777777" w:rsidR="00962649" w:rsidRPr="00A241F5" w:rsidRDefault="00962649" w:rsidP="009247ED">
      <w:pPr>
        <w:widowControl/>
        <w:tabs>
          <w:tab w:val="clear" w:pos="1418"/>
          <w:tab w:val="left" w:pos="1440"/>
        </w:tabs>
        <w:rPr>
          <w:rFonts w:cs="Arial"/>
        </w:rPr>
      </w:pPr>
    </w:p>
    <w:p w14:paraId="4F9003CC" w14:textId="6DC9FF1E" w:rsidR="009247ED" w:rsidRPr="00A241F5" w:rsidRDefault="009247ED" w:rsidP="009247ED">
      <w:pPr>
        <w:widowControl/>
        <w:tabs>
          <w:tab w:val="clear" w:pos="1418"/>
          <w:tab w:val="left" w:pos="1440"/>
        </w:tabs>
        <w:rPr>
          <w:rFonts w:cs="Arial"/>
          <w:lang w:val="en-HK"/>
        </w:rPr>
      </w:pPr>
      <w:r w:rsidRPr="00A241F5">
        <w:rPr>
          <w:rFonts w:cs="Arial"/>
        </w:rPr>
        <w:t xml:space="preserve">These two Respondents thought that although the </w:t>
      </w:r>
      <w:r w:rsidR="00C61F4B" w:rsidRPr="00A241F5">
        <w:rPr>
          <w:rFonts w:cs="Arial"/>
          <w:i/>
        </w:rPr>
        <w:t>"</w:t>
      </w:r>
      <w:r w:rsidRPr="00A241F5">
        <w:rPr>
          <w:rFonts w:cs="Arial"/>
          <w:i/>
        </w:rPr>
        <w:t>cap at 30-50% is not unreasonable, we are of the view it is not necessary</w:t>
      </w:r>
      <w:r w:rsidR="00C61F4B" w:rsidRPr="00A241F5">
        <w:rPr>
          <w:rFonts w:cs="Arial"/>
          <w:i/>
        </w:rPr>
        <w:t>"</w:t>
      </w:r>
      <w:r w:rsidR="00923002" w:rsidRPr="00A241F5">
        <w:rPr>
          <w:rFonts w:cs="Arial"/>
        </w:rPr>
        <w:t>.</w:t>
      </w:r>
      <w:r w:rsidRPr="00A241F5">
        <w:rPr>
          <w:rFonts w:cs="Arial"/>
          <w:i/>
        </w:rPr>
        <w:t xml:space="preserve">  </w:t>
      </w:r>
      <w:r w:rsidRPr="00A241F5">
        <w:rPr>
          <w:rFonts w:cs="Arial"/>
        </w:rPr>
        <w:t xml:space="preserve">  </w:t>
      </w:r>
      <w:r w:rsidRPr="00A241F5">
        <w:rPr>
          <w:rFonts w:cs="Arial"/>
          <w:lang w:val="en-HK"/>
        </w:rPr>
        <w:t xml:space="preserve"> </w:t>
      </w:r>
    </w:p>
    <w:p w14:paraId="62EE90E2" w14:textId="77777777" w:rsidR="009247ED" w:rsidRPr="00A241F5" w:rsidRDefault="009247ED" w:rsidP="009247ED">
      <w:pPr>
        <w:widowControl/>
        <w:tabs>
          <w:tab w:val="clear" w:pos="1418"/>
          <w:tab w:val="left" w:pos="1440"/>
        </w:tabs>
        <w:rPr>
          <w:rFonts w:cs="Arial"/>
          <w:lang w:val="en-HK"/>
        </w:rPr>
      </w:pPr>
    </w:p>
    <w:p w14:paraId="75391DE4" w14:textId="77777777" w:rsidR="009247ED" w:rsidRPr="00A241F5" w:rsidRDefault="009247ED" w:rsidP="009247ED">
      <w:pPr>
        <w:widowControl/>
        <w:tabs>
          <w:tab w:val="clear" w:pos="1418"/>
          <w:tab w:val="left" w:pos="1440"/>
        </w:tabs>
        <w:rPr>
          <w:rFonts w:cs="Arial"/>
          <w:lang w:val="en-HK"/>
        </w:rPr>
      </w:pPr>
    </w:p>
    <w:p w14:paraId="2B3CB455" w14:textId="77777777" w:rsidR="009247ED" w:rsidRPr="00A241F5" w:rsidRDefault="009247ED" w:rsidP="009247ED">
      <w:pPr>
        <w:pStyle w:val="Heading2"/>
        <w:keepLines/>
        <w:widowControl/>
        <w:tabs>
          <w:tab w:val="clear" w:pos="1418"/>
          <w:tab w:val="left" w:pos="1440"/>
        </w:tabs>
        <w:rPr>
          <w:rFonts w:cs="Arial"/>
        </w:rPr>
      </w:pPr>
      <w:r w:rsidRPr="00A241F5">
        <w:rPr>
          <w:rFonts w:cs="Arial"/>
        </w:rPr>
        <w:t>Our analysis and response</w:t>
      </w:r>
    </w:p>
    <w:p w14:paraId="52DEE823" w14:textId="77777777" w:rsidR="009247ED" w:rsidRPr="00A241F5" w:rsidRDefault="009247ED" w:rsidP="009247ED">
      <w:pPr>
        <w:keepNext/>
        <w:keepLines/>
        <w:widowControl/>
        <w:tabs>
          <w:tab w:val="clear" w:pos="1418"/>
          <w:tab w:val="left" w:pos="1440"/>
        </w:tabs>
        <w:rPr>
          <w:rFonts w:cs="Arial"/>
        </w:rPr>
      </w:pPr>
    </w:p>
    <w:p w14:paraId="4C7C5697" w14:textId="1C72CC0B" w:rsidR="009247ED" w:rsidRPr="00A241F5" w:rsidRDefault="00F9375C" w:rsidP="009247ED">
      <w:pPr>
        <w:widowControl/>
        <w:tabs>
          <w:tab w:val="clear" w:pos="1418"/>
          <w:tab w:val="left" w:pos="1440"/>
        </w:tabs>
        <w:rPr>
          <w:rFonts w:cs="Arial"/>
        </w:rPr>
      </w:pPr>
      <w:r w:rsidRPr="00A241F5">
        <w:rPr>
          <w:rFonts w:cs="Arial"/>
        </w:rPr>
        <w:t>8.</w:t>
      </w:r>
      <w:r w:rsidR="009247ED" w:rsidRPr="00A241F5">
        <w:rPr>
          <w:rFonts w:cs="Arial"/>
        </w:rPr>
        <w:t>1</w:t>
      </w:r>
      <w:r w:rsidR="009021A0" w:rsidRPr="00A241F5">
        <w:rPr>
          <w:rFonts w:cs="Arial"/>
        </w:rPr>
        <w:t>4</w:t>
      </w:r>
      <w:r w:rsidR="009247ED" w:rsidRPr="00A241F5">
        <w:rPr>
          <w:rFonts w:cs="Arial"/>
        </w:rPr>
        <w:tab/>
        <w:t xml:space="preserve">Again, the majority of Respondents who commented on Recommendation 7 agreed with the Sub-committee that there should be a cap on the DBA Payment, which should be expressed as a percentage of the financial benefit or compensation received by the client.  </w:t>
      </w:r>
    </w:p>
    <w:p w14:paraId="5912AA75" w14:textId="77777777" w:rsidR="009247ED" w:rsidRPr="00A241F5" w:rsidRDefault="009247ED" w:rsidP="009247ED">
      <w:pPr>
        <w:widowControl/>
        <w:tabs>
          <w:tab w:val="clear" w:pos="1418"/>
          <w:tab w:val="left" w:pos="1440"/>
        </w:tabs>
        <w:rPr>
          <w:rFonts w:cs="Arial"/>
        </w:rPr>
      </w:pPr>
    </w:p>
    <w:p w14:paraId="3C222EE9" w14:textId="7B0A8115" w:rsidR="009247ED" w:rsidRPr="00A241F5" w:rsidRDefault="00F9375C" w:rsidP="009247ED">
      <w:pPr>
        <w:widowControl/>
        <w:tabs>
          <w:tab w:val="clear" w:pos="1418"/>
          <w:tab w:val="left" w:pos="1440"/>
        </w:tabs>
        <w:rPr>
          <w:rFonts w:cs="Arial"/>
        </w:rPr>
      </w:pPr>
      <w:r w:rsidRPr="00A241F5">
        <w:rPr>
          <w:rFonts w:cs="Arial"/>
        </w:rPr>
        <w:t>8.</w:t>
      </w:r>
      <w:r w:rsidR="009247ED" w:rsidRPr="00A241F5">
        <w:rPr>
          <w:rFonts w:cs="Arial"/>
        </w:rPr>
        <w:t>1</w:t>
      </w:r>
      <w:r w:rsidR="009021A0" w:rsidRPr="00A241F5">
        <w:rPr>
          <w:rFonts w:cs="Arial"/>
        </w:rPr>
        <w:t>5</w:t>
      </w:r>
      <w:r w:rsidR="009247ED" w:rsidRPr="00A241F5">
        <w:rPr>
          <w:rFonts w:cs="Arial"/>
        </w:rPr>
        <w:tab/>
        <w:t xml:space="preserve">A handful of Respondents did not, as noted, agree with a cap, but they did so on the basis that they did not consider a cap to be necessary, </w:t>
      </w:r>
      <w:r w:rsidR="009247ED" w:rsidRPr="00A241F5">
        <w:rPr>
          <w:rFonts w:cs="Arial"/>
        </w:rPr>
        <w:lastRenderedPageBreak/>
        <w:t>because clients are fully capable of negotiating their own DBA Payments with their Lawyers.</w:t>
      </w:r>
    </w:p>
    <w:p w14:paraId="066E6369" w14:textId="77777777" w:rsidR="009247ED" w:rsidRPr="00A241F5" w:rsidRDefault="009247ED" w:rsidP="009247ED">
      <w:pPr>
        <w:widowControl/>
        <w:tabs>
          <w:tab w:val="clear" w:pos="1418"/>
          <w:tab w:val="left" w:pos="1440"/>
        </w:tabs>
        <w:rPr>
          <w:rFonts w:cs="Arial"/>
        </w:rPr>
      </w:pPr>
    </w:p>
    <w:p w14:paraId="53E8608D" w14:textId="6D3A0CC4" w:rsidR="009247ED" w:rsidRPr="00A241F5" w:rsidRDefault="00F9375C" w:rsidP="009247ED">
      <w:pPr>
        <w:widowControl/>
        <w:tabs>
          <w:tab w:val="clear" w:pos="1418"/>
          <w:tab w:val="left" w:pos="1440"/>
        </w:tabs>
        <w:rPr>
          <w:rFonts w:cs="Arial"/>
        </w:rPr>
      </w:pPr>
      <w:r w:rsidRPr="00A241F5">
        <w:rPr>
          <w:rFonts w:cs="Arial"/>
        </w:rPr>
        <w:t>8.</w:t>
      </w:r>
      <w:r w:rsidR="009247ED" w:rsidRPr="00A241F5">
        <w:rPr>
          <w:rFonts w:cs="Arial"/>
        </w:rPr>
        <w:t>1</w:t>
      </w:r>
      <w:r w:rsidR="009021A0" w:rsidRPr="00A241F5">
        <w:rPr>
          <w:rFonts w:cs="Arial"/>
        </w:rPr>
        <w:t>6</w:t>
      </w:r>
      <w:r w:rsidR="009247ED" w:rsidRPr="00A241F5">
        <w:rPr>
          <w:rFonts w:cs="Arial"/>
        </w:rPr>
        <w:t xml:space="preserve">  </w:t>
      </w:r>
      <w:r w:rsidR="009247ED" w:rsidRPr="00A241F5">
        <w:rPr>
          <w:rFonts w:cs="Arial"/>
        </w:rPr>
        <w:tab/>
        <w:t>We acknowledge the views given.  We also agree with the litigation funder</w:t>
      </w:r>
      <w:r w:rsidR="00C61F4B" w:rsidRPr="00A241F5">
        <w:rPr>
          <w:rFonts w:cs="Arial"/>
        </w:rPr>
        <w:t>'</w:t>
      </w:r>
      <w:r w:rsidR="009247ED" w:rsidRPr="00A241F5">
        <w:rPr>
          <w:rFonts w:cs="Arial"/>
        </w:rPr>
        <w:t xml:space="preserve">s view that most parties to international commercial arbitration are, on the whole, sophisticated commercial parties.  Despite this, we are mindful of the position in other jurisdictions, and the fact that caps on DBA Payments are applied </w:t>
      </w:r>
      <w:r w:rsidR="00811A2A" w:rsidRPr="00A241F5">
        <w:rPr>
          <w:rFonts w:cs="Arial"/>
        </w:rPr>
        <w:t>in</w:t>
      </w:r>
      <w:r w:rsidR="009247ED" w:rsidRPr="00A241F5">
        <w:rPr>
          <w:rFonts w:cs="Arial"/>
        </w:rPr>
        <w:t xml:space="preserve"> other </w:t>
      </w:r>
      <w:r w:rsidR="00811A2A" w:rsidRPr="00A241F5">
        <w:rPr>
          <w:rFonts w:cs="Arial"/>
        </w:rPr>
        <w:t>jurisdictions</w:t>
      </w:r>
      <w:r w:rsidR="009247ED" w:rsidRPr="00A241F5">
        <w:rPr>
          <w:rFonts w:cs="Arial"/>
        </w:rPr>
        <w:t xml:space="preserve"> where ORFSs are permitted.</w:t>
      </w:r>
    </w:p>
    <w:p w14:paraId="14CCDDE9" w14:textId="77777777" w:rsidR="009247ED" w:rsidRPr="00A241F5" w:rsidRDefault="009247ED" w:rsidP="009247ED">
      <w:pPr>
        <w:widowControl/>
        <w:tabs>
          <w:tab w:val="clear" w:pos="1418"/>
          <w:tab w:val="left" w:pos="1440"/>
        </w:tabs>
        <w:rPr>
          <w:rFonts w:cs="Arial"/>
        </w:rPr>
      </w:pPr>
    </w:p>
    <w:p w14:paraId="126A0193" w14:textId="07630F6A" w:rsidR="009247ED" w:rsidRPr="00A241F5" w:rsidRDefault="00F9375C" w:rsidP="009247ED">
      <w:pPr>
        <w:widowControl/>
        <w:tabs>
          <w:tab w:val="clear" w:pos="1418"/>
          <w:tab w:val="left" w:pos="1440"/>
        </w:tabs>
        <w:rPr>
          <w:rFonts w:cs="Arial"/>
        </w:rPr>
      </w:pPr>
      <w:r w:rsidRPr="00A241F5">
        <w:rPr>
          <w:rFonts w:cs="Arial"/>
        </w:rPr>
        <w:t>8.</w:t>
      </w:r>
      <w:r w:rsidR="009247ED" w:rsidRPr="00A241F5">
        <w:rPr>
          <w:rFonts w:cs="Arial"/>
        </w:rPr>
        <w:t>1</w:t>
      </w:r>
      <w:r w:rsidR="009021A0" w:rsidRPr="00A241F5">
        <w:rPr>
          <w:rFonts w:cs="Arial"/>
        </w:rPr>
        <w:t>7</w:t>
      </w:r>
      <w:r w:rsidR="009247ED" w:rsidRPr="00A241F5">
        <w:rPr>
          <w:rFonts w:cs="Arial"/>
        </w:rPr>
        <w:tab/>
        <w:t>In light of this, and even though the users of Arbitration in Hong Kong are, on the whole, commercial parties, we agree with the Sub-committee</w:t>
      </w:r>
      <w:r w:rsidR="00C61F4B" w:rsidRPr="00A241F5">
        <w:rPr>
          <w:rFonts w:cs="Arial"/>
        </w:rPr>
        <w:t>'</w:t>
      </w:r>
      <w:r w:rsidR="009247ED" w:rsidRPr="00A241F5">
        <w:rPr>
          <w:rFonts w:cs="Arial"/>
        </w:rPr>
        <w:t>s view that the DBA Payment should be subject to a cap.  This is consistent with the position in some other jurisdictions, including England and Wales, Australia and Mainland China.</w:t>
      </w:r>
    </w:p>
    <w:p w14:paraId="07CB1449" w14:textId="77777777" w:rsidR="009247ED" w:rsidRPr="00A241F5" w:rsidRDefault="009247ED" w:rsidP="009247ED">
      <w:pPr>
        <w:widowControl/>
        <w:tabs>
          <w:tab w:val="clear" w:pos="1418"/>
          <w:tab w:val="left" w:pos="1440"/>
        </w:tabs>
        <w:rPr>
          <w:rFonts w:cs="Arial"/>
        </w:rPr>
      </w:pPr>
    </w:p>
    <w:p w14:paraId="14D5EA9F" w14:textId="671A7E43" w:rsidR="009247ED" w:rsidRPr="00A241F5" w:rsidRDefault="00F9375C" w:rsidP="009247ED">
      <w:pPr>
        <w:widowControl/>
        <w:tabs>
          <w:tab w:val="clear" w:pos="1418"/>
          <w:tab w:val="left" w:pos="1440"/>
        </w:tabs>
        <w:rPr>
          <w:rFonts w:cs="Arial"/>
        </w:rPr>
      </w:pPr>
      <w:r w:rsidRPr="00A241F5">
        <w:t>8.</w:t>
      </w:r>
      <w:r w:rsidR="009247ED" w:rsidRPr="00A241F5">
        <w:t>1</w:t>
      </w:r>
      <w:r w:rsidR="009021A0" w:rsidRPr="00A241F5">
        <w:t>8</w:t>
      </w:r>
      <w:r w:rsidR="009247ED" w:rsidRPr="00A241F5">
        <w:tab/>
        <w:t>One Respondent suggested that the Consultation Paper has not covered the cap on DBA Payments payable under Hybrid DBAs.  The DBA Payments payable under DBAs and Hybrid DBAs should be subject to the same cap as discussed in Recommendation 7.  This was what the Sub-committee had intended when it made Recommendation 7.</w:t>
      </w:r>
    </w:p>
    <w:p w14:paraId="6D968EC8" w14:textId="77777777" w:rsidR="009247ED" w:rsidRPr="00A241F5" w:rsidRDefault="009247ED" w:rsidP="009247ED">
      <w:pPr>
        <w:widowControl/>
        <w:tabs>
          <w:tab w:val="clear" w:pos="1418"/>
          <w:tab w:val="left" w:pos="1440"/>
        </w:tabs>
        <w:rPr>
          <w:rFonts w:cs="Arial"/>
        </w:rPr>
      </w:pPr>
    </w:p>
    <w:p w14:paraId="43F07143" w14:textId="4DC0DE1C" w:rsidR="009247ED" w:rsidRPr="00A241F5" w:rsidRDefault="00F9375C" w:rsidP="009247ED">
      <w:pPr>
        <w:widowControl/>
        <w:tabs>
          <w:tab w:val="clear" w:pos="1418"/>
          <w:tab w:val="left" w:pos="1440"/>
        </w:tabs>
        <w:rPr>
          <w:rFonts w:cs="Arial"/>
        </w:rPr>
      </w:pPr>
      <w:r w:rsidRPr="00A241F5">
        <w:rPr>
          <w:rFonts w:cs="Arial"/>
        </w:rPr>
        <w:t>8.</w:t>
      </w:r>
      <w:r w:rsidR="009021A0" w:rsidRPr="00A241F5">
        <w:rPr>
          <w:rFonts w:cs="Arial"/>
        </w:rPr>
        <w:t>19</w:t>
      </w:r>
      <w:r w:rsidR="009247ED" w:rsidRPr="00A241F5">
        <w:rPr>
          <w:rFonts w:cs="Arial"/>
        </w:rPr>
        <w:tab/>
        <w:t>In terms of what that cap should be, we agree with the responses given that it should be in the range of 30</w:t>
      </w:r>
      <w:r w:rsidR="004A10CB" w:rsidRPr="00A241F5">
        <w:rPr>
          <w:rFonts w:cs="Arial"/>
        </w:rPr>
        <w:t xml:space="preserve">% to </w:t>
      </w:r>
      <w:r w:rsidR="009247ED" w:rsidRPr="00A241F5">
        <w:rPr>
          <w:rFonts w:cs="Arial"/>
        </w:rPr>
        <w:t xml:space="preserve">50%.  After reflecting on the comments made, we consider that the appropriate cap is 50% for the reasons set out in the ensuing paragraphs.      </w:t>
      </w:r>
    </w:p>
    <w:p w14:paraId="7A35F2AD" w14:textId="77777777" w:rsidR="009247ED" w:rsidRPr="00A241F5" w:rsidRDefault="009247ED" w:rsidP="009247ED">
      <w:pPr>
        <w:widowControl/>
        <w:tabs>
          <w:tab w:val="clear" w:pos="1418"/>
          <w:tab w:val="left" w:pos="1440"/>
        </w:tabs>
        <w:rPr>
          <w:rFonts w:cs="Arial"/>
        </w:rPr>
      </w:pPr>
    </w:p>
    <w:p w14:paraId="02ABC0CD" w14:textId="17A64172" w:rsidR="009247ED" w:rsidRPr="00A241F5" w:rsidRDefault="00F9375C" w:rsidP="009247ED">
      <w:pPr>
        <w:widowControl/>
        <w:tabs>
          <w:tab w:val="clear" w:pos="1418"/>
          <w:tab w:val="left" w:pos="1440"/>
        </w:tabs>
        <w:rPr>
          <w:rFonts w:cs="Arial"/>
        </w:rPr>
      </w:pPr>
      <w:r w:rsidRPr="00A241F5">
        <w:rPr>
          <w:rFonts w:cs="Arial"/>
        </w:rPr>
        <w:t>8.</w:t>
      </w:r>
      <w:r w:rsidR="009247ED" w:rsidRPr="00A241F5">
        <w:rPr>
          <w:rFonts w:cs="Arial"/>
        </w:rPr>
        <w:t>2</w:t>
      </w:r>
      <w:r w:rsidR="009021A0" w:rsidRPr="00A241F5">
        <w:rPr>
          <w:rFonts w:cs="Arial"/>
        </w:rPr>
        <w:t>0</w:t>
      </w:r>
      <w:r w:rsidR="009247ED" w:rsidRPr="00A241F5">
        <w:rPr>
          <w:rFonts w:cs="Arial"/>
        </w:rPr>
        <w:tab/>
        <w:t xml:space="preserve">First, any cap only operates as a cap on the maximum DBA Payment that can be charged.  It does not require parties and their Lawyers to adopt the cap, but it does allow the parties and their legal representatives to negotiate within more flexible parameters.  This addresses the concerns raised by those Respondents who considered that no cap at all should be applied.  As a </w:t>
      </w:r>
      <w:r w:rsidR="00530EFB" w:rsidRPr="00A241F5">
        <w:rPr>
          <w:rFonts w:cs="Arial"/>
        </w:rPr>
        <w:t>consumer/public interest group</w:t>
      </w:r>
      <w:r w:rsidR="009247ED" w:rsidRPr="00A241F5">
        <w:rPr>
          <w:rFonts w:cs="Arial"/>
        </w:rPr>
        <w:t xml:space="preserve"> noted: </w:t>
      </w:r>
      <w:r w:rsidR="00C61F4B" w:rsidRPr="00A241F5">
        <w:rPr>
          <w:rFonts w:cs="Arial"/>
          <w:i/>
        </w:rPr>
        <w:t>"</w:t>
      </w:r>
      <w:r w:rsidR="00A5439C" w:rsidRPr="00A241F5">
        <w:rPr>
          <w:rFonts w:cs="Arial"/>
          <w:i/>
        </w:rPr>
        <w:t xml:space="preserve">… </w:t>
      </w:r>
      <w:r w:rsidR="009247ED" w:rsidRPr="00A241F5">
        <w:rPr>
          <w:rFonts w:cs="Arial"/>
          <w:i/>
        </w:rPr>
        <w:t>it is after all a recommendation only and it is believed that the client will negotiate the payment with its lawyer according to the prevailing situation when signing the agreement</w:t>
      </w:r>
      <w:r w:rsidR="00C61F4B" w:rsidRPr="00A241F5">
        <w:rPr>
          <w:rFonts w:cs="Arial"/>
          <w:i/>
        </w:rPr>
        <w:t>"</w:t>
      </w:r>
      <w:r w:rsidR="00923002" w:rsidRPr="00A241F5">
        <w:rPr>
          <w:rFonts w:cs="Arial"/>
        </w:rPr>
        <w:t>.</w:t>
      </w:r>
    </w:p>
    <w:p w14:paraId="121025F5" w14:textId="77777777" w:rsidR="009247ED" w:rsidRPr="00A241F5" w:rsidRDefault="009247ED" w:rsidP="009247ED">
      <w:pPr>
        <w:widowControl/>
        <w:tabs>
          <w:tab w:val="clear" w:pos="1418"/>
          <w:tab w:val="left" w:pos="1440"/>
        </w:tabs>
        <w:rPr>
          <w:rFonts w:cs="Arial"/>
        </w:rPr>
      </w:pPr>
    </w:p>
    <w:p w14:paraId="108CE54D" w14:textId="273FB372" w:rsidR="009247ED" w:rsidRPr="00A241F5" w:rsidRDefault="00F9375C" w:rsidP="009247ED">
      <w:pPr>
        <w:widowControl/>
        <w:tabs>
          <w:tab w:val="clear" w:pos="1418"/>
          <w:tab w:val="left" w:pos="1440"/>
        </w:tabs>
        <w:rPr>
          <w:rFonts w:cs="Arial"/>
        </w:rPr>
      </w:pPr>
      <w:r w:rsidRPr="00A241F5">
        <w:rPr>
          <w:rFonts w:cs="Arial"/>
        </w:rPr>
        <w:t>8.</w:t>
      </w:r>
      <w:r w:rsidR="009247ED" w:rsidRPr="00A241F5">
        <w:rPr>
          <w:rFonts w:cs="Arial"/>
        </w:rPr>
        <w:t>2</w:t>
      </w:r>
      <w:r w:rsidR="009021A0" w:rsidRPr="00A241F5">
        <w:rPr>
          <w:rFonts w:cs="Arial"/>
        </w:rPr>
        <w:t>1</w:t>
      </w:r>
      <w:r w:rsidR="009247ED" w:rsidRPr="00A241F5">
        <w:rPr>
          <w:rFonts w:cs="Arial"/>
        </w:rPr>
        <w:tab/>
        <w:t xml:space="preserve">Second, we have taken into account the views expressed by a law firm, which is that a higher cap </w:t>
      </w:r>
      <w:r w:rsidR="00C61F4B" w:rsidRPr="00A241F5">
        <w:rPr>
          <w:rFonts w:cs="Arial"/>
          <w:i/>
        </w:rPr>
        <w:t>"</w:t>
      </w:r>
      <w:r w:rsidR="009247ED" w:rsidRPr="00A241F5">
        <w:rPr>
          <w:rFonts w:cs="Arial"/>
          <w:i/>
        </w:rPr>
        <w:t>potentially increases the number of lower value claims for which a DBA may be considered</w:t>
      </w:r>
      <w:r w:rsidR="00C61F4B" w:rsidRPr="00A241F5">
        <w:rPr>
          <w:rFonts w:cs="Arial"/>
          <w:i/>
        </w:rPr>
        <w:t>"</w:t>
      </w:r>
      <w:r w:rsidR="00923002" w:rsidRPr="00A241F5">
        <w:rPr>
          <w:rFonts w:cs="Arial"/>
        </w:rPr>
        <w:t>.</w:t>
      </w:r>
      <w:r w:rsidR="009247ED" w:rsidRPr="00A241F5">
        <w:rPr>
          <w:rFonts w:cs="Arial"/>
        </w:rPr>
        <w:t xml:space="preserve">  We are mindful too that co-counsel, and even barristers, may well be instructed directly by a client in international arbitration proceedings pursuant to separate DBAs.  Given that the aggregate DBA Payment under two (or more) DBAs </w:t>
      </w:r>
      <w:r w:rsidR="00473C11" w:rsidRPr="00A241F5">
        <w:rPr>
          <w:rFonts w:cs="Arial"/>
        </w:rPr>
        <w:t xml:space="preserve">(including Hybrid DBAs) </w:t>
      </w:r>
      <w:r w:rsidR="009247ED" w:rsidRPr="00A241F5">
        <w:rPr>
          <w:rFonts w:cs="Arial"/>
        </w:rPr>
        <w:t xml:space="preserve">cannot exceed the overall cap, adopting a higher cap benefits all stakeholders, including clients, and provides greater access to justice. </w:t>
      </w:r>
    </w:p>
    <w:p w14:paraId="0845756C" w14:textId="77777777" w:rsidR="009247ED" w:rsidRPr="00A241F5" w:rsidRDefault="009247ED" w:rsidP="009247ED">
      <w:pPr>
        <w:widowControl/>
        <w:tabs>
          <w:tab w:val="clear" w:pos="1418"/>
          <w:tab w:val="left" w:pos="1440"/>
        </w:tabs>
        <w:rPr>
          <w:rFonts w:cs="Arial"/>
        </w:rPr>
      </w:pPr>
    </w:p>
    <w:p w14:paraId="6BB6576B" w14:textId="76FC5A84" w:rsidR="009247ED" w:rsidRPr="00A241F5" w:rsidRDefault="00F9375C" w:rsidP="009247ED">
      <w:pPr>
        <w:widowControl/>
        <w:tabs>
          <w:tab w:val="clear" w:pos="1418"/>
          <w:tab w:val="left" w:pos="1440"/>
        </w:tabs>
        <w:rPr>
          <w:rFonts w:cs="Arial"/>
        </w:rPr>
      </w:pPr>
      <w:r w:rsidRPr="00A241F5">
        <w:rPr>
          <w:rFonts w:cs="Arial"/>
        </w:rPr>
        <w:t>8.</w:t>
      </w:r>
      <w:r w:rsidR="009247ED" w:rsidRPr="00A241F5">
        <w:rPr>
          <w:rFonts w:cs="Arial"/>
        </w:rPr>
        <w:t>2</w:t>
      </w:r>
      <w:r w:rsidR="009021A0" w:rsidRPr="00A241F5">
        <w:rPr>
          <w:rFonts w:cs="Arial"/>
        </w:rPr>
        <w:t>2</w:t>
      </w:r>
      <w:r w:rsidR="009247ED" w:rsidRPr="00A241F5">
        <w:rPr>
          <w:rFonts w:cs="Arial"/>
        </w:rPr>
        <w:tab/>
        <w:t xml:space="preserve">Third, a 50% cap currently applies in England and Wales, and has been working well.  The Sub-committee acknowledges that in return for a move from the Ontario model to the Success fee model, the 2019 DBA Reform </w:t>
      </w:r>
      <w:r w:rsidR="009247ED" w:rsidRPr="00A241F5">
        <w:rPr>
          <w:rFonts w:cs="Arial"/>
        </w:rPr>
        <w:lastRenderedPageBreak/>
        <w:t>Project</w:t>
      </w:r>
      <w:r w:rsidR="002852C9" w:rsidRPr="00A241F5">
        <w:rPr>
          <w:rStyle w:val="FootnoteReference"/>
          <w:rFonts w:cs="Arial"/>
          <w:sz w:val="24"/>
        </w:rPr>
        <w:footnoteReference w:id="46"/>
      </w:r>
      <w:r w:rsidR="009247ED" w:rsidRPr="00A241F5">
        <w:rPr>
          <w:rFonts w:cs="Arial"/>
        </w:rPr>
        <w:t xml:space="preserve"> has proposed reducing the cap from 50% to 40%, as a </w:t>
      </w:r>
      <w:r w:rsidR="009247ED" w:rsidRPr="00A241F5">
        <w:rPr>
          <w:rFonts w:cs="Arial"/>
          <w:i/>
        </w:rPr>
        <w:t>quid pro quo</w:t>
      </w:r>
      <w:r w:rsidR="009247ED" w:rsidRPr="00A241F5">
        <w:rPr>
          <w:rFonts w:cs="Arial"/>
        </w:rPr>
        <w:t xml:space="preserve"> for the change.  However, based on further consideration of this proposal, and canvassing the views of those who have commented on the proposed reform in England and Wales, we consider that there may be a number of circumstances where recoverable costs from the losing party are reduced or not paid, as a result of conduct on the part of the </w:t>
      </w:r>
      <w:r w:rsidR="008C2E15" w:rsidRPr="00A241F5">
        <w:rPr>
          <w:rFonts w:cs="Arial"/>
        </w:rPr>
        <w:t xml:space="preserve">losing party </w:t>
      </w:r>
      <w:r w:rsidR="009247ED" w:rsidRPr="00A241F5">
        <w:rPr>
          <w:rFonts w:cs="Arial"/>
        </w:rPr>
        <w:t xml:space="preserve">or even the client, which is in no way the fault of the Lawyer.  In these cases, reducing the maximum permitted DBA Payment could result in Lawyers being undercompensated, contrary to the rationale for reducing the cap in the first place.      </w:t>
      </w:r>
    </w:p>
    <w:p w14:paraId="4D44A3FF" w14:textId="77777777" w:rsidR="009247ED" w:rsidRPr="00A241F5" w:rsidRDefault="009247ED" w:rsidP="009247ED">
      <w:pPr>
        <w:widowControl/>
        <w:tabs>
          <w:tab w:val="clear" w:pos="1418"/>
          <w:tab w:val="left" w:pos="1440"/>
        </w:tabs>
        <w:rPr>
          <w:rFonts w:cs="Arial"/>
        </w:rPr>
      </w:pPr>
      <w:r w:rsidRPr="00A241F5">
        <w:rPr>
          <w:rFonts w:cs="Arial"/>
        </w:rPr>
        <w:t xml:space="preserve">  </w:t>
      </w:r>
    </w:p>
    <w:p w14:paraId="5D545EDA" w14:textId="38AE741F" w:rsidR="009247ED" w:rsidRPr="00A241F5" w:rsidRDefault="00F9375C" w:rsidP="009247ED">
      <w:pPr>
        <w:widowControl/>
        <w:tabs>
          <w:tab w:val="left" w:pos="1560"/>
        </w:tabs>
        <w:rPr>
          <w:rFonts w:cs="Arial"/>
        </w:rPr>
      </w:pPr>
      <w:r w:rsidRPr="00A241F5">
        <w:rPr>
          <w:rFonts w:cs="Arial"/>
        </w:rPr>
        <w:t>8.</w:t>
      </w:r>
      <w:r w:rsidR="009247ED" w:rsidRPr="00A241F5">
        <w:rPr>
          <w:rFonts w:cs="Arial"/>
        </w:rPr>
        <w:t>2</w:t>
      </w:r>
      <w:r w:rsidR="009021A0" w:rsidRPr="00A241F5">
        <w:rPr>
          <w:rFonts w:cs="Arial"/>
        </w:rPr>
        <w:t>3</w:t>
      </w:r>
      <w:r w:rsidR="009247ED" w:rsidRPr="00A241F5">
        <w:rPr>
          <w:rFonts w:cs="Arial"/>
        </w:rPr>
        <w:tab/>
        <w:t xml:space="preserve">For all these reasons, we conclude that there should be a cap on the DBA Payment, and that the appropriate cap in these circumstances should be 50% of the Financial Benefit obtained by the client. </w:t>
      </w:r>
    </w:p>
    <w:p w14:paraId="08C7BCA5" w14:textId="77777777" w:rsidR="009247ED" w:rsidRPr="00A241F5" w:rsidRDefault="009247ED" w:rsidP="009247ED">
      <w:pPr>
        <w:rPr>
          <w:rFonts w:eastAsia="DengXian"/>
          <w:b/>
          <w:i/>
          <w:lang w:eastAsia="zh-CN"/>
        </w:rPr>
      </w:pPr>
    </w:p>
    <w:p w14:paraId="6B2B3A6C" w14:textId="77777777" w:rsidR="009247ED" w:rsidRPr="00A241F5" w:rsidRDefault="009247ED" w:rsidP="009247ED">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t>Final Recommendation 7</w:t>
      </w:r>
    </w:p>
    <w:p w14:paraId="746D43C2" w14:textId="77777777" w:rsidR="009247ED" w:rsidRPr="00A241F5" w:rsidRDefault="009247ED" w:rsidP="009247ED">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4609303D" w14:textId="5FAF9645" w:rsidR="009247ED" w:rsidRPr="00A241F5" w:rsidRDefault="009247ED" w:rsidP="009247ED">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rPr>
          <w:rFonts w:cs="Arial"/>
        </w:rPr>
        <w:t xml:space="preserve">We recommend that any DBA Payment be capped at 50% of the Financial Benefit obtained by the client. </w:t>
      </w:r>
    </w:p>
    <w:p w14:paraId="698C6CB9" w14:textId="77777777" w:rsidR="009247ED" w:rsidRPr="00A241F5" w:rsidRDefault="009247ED" w:rsidP="009247ED">
      <w:pPr>
        <w:rPr>
          <w:b/>
        </w:rPr>
      </w:pPr>
    </w:p>
    <w:p w14:paraId="4B33E9DF" w14:textId="77777777" w:rsidR="009247ED" w:rsidRPr="00A241F5" w:rsidRDefault="009247ED" w:rsidP="009247ED">
      <w:pPr>
        <w:rPr>
          <w:b/>
        </w:rPr>
      </w:pPr>
    </w:p>
    <w:p w14:paraId="219FE2BC" w14:textId="77777777" w:rsidR="009247ED" w:rsidRPr="00A241F5" w:rsidRDefault="009247ED" w:rsidP="009247ED">
      <w:pPr>
        <w:rPr>
          <w:b/>
        </w:rPr>
      </w:pPr>
    </w:p>
    <w:p w14:paraId="0DCA0E28" w14:textId="77777777" w:rsidR="009247ED" w:rsidRPr="00A241F5" w:rsidRDefault="009247ED" w:rsidP="009247ED">
      <w:pPr>
        <w:rPr>
          <w:b/>
        </w:rPr>
      </w:pPr>
    </w:p>
    <w:p w14:paraId="1B8DCF6D" w14:textId="77777777" w:rsidR="009247ED" w:rsidRPr="00A241F5" w:rsidRDefault="009247ED" w:rsidP="009247ED">
      <w:pPr>
        <w:pStyle w:val="Heading1"/>
        <w:widowControl/>
        <w:tabs>
          <w:tab w:val="clear" w:pos="1418"/>
          <w:tab w:val="left" w:pos="1440"/>
        </w:tabs>
        <w:rPr>
          <w:rFonts w:cs="Arial"/>
        </w:rPr>
        <w:sectPr w:rsidR="009247ED" w:rsidRPr="00A241F5" w:rsidSect="00303CFD">
          <w:footerReference w:type="default" r:id="rId24"/>
          <w:footnotePr>
            <w:numRestart w:val="eachSect"/>
          </w:footnotePr>
          <w:pgSz w:w="11906" w:h="16838" w:code="9"/>
          <w:pgMar w:top="1440" w:right="1800" w:bottom="1440" w:left="1800" w:header="720" w:footer="720" w:gutter="0"/>
          <w:cols w:space="425"/>
          <w:docGrid w:linePitch="360"/>
        </w:sectPr>
      </w:pPr>
    </w:p>
    <w:p w14:paraId="2C1EE762" w14:textId="0811E091" w:rsidR="009247ED" w:rsidRPr="00A241F5" w:rsidRDefault="009247ED" w:rsidP="00962649">
      <w:pPr>
        <w:pStyle w:val="Heading1"/>
      </w:pPr>
      <w:r w:rsidRPr="00A241F5">
        <w:lastRenderedPageBreak/>
        <w:t xml:space="preserve">Chapter </w:t>
      </w:r>
      <w:bookmarkStart w:id="21" w:name="Chapter09"/>
      <w:bookmarkEnd w:id="21"/>
      <w:r w:rsidR="00070C53" w:rsidRPr="00A241F5">
        <w:t>9</w:t>
      </w:r>
    </w:p>
    <w:p w14:paraId="389F5A5E" w14:textId="77777777" w:rsidR="009247ED" w:rsidRPr="00A241F5" w:rsidRDefault="009247ED" w:rsidP="009247ED">
      <w:pPr>
        <w:pStyle w:val="Heading1"/>
        <w:widowControl/>
        <w:tabs>
          <w:tab w:val="clear" w:pos="1418"/>
          <w:tab w:val="left" w:pos="1440"/>
        </w:tabs>
        <w:rPr>
          <w:rFonts w:cs="Arial"/>
          <w:sz w:val="32"/>
          <w:szCs w:val="32"/>
        </w:rPr>
      </w:pPr>
    </w:p>
    <w:p w14:paraId="319574A6" w14:textId="77777777" w:rsidR="009247ED" w:rsidRPr="00A241F5" w:rsidRDefault="009247ED" w:rsidP="00962649">
      <w:pPr>
        <w:pStyle w:val="Heading1"/>
      </w:pPr>
      <w:r w:rsidRPr="00A241F5">
        <w:t xml:space="preserve">Circumstances for termination of CFA, </w:t>
      </w:r>
    </w:p>
    <w:p w14:paraId="4DA8C33E" w14:textId="77777777" w:rsidR="009247ED" w:rsidRPr="00A241F5" w:rsidRDefault="009247ED" w:rsidP="00962649">
      <w:pPr>
        <w:pStyle w:val="Heading1"/>
        <w:rPr>
          <w:rFonts w:cs="Arial"/>
        </w:rPr>
      </w:pPr>
      <w:r w:rsidRPr="00A241F5">
        <w:t xml:space="preserve">DBA or Hybrid DBA </w:t>
      </w:r>
    </w:p>
    <w:p w14:paraId="5E57118A" w14:textId="04272DDB" w:rsidR="009247ED" w:rsidRPr="00A241F5" w:rsidRDefault="009247ED" w:rsidP="009247ED">
      <w:pPr>
        <w:rPr>
          <w:rFonts w:cs="Arial"/>
        </w:rPr>
      </w:pPr>
      <w:r w:rsidRPr="00A241F5">
        <w:rPr>
          <w:rFonts w:cs="Arial"/>
        </w:rPr>
        <w:t>___________________</w:t>
      </w:r>
      <w:r w:rsidR="00B1570E" w:rsidRPr="00A241F5">
        <w:rPr>
          <w:rFonts w:cs="Arial"/>
        </w:rPr>
        <w:t>_______________________________</w:t>
      </w:r>
    </w:p>
    <w:p w14:paraId="4D48CA2D" w14:textId="77777777" w:rsidR="009247ED" w:rsidRPr="00A241F5" w:rsidRDefault="009247ED" w:rsidP="009247ED">
      <w:pPr>
        <w:rPr>
          <w:rFonts w:cs="Arial"/>
        </w:rPr>
      </w:pPr>
    </w:p>
    <w:p w14:paraId="7C810187" w14:textId="77777777" w:rsidR="009247ED" w:rsidRPr="00A241F5" w:rsidRDefault="009247ED" w:rsidP="009247ED">
      <w:pPr>
        <w:rPr>
          <w:rFonts w:cs="Arial"/>
        </w:rPr>
      </w:pPr>
    </w:p>
    <w:p w14:paraId="7C24886F" w14:textId="77777777" w:rsidR="009247ED" w:rsidRPr="00A241F5" w:rsidRDefault="009247ED" w:rsidP="009247ED">
      <w:pPr>
        <w:rPr>
          <w:rFonts w:cs="Arial"/>
        </w:rPr>
      </w:pPr>
    </w:p>
    <w:p w14:paraId="2092F5D9" w14:textId="55863AF2" w:rsidR="009247ED" w:rsidRPr="00A241F5" w:rsidRDefault="009247ED" w:rsidP="009247ED">
      <w:pPr>
        <w:pStyle w:val="Heading2"/>
        <w:widowControl/>
        <w:tabs>
          <w:tab w:val="clear" w:pos="1418"/>
          <w:tab w:val="left" w:pos="1440"/>
        </w:tabs>
        <w:rPr>
          <w:rFonts w:cs="Arial"/>
        </w:rPr>
      </w:pPr>
      <w:r w:rsidRPr="00A241F5">
        <w:rPr>
          <w:rFonts w:cs="Arial"/>
        </w:rPr>
        <w:t>Responses to the Sub-committee</w:t>
      </w:r>
      <w:r w:rsidR="00C61F4B" w:rsidRPr="00A241F5">
        <w:rPr>
          <w:rFonts w:cs="Arial"/>
        </w:rPr>
        <w:t>'</w:t>
      </w:r>
      <w:r w:rsidRPr="00A241F5">
        <w:rPr>
          <w:rFonts w:cs="Arial"/>
        </w:rPr>
        <w:t>s Recommendation 8(a) and (b)</w:t>
      </w:r>
    </w:p>
    <w:p w14:paraId="40EE527C" w14:textId="77777777" w:rsidR="009247ED" w:rsidRPr="00A241F5" w:rsidRDefault="009247ED" w:rsidP="009247ED">
      <w:pPr>
        <w:widowControl/>
        <w:tabs>
          <w:tab w:val="clear" w:pos="1418"/>
          <w:tab w:val="left" w:pos="1440"/>
        </w:tabs>
        <w:rPr>
          <w:rFonts w:cs="Arial"/>
        </w:rPr>
      </w:pPr>
    </w:p>
    <w:p w14:paraId="11DF31EC" w14:textId="17A9A3C7" w:rsidR="009247ED" w:rsidRPr="00A241F5" w:rsidRDefault="00962649" w:rsidP="009247ED">
      <w:pPr>
        <w:rPr>
          <w:rFonts w:cs="Arial"/>
        </w:rPr>
      </w:pPr>
      <w:r w:rsidRPr="00A241F5">
        <w:rPr>
          <w:rFonts w:cs="Arial"/>
        </w:rPr>
        <w:t>9.</w:t>
      </w:r>
      <w:r w:rsidR="009247ED" w:rsidRPr="00A241F5">
        <w:rPr>
          <w:rFonts w:cs="Arial"/>
        </w:rPr>
        <w:t>1</w:t>
      </w:r>
      <w:r w:rsidR="009247ED" w:rsidRPr="00A241F5">
        <w:rPr>
          <w:rFonts w:cs="Arial"/>
        </w:rPr>
        <w:tab/>
        <w:t>This Chapter discusses the responses regarding Recommendation 8(a) and (b) in the Consultation Paper:</w:t>
      </w:r>
    </w:p>
    <w:p w14:paraId="3A8ADA2A" w14:textId="3A69CF3C" w:rsidR="009247ED" w:rsidRPr="00A241F5" w:rsidRDefault="009247ED" w:rsidP="009247ED">
      <w:pPr>
        <w:rPr>
          <w:rFonts w:cs="Arial"/>
        </w:rPr>
      </w:pPr>
      <w:r w:rsidRPr="00A241F5">
        <w:rPr>
          <w:rFonts w:cs="Arial"/>
        </w:rPr>
        <w:t xml:space="preserve"> </w:t>
      </w:r>
    </w:p>
    <w:p w14:paraId="685A8D2D" w14:textId="4B531085" w:rsidR="009247ED" w:rsidRPr="00A241F5" w:rsidRDefault="00C61F4B" w:rsidP="00C22562">
      <w:pPr>
        <w:ind w:left="720" w:rightChars="271" w:right="650"/>
        <w:rPr>
          <w:rFonts w:cs="Arial"/>
          <w:i/>
        </w:rPr>
      </w:pPr>
      <w:r w:rsidRPr="00A241F5">
        <w:rPr>
          <w:rFonts w:cs="Arial"/>
          <w:i/>
        </w:rPr>
        <w:t>"</w:t>
      </w:r>
      <w:r w:rsidR="009247ED" w:rsidRPr="00A241F5">
        <w:rPr>
          <w:i/>
        </w:rPr>
        <w:t>The Sub-committee recommends that a</w:t>
      </w:r>
      <w:r w:rsidR="009247ED" w:rsidRPr="00A241F5">
        <w:rPr>
          <w:rFonts w:cs="Arial"/>
          <w:i/>
        </w:rPr>
        <w:t xml:space="preserve"> CFA, DBA, or Hybrid DBA should specify whether, and if so in what circumstances:</w:t>
      </w:r>
    </w:p>
    <w:p w14:paraId="74E6D7C7" w14:textId="77777777" w:rsidR="009247ED" w:rsidRPr="00A241F5" w:rsidRDefault="009247ED" w:rsidP="00C22562">
      <w:pPr>
        <w:ind w:left="720" w:rightChars="271" w:right="650"/>
        <w:rPr>
          <w:rFonts w:cs="Arial"/>
          <w:i/>
        </w:rPr>
      </w:pPr>
      <w:r w:rsidRPr="00A241F5">
        <w:rPr>
          <w:rFonts w:cs="Arial"/>
          <w:i/>
        </w:rPr>
        <w:t xml:space="preserve"> </w:t>
      </w:r>
    </w:p>
    <w:p w14:paraId="7283A216" w14:textId="3B1A725E" w:rsidR="009247ED" w:rsidRPr="00A241F5" w:rsidRDefault="009247ED" w:rsidP="00022BC8">
      <w:pPr>
        <w:pStyle w:val="ListParagraph"/>
        <w:numPr>
          <w:ilvl w:val="0"/>
          <w:numId w:val="22"/>
        </w:numPr>
        <w:ind w:leftChars="0" w:rightChars="271" w:right="650"/>
        <w:rPr>
          <w:rFonts w:cs="Arial"/>
          <w:i/>
        </w:rPr>
      </w:pPr>
      <w:r w:rsidRPr="00A241F5">
        <w:rPr>
          <w:rFonts w:cs="Arial"/>
          <w:i/>
        </w:rPr>
        <w:t xml:space="preserve">a Lawyer or client is entitled to terminate the fee agreement prior to the conclusion of Arbitration; and if so </w:t>
      </w:r>
    </w:p>
    <w:p w14:paraId="3EEE231F" w14:textId="77777777" w:rsidR="009247ED" w:rsidRPr="00A241F5" w:rsidRDefault="009247ED" w:rsidP="00C22562">
      <w:pPr>
        <w:pStyle w:val="ListParagraph"/>
        <w:ind w:leftChars="0" w:left="1132" w:rightChars="271" w:right="650"/>
        <w:rPr>
          <w:rFonts w:cs="Arial"/>
          <w:i/>
        </w:rPr>
      </w:pPr>
    </w:p>
    <w:p w14:paraId="61103E5B" w14:textId="330D6394" w:rsidR="009247ED" w:rsidRPr="00A241F5" w:rsidRDefault="009247ED" w:rsidP="00022BC8">
      <w:pPr>
        <w:pStyle w:val="ListParagraph"/>
        <w:numPr>
          <w:ilvl w:val="0"/>
          <w:numId w:val="22"/>
        </w:numPr>
        <w:ind w:leftChars="0" w:rightChars="271" w:right="650"/>
        <w:rPr>
          <w:rFonts w:cs="Arial"/>
          <w:i/>
        </w:rPr>
      </w:pPr>
      <w:r w:rsidRPr="00A241F5">
        <w:rPr>
          <w:rFonts w:cs="Arial"/>
          <w:i/>
        </w:rPr>
        <w:t>any alternative basis (for example, hourly rates) on which the client shall pay the Lawyer in the event of such termination</w:t>
      </w:r>
      <w:r w:rsidRPr="00A241F5">
        <w:rPr>
          <w:rFonts w:cs="Arial"/>
        </w:rPr>
        <w:t>.</w:t>
      </w:r>
      <w:r w:rsidR="00C61F4B" w:rsidRPr="00A241F5">
        <w:rPr>
          <w:rFonts w:cs="Arial"/>
          <w:i/>
        </w:rPr>
        <w:t>"</w:t>
      </w:r>
      <w:r w:rsidRPr="00A241F5">
        <w:rPr>
          <w:rStyle w:val="FootnoteReference"/>
          <w:rFonts w:cs="Arial"/>
          <w:sz w:val="24"/>
        </w:rPr>
        <w:footnoteReference w:id="47"/>
      </w:r>
      <w:r w:rsidRPr="00A241F5">
        <w:rPr>
          <w:rFonts w:cs="Arial"/>
        </w:rPr>
        <w:t xml:space="preserve"> </w:t>
      </w:r>
    </w:p>
    <w:p w14:paraId="4735060B" w14:textId="77777777" w:rsidR="009247ED" w:rsidRPr="00A241F5" w:rsidRDefault="009247ED" w:rsidP="009247ED">
      <w:pPr>
        <w:widowControl/>
        <w:tabs>
          <w:tab w:val="clear" w:pos="1418"/>
          <w:tab w:val="left" w:pos="1440"/>
        </w:tabs>
        <w:rPr>
          <w:rFonts w:cs="Arial"/>
        </w:rPr>
      </w:pPr>
    </w:p>
    <w:p w14:paraId="5835BDCB" w14:textId="77777777" w:rsidR="009247ED" w:rsidRPr="00A241F5" w:rsidRDefault="009247ED" w:rsidP="009247ED">
      <w:pPr>
        <w:widowControl/>
        <w:tabs>
          <w:tab w:val="clear" w:pos="1418"/>
          <w:tab w:val="left" w:pos="1440"/>
        </w:tabs>
        <w:rPr>
          <w:rFonts w:cs="Arial"/>
        </w:rPr>
      </w:pPr>
    </w:p>
    <w:p w14:paraId="20BF00DF" w14:textId="61FCCCF4" w:rsidR="009247ED" w:rsidRPr="00A241F5" w:rsidRDefault="009247ED" w:rsidP="009247ED">
      <w:pPr>
        <w:widowControl/>
        <w:tabs>
          <w:tab w:val="clear" w:pos="1418"/>
          <w:tab w:val="left" w:pos="1440"/>
        </w:tabs>
        <w:rPr>
          <w:rFonts w:eastAsiaTheme="minorEastAsia" w:cs="Arial"/>
          <w:b/>
          <w:i/>
        </w:rPr>
      </w:pPr>
      <w:r w:rsidRPr="00A241F5">
        <w:rPr>
          <w:rFonts w:eastAsiaTheme="minorEastAsia" w:cs="Arial" w:hint="eastAsia"/>
          <w:b/>
          <w:i/>
        </w:rPr>
        <w:t>Recommendation 8(a)</w:t>
      </w:r>
    </w:p>
    <w:p w14:paraId="5A91229B" w14:textId="77777777" w:rsidR="009247ED" w:rsidRPr="00A241F5" w:rsidRDefault="009247ED" w:rsidP="009247ED">
      <w:pPr>
        <w:widowControl/>
        <w:tabs>
          <w:tab w:val="clear" w:pos="1418"/>
          <w:tab w:val="left" w:pos="1440"/>
        </w:tabs>
        <w:rPr>
          <w:rFonts w:eastAsiaTheme="minorEastAsia" w:cs="Arial"/>
          <w:b/>
          <w:i/>
        </w:rPr>
      </w:pPr>
    </w:p>
    <w:p w14:paraId="0CE98BF9" w14:textId="6D83062D" w:rsidR="009247ED" w:rsidRPr="00A241F5" w:rsidRDefault="009247ED" w:rsidP="009247ED">
      <w:pPr>
        <w:widowControl/>
        <w:tabs>
          <w:tab w:val="clear" w:pos="1418"/>
          <w:tab w:val="left" w:pos="1440"/>
        </w:tabs>
        <w:rPr>
          <w:rFonts w:cs="Arial"/>
          <w:i/>
        </w:rPr>
      </w:pPr>
      <w:r w:rsidRPr="00A241F5">
        <w:rPr>
          <w:rFonts w:cs="Arial"/>
          <w:i/>
        </w:rPr>
        <w:t>Comments from Respondents who supported Recommendation 8(a)</w:t>
      </w:r>
    </w:p>
    <w:p w14:paraId="76AB8600" w14:textId="77777777" w:rsidR="009247ED" w:rsidRPr="00A241F5" w:rsidRDefault="009247ED" w:rsidP="009247ED">
      <w:pPr>
        <w:widowControl/>
        <w:tabs>
          <w:tab w:val="clear" w:pos="1418"/>
          <w:tab w:val="left" w:pos="1440"/>
        </w:tabs>
        <w:rPr>
          <w:rFonts w:cs="Arial"/>
        </w:rPr>
      </w:pPr>
    </w:p>
    <w:p w14:paraId="2D40B732" w14:textId="3A4F874E" w:rsidR="009247ED" w:rsidRPr="00A241F5" w:rsidRDefault="00962649" w:rsidP="009247ED">
      <w:pPr>
        <w:widowControl/>
        <w:tabs>
          <w:tab w:val="clear" w:pos="1418"/>
          <w:tab w:val="left" w:pos="1440"/>
        </w:tabs>
        <w:rPr>
          <w:rFonts w:cs="Arial"/>
        </w:rPr>
      </w:pPr>
      <w:r w:rsidRPr="00A241F5">
        <w:rPr>
          <w:rFonts w:cs="Arial"/>
        </w:rPr>
        <w:t>9.</w:t>
      </w:r>
      <w:r w:rsidR="009247ED" w:rsidRPr="00A241F5">
        <w:rPr>
          <w:rFonts w:cs="Arial"/>
        </w:rPr>
        <w:t>2</w:t>
      </w:r>
      <w:r w:rsidR="009247ED" w:rsidRPr="00A241F5">
        <w:rPr>
          <w:rFonts w:cs="Arial"/>
        </w:rPr>
        <w:tab/>
        <w:t>Of the Respondents who commented on Recommendation 8(a), an overwhelming majority were in support, in particular of ORFS</w:t>
      </w:r>
      <w:r w:rsidR="005719E0" w:rsidRPr="00A241F5">
        <w:rPr>
          <w:rFonts w:cs="Arial"/>
        </w:rPr>
        <w:t>s</w:t>
      </w:r>
      <w:r w:rsidR="009247ED" w:rsidRPr="00A241F5">
        <w:rPr>
          <w:rFonts w:cs="Arial"/>
        </w:rPr>
        <w:t xml:space="preserve"> for Arbitration specifying in what circumstances they can be terminated.</w:t>
      </w:r>
      <w:r w:rsidR="00C24ECC" w:rsidRPr="00A241F5">
        <w:rPr>
          <w:rFonts w:cs="Arial"/>
        </w:rPr>
        <w:t xml:space="preserve">  </w:t>
      </w:r>
      <w:r w:rsidR="00C24ECC" w:rsidRPr="00A241F5">
        <w:rPr>
          <w:szCs w:val="28"/>
        </w:rPr>
        <w:t>Both the Law Society and the HKBA supported Recommendation 8 as a whole.</w:t>
      </w:r>
      <w:r w:rsidR="009247ED" w:rsidRPr="00A241F5">
        <w:rPr>
          <w:rFonts w:cs="Arial"/>
        </w:rPr>
        <w:t xml:space="preserve">  </w:t>
      </w:r>
    </w:p>
    <w:p w14:paraId="07F96F75" w14:textId="77777777" w:rsidR="005313CA" w:rsidRPr="00A241F5" w:rsidRDefault="005313CA" w:rsidP="009247ED">
      <w:pPr>
        <w:widowControl/>
        <w:tabs>
          <w:tab w:val="clear" w:pos="1418"/>
          <w:tab w:val="left" w:pos="1440"/>
        </w:tabs>
        <w:rPr>
          <w:rStyle w:val="CommentReference"/>
        </w:rPr>
      </w:pPr>
    </w:p>
    <w:p w14:paraId="12AF8DD0" w14:textId="09070973" w:rsidR="005313CA" w:rsidRPr="00A241F5" w:rsidRDefault="00962649" w:rsidP="009247ED">
      <w:pPr>
        <w:widowControl/>
        <w:tabs>
          <w:tab w:val="clear" w:pos="1418"/>
          <w:tab w:val="left" w:pos="1440"/>
        </w:tabs>
        <w:rPr>
          <w:szCs w:val="28"/>
        </w:rPr>
      </w:pPr>
      <w:r w:rsidRPr="00A241F5">
        <w:rPr>
          <w:szCs w:val="28"/>
        </w:rPr>
        <w:t>9.</w:t>
      </w:r>
      <w:r w:rsidR="009247ED" w:rsidRPr="00A241F5">
        <w:rPr>
          <w:szCs w:val="28"/>
        </w:rPr>
        <w:t>3</w:t>
      </w:r>
      <w:r w:rsidR="009247ED" w:rsidRPr="00A241F5">
        <w:rPr>
          <w:szCs w:val="28"/>
        </w:rPr>
        <w:tab/>
        <w:t>One Government department noted that</w:t>
      </w:r>
      <w:r w:rsidR="00C048B2" w:rsidRPr="00A241F5">
        <w:rPr>
          <w:szCs w:val="28"/>
        </w:rPr>
        <w:t>:</w:t>
      </w:r>
    </w:p>
    <w:p w14:paraId="38BA2A56" w14:textId="77777777" w:rsidR="005313CA" w:rsidRPr="00A241F5" w:rsidRDefault="005313CA" w:rsidP="009247ED">
      <w:pPr>
        <w:widowControl/>
        <w:tabs>
          <w:tab w:val="clear" w:pos="1418"/>
          <w:tab w:val="left" w:pos="1440"/>
        </w:tabs>
        <w:rPr>
          <w:szCs w:val="28"/>
        </w:rPr>
      </w:pPr>
    </w:p>
    <w:p w14:paraId="7FD4D148" w14:textId="16A02286" w:rsidR="004A10CB" w:rsidRPr="00A241F5" w:rsidRDefault="00C61F4B" w:rsidP="00B1570E">
      <w:pPr>
        <w:pStyle w:val="BlockText"/>
        <w:widowControl/>
      </w:pPr>
      <w:r w:rsidRPr="00A241F5">
        <w:t>"</w:t>
      </w:r>
      <w:r w:rsidR="009E2A67" w:rsidRPr="00A241F5">
        <w:t>I</w:t>
      </w:r>
      <w:r w:rsidR="009247ED" w:rsidRPr="00A241F5">
        <w:t>n line with the freedom of contract argument for permitting ORFSs for Arbitration in Hong Kong, we believe that parties to the ORFS agreements … should be entitled and free to negotiate the terms of termination and address the same in the relevant ORFS agreements.  Indeed, a termination clause is commonly used in ordinary contracts by parties to define the circumstances under which agreements can be terminated, for the sake of certainty</w:t>
      </w:r>
      <w:r w:rsidR="004A10CB" w:rsidRPr="00A241F5">
        <w:t>.</w:t>
      </w:r>
    </w:p>
    <w:p w14:paraId="44CB35D4" w14:textId="77777777" w:rsidR="004A10CB" w:rsidRPr="00A241F5" w:rsidRDefault="004A10CB" w:rsidP="00B1570E">
      <w:pPr>
        <w:pStyle w:val="BlockText"/>
        <w:widowControl/>
      </w:pPr>
    </w:p>
    <w:p w14:paraId="776AB7A1" w14:textId="21E152E3" w:rsidR="009247ED" w:rsidRPr="00A241F5" w:rsidRDefault="009247ED" w:rsidP="00B1570E">
      <w:pPr>
        <w:pStyle w:val="BlockText"/>
        <w:widowControl/>
      </w:pPr>
      <w:r w:rsidRPr="00A241F5">
        <w:t xml:space="preserve">To further enhance clarity in the local legislative framework of ORFSs regarding termination … we tend to agree with the proposed reform in England and Wales that certain statutory </w:t>
      </w:r>
      <w:r w:rsidRPr="00A241F5">
        <w:lastRenderedPageBreak/>
        <w:t>parameters could be put in place as to the general principles for termination</w:t>
      </w:r>
      <w:r w:rsidR="00923002" w:rsidRPr="00A241F5">
        <w:t>.</w:t>
      </w:r>
      <w:r w:rsidR="00C61F4B" w:rsidRPr="00A241F5">
        <w:t>"</w:t>
      </w:r>
      <w:r w:rsidRPr="00A241F5">
        <w:t xml:space="preserve"> </w:t>
      </w:r>
    </w:p>
    <w:p w14:paraId="1E713279" w14:textId="77777777" w:rsidR="009247ED" w:rsidRPr="00A241F5" w:rsidRDefault="009247ED" w:rsidP="009247ED">
      <w:pPr>
        <w:widowControl/>
        <w:tabs>
          <w:tab w:val="clear" w:pos="1418"/>
          <w:tab w:val="left" w:pos="1440"/>
        </w:tabs>
        <w:rPr>
          <w:szCs w:val="28"/>
        </w:rPr>
      </w:pPr>
    </w:p>
    <w:p w14:paraId="77AA01AD" w14:textId="02B8D541" w:rsidR="009247ED" w:rsidRPr="00A241F5" w:rsidRDefault="00962649" w:rsidP="003C79C9">
      <w:pPr>
        <w:widowControl/>
      </w:pPr>
      <w:r w:rsidRPr="00A241F5">
        <w:rPr>
          <w:szCs w:val="28"/>
        </w:rPr>
        <w:t>9.</w:t>
      </w:r>
      <w:r w:rsidR="003E1F3C" w:rsidRPr="00A241F5">
        <w:rPr>
          <w:szCs w:val="28"/>
        </w:rPr>
        <w:t>4</w:t>
      </w:r>
      <w:r w:rsidR="009247ED" w:rsidRPr="00A241F5">
        <w:rPr>
          <w:szCs w:val="28"/>
        </w:rPr>
        <w:tab/>
        <w:t>A law firm agreed, noting that</w:t>
      </w:r>
      <w:r w:rsidR="00161845" w:rsidRPr="00A241F5">
        <w:rPr>
          <w:szCs w:val="28"/>
        </w:rPr>
        <w:t>:</w:t>
      </w:r>
      <w:r w:rsidR="003C79C9" w:rsidRPr="00A241F5">
        <w:rPr>
          <w:szCs w:val="28"/>
        </w:rPr>
        <w:t xml:space="preserve"> </w:t>
      </w:r>
      <w:r w:rsidR="00C61F4B" w:rsidRPr="00A241F5">
        <w:rPr>
          <w:i/>
        </w:rPr>
        <w:t>"</w:t>
      </w:r>
      <w:r w:rsidR="00175CFB" w:rsidRPr="00A241F5">
        <w:rPr>
          <w:i/>
        </w:rPr>
        <w:t xml:space="preserve">… </w:t>
      </w:r>
      <w:r w:rsidR="009247ED" w:rsidRPr="00A241F5">
        <w:rPr>
          <w:i/>
        </w:rPr>
        <w:t>this is an important safeguard, albeit one would expect a properly drafted CFA, DBA or Hybrid DBA to provide for this</w:t>
      </w:r>
      <w:r w:rsidR="00C61F4B" w:rsidRPr="00A241F5">
        <w:rPr>
          <w:i/>
        </w:rPr>
        <w:t>"</w:t>
      </w:r>
      <w:r w:rsidR="006B2524" w:rsidRPr="00A241F5">
        <w:rPr>
          <w:i/>
        </w:rPr>
        <w:t>.</w:t>
      </w:r>
      <w:r w:rsidR="009247ED" w:rsidRPr="00A241F5">
        <w:t xml:space="preserve">  Similarly, another law firm confirmed its agreement that there </w:t>
      </w:r>
      <w:r w:rsidR="00C61F4B" w:rsidRPr="00A241F5">
        <w:rPr>
          <w:i/>
        </w:rPr>
        <w:t>"</w:t>
      </w:r>
      <w:r w:rsidR="009247ED" w:rsidRPr="00A241F5">
        <w:rPr>
          <w:i/>
        </w:rPr>
        <w:t>should be regulation providing for the circumstances in which the lawyer is entitled to terminate the agreement</w:t>
      </w:r>
      <w:r w:rsidR="00C61F4B" w:rsidRPr="00A241F5">
        <w:rPr>
          <w:i/>
        </w:rPr>
        <w:t>"</w:t>
      </w:r>
      <w:r w:rsidR="00923002" w:rsidRPr="00A241F5">
        <w:t>.</w:t>
      </w:r>
      <w:r w:rsidR="003C79C9" w:rsidRPr="00A241F5">
        <w:t xml:space="preserve">  </w:t>
      </w:r>
      <w:r w:rsidR="009247ED" w:rsidRPr="00A241F5">
        <w:rPr>
          <w:szCs w:val="28"/>
        </w:rPr>
        <w:t>This Respondent further considered that</w:t>
      </w:r>
      <w:r w:rsidR="00C048B2" w:rsidRPr="00A241F5">
        <w:rPr>
          <w:szCs w:val="28"/>
        </w:rPr>
        <w:t>:</w:t>
      </w:r>
      <w:r w:rsidR="003C79C9" w:rsidRPr="00A241F5">
        <w:rPr>
          <w:szCs w:val="28"/>
        </w:rPr>
        <w:t xml:space="preserve"> </w:t>
      </w:r>
      <w:r w:rsidR="00C61F4B" w:rsidRPr="00A241F5">
        <w:rPr>
          <w:i/>
        </w:rPr>
        <w:t>"</w:t>
      </w:r>
      <w:r w:rsidR="009E2A67" w:rsidRPr="00A241F5">
        <w:rPr>
          <w:i/>
        </w:rPr>
        <w:t>…</w:t>
      </w:r>
      <w:r w:rsidR="008D61D3" w:rsidRPr="00A241F5">
        <w:rPr>
          <w:i/>
        </w:rPr>
        <w:t xml:space="preserve"> </w:t>
      </w:r>
      <w:r w:rsidR="00F44171" w:rsidRPr="00A241F5">
        <w:rPr>
          <w:i/>
        </w:rPr>
        <w:t xml:space="preserve">the </w:t>
      </w:r>
      <w:r w:rsidR="009247ED" w:rsidRPr="00A241F5">
        <w:rPr>
          <w:i/>
        </w:rPr>
        <w:t>legislated grounds for termination should be in addition to any further grounds for termination in the engagement agreement</w:t>
      </w:r>
      <w:r w:rsidR="00C61F4B" w:rsidRPr="00A241F5">
        <w:rPr>
          <w:i/>
        </w:rPr>
        <w:t>"</w:t>
      </w:r>
      <w:r w:rsidR="009247ED" w:rsidRPr="00A241F5">
        <w:rPr>
          <w:i/>
        </w:rPr>
        <w:t xml:space="preserve"> </w:t>
      </w:r>
      <w:r w:rsidR="009247ED" w:rsidRPr="00A241F5">
        <w:t>because</w:t>
      </w:r>
      <w:r w:rsidR="009247ED" w:rsidRPr="00A241F5">
        <w:rPr>
          <w:i/>
        </w:rPr>
        <w:t xml:space="preserve"> </w:t>
      </w:r>
      <w:r w:rsidR="00C61F4B" w:rsidRPr="00A241F5">
        <w:rPr>
          <w:i/>
        </w:rPr>
        <w:t>"</w:t>
      </w:r>
      <w:r w:rsidR="009247ED" w:rsidRPr="00A241F5">
        <w:rPr>
          <w:i/>
        </w:rPr>
        <w:t>different arrangements may entail different risk profiles, and each engagement would be highly sensitive to its facts.  As such, lawyers and clients should be free to negotiate and agree additional grounds upon which a lawyer may be able to terminate, beyond those that will eventually be provided for.</w:t>
      </w:r>
      <w:r w:rsidR="00C61F4B" w:rsidRPr="00A241F5">
        <w:rPr>
          <w:i/>
        </w:rPr>
        <w:t>"</w:t>
      </w:r>
      <w:r w:rsidR="009247ED" w:rsidRPr="00A241F5">
        <w:t xml:space="preserve"> </w:t>
      </w:r>
    </w:p>
    <w:p w14:paraId="1B7C56DB" w14:textId="5E4AAC4E" w:rsidR="009247ED" w:rsidRPr="00A241F5" w:rsidRDefault="009247ED" w:rsidP="009247ED">
      <w:pPr>
        <w:widowControl/>
        <w:tabs>
          <w:tab w:val="clear" w:pos="1418"/>
          <w:tab w:val="left" w:pos="1440"/>
        </w:tabs>
        <w:rPr>
          <w:szCs w:val="28"/>
        </w:rPr>
      </w:pPr>
    </w:p>
    <w:p w14:paraId="0C1CBE8B" w14:textId="4B77E20F" w:rsidR="009247ED" w:rsidRPr="00A241F5" w:rsidRDefault="00962649" w:rsidP="009247ED">
      <w:pPr>
        <w:widowControl/>
        <w:tabs>
          <w:tab w:val="clear" w:pos="1418"/>
          <w:tab w:val="left" w:pos="1440"/>
        </w:tabs>
        <w:rPr>
          <w:szCs w:val="28"/>
        </w:rPr>
      </w:pPr>
      <w:r w:rsidRPr="00A241F5">
        <w:rPr>
          <w:szCs w:val="28"/>
        </w:rPr>
        <w:t>9.</w:t>
      </w:r>
      <w:r w:rsidR="003E1F3C" w:rsidRPr="00A241F5">
        <w:rPr>
          <w:szCs w:val="28"/>
        </w:rPr>
        <w:t>5</w:t>
      </w:r>
      <w:r w:rsidR="009247ED" w:rsidRPr="00A241F5">
        <w:rPr>
          <w:szCs w:val="28"/>
        </w:rPr>
        <w:tab/>
        <w:t xml:space="preserve">Another professional body also agreed that the relevant ORFS </w:t>
      </w:r>
      <w:r w:rsidR="00C61F4B" w:rsidRPr="00A241F5">
        <w:rPr>
          <w:i/>
          <w:szCs w:val="28"/>
        </w:rPr>
        <w:t>"</w:t>
      </w:r>
      <w:r w:rsidR="009247ED" w:rsidRPr="00A241F5">
        <w:rPr>
          <w:szCs w:val="28"/>
        </w:rPr>
        <w:t>[</w:t>
      </w:r>
      <w:r w:rsidR="009247ED" w:rsidRPr="00A241F5">
        <w:rPr>
          <w:i/>
          <w:szCs w:val="28"/>
        </w:rPr>
        <w:t>m</w:t>
      </w:r>
      <w:r w:rsidR="009247ED" w:rsidRPr="00A241F5">
        <w:rPr>
          <w:szCs w:val="28"/>
        </w:rPr>
        <w:t>]</w:t>
      </w:r>
      <w:r w:rsidR="009247ED" w:rsidRPr="00A241F5">
        <w:rPr>
          <w:i/>
          <w:szCs w:val="28"/>
        </w:rPr>
        <w:t>ust clearly state reasons for termination</w:t>
      </w:r>
      <w:r w:rsidR="00C61F4B" w:rsidRPr="00A241F5">
        <w:rPr>
          <w:i/>
          <w:szCs w:val="28"/>
        </w:rPr>
        <w:t>"</w:t>
      </w:r>
      <w:r w:rsidR="009247ED" w:rsidRPr="00A241F5">
        <w:rPr>
          <w:szCs w:val="28"/>
        </w:rPr>
        <w:t xml:space="preserve"> and that the </w:t>
      </w:r>
      <w:r w:rsidR="00C61F4B" w:rsidRPr="00A241F5">
        <w:rPr>
          <w:i/>
          <w:szCs w:val="28"/>
        </w:rPr>
        <w:t>"</w:t>
      </w:r>
      <w:r w:rsidR="009247ED" w:rsidRPr="00A241F5">
        <w:rPr>
          <w:i/>
          <w:szCs w:val="28"/>
        </w:rPr>
        <w:t>client shall pay the lawyer on</w:t>
      </w:r>
      <w:r w:rsidR="009247ED" w:rsidRPr="00A241F5">
        <w:rPr>
          <w:szCs w:val="28"/>
        </w:rPr>
        <w:t xml:space="preserve"> [</w:t>
      </w:r>
      <w:r w:rsidR="009247ED" w:rsidRPr="00A241F5">
        <w:rPr>
          <w:i/>
          <w:szCs w:val="28"/>
        </w:rPr>
        <w:t>sic</w:t>
      </w:r>
      <w:r w:rsidR="009247ED" w:rsidRPr="00A241F5">
        <w:rPr>
          <w:szCs w:val="28"/>
        </w:rPr>
        <w:t xml:space="preserve">] </w:t>
      </w:r>
      <w:r w:rsidR="009247ED" w:rsidRPr="00A241F5">
        <w:rPr>
          <w:i/>
          <w:szCs w:val="28"/>
        </w:rPr>
        <w:t>hourly rate basis in the event of such termination</w:t>
      </w:r>
      <w:r w:rsidR="00C61F4B" w:rsidRPr="00A241F5">
        <w:rPr>
          <w:i/>
          <w:szCs w:val="28"/>
        </w:rPr>
        <w:t>"</w:t>
      </w:r>
      <w:r w:rsidR="00923002" w:rsidRPr="00A241F5">
        <w:rPr>
          <w:szCs w:val="28"/>
        </w:rPr>
        <w:t>.</w:t>
      </w:r>
      <w:r w:rsidR="009247ED" w:rsidRPr="00A241F5">
        <w:rPr>
          <w:szCs w:val="28"/>
        </w:rPr>
        <w:t xml:space="preserve"> </w:t>
      </w:r>
    </w:p>
    <w:p w14:paraId="45C689B3" w14:textId="77777777" w:rsidR="009247ED" w:rsidRPr="00A241F5" w:rsidRDefault="009247ED" w:rsidP="009247ED">
      <w:pPr>
        <w:widowControl/>
        <w:tabs>
          <w:tab w:val="clear" w:pos="1418"/>
          <w:tab w:val="left" w:pos="1440"/>
        </w:tabs>
        <w:rPr>
          <w:szCs w:val="28"/>
        </w:rPr>
      </w:pPr>
    </w:p>
    <w:p w14:paraId="6C9D8280" w14:textId="3D0D776F" w:rsidR="009247ED" w:rsidRPr="00A241F5" w:rsidRDefault="00962649" w:rsidP="009247ED">
      <w:pPr>
        <w:widowControl/>
        <w:tabs>
          <w:tab w:val="clear" w:pos="1418"/>
          <w:tab w:val="left" w:pos="1440"/>
        </w:tabs>
        <w:rPr>
          <w:szCs w:val="28"/>
        </w:rPr>
      </w:pPr>
      <w:r w:rsidRPr="00A241F5">
        <w:rPr>
          <w:szCs w:val="28"/>
        </w:rPr>
        <w:t>9.</w:t>
      </w:r>
      <w:r w:rsidR="003E1F3C" w:rsidRPr="00A241F5">
        <w:rPr>
          <w:szCs w:val="28"/>
        </w:rPr>
        <w:t>6</w:t>
      </w:r>
      <w:r w:rsidR="009247ED" w:rsidRPr="00A241F5">
        <w:rPr>
          <w:szCs w:val="28"/>
        </w:rPr>
        <w:tab/>
        <w:t xml:space="preserve">A litigation funder also agreed, noting that this was the positon in relation to </w:t>
      </w:r>
      <w:r w:rsidR="00787300" w:rsidRPr="00A241F5">
        <w:rPr>
          <w:szCs w:val="28"/>
        </w:rPr>
        <w:t xml:space="preserve">Third Party Funding </w:t>
      </w:r>
      <w:r w:rsidR="009247ED" w:rsidRPr="00A241F5">
        <w:rPr>
          <w:szCs w:val="28"/>
        </w:rPr>
        <w:t xml:space="preserve">arrangements in Hong Kong.  </w:t>
      </w:r>
    </w:p>
    <w:p w14:paraId="71A4469B" w14:textId="77777777" w:rsidR="009247ED" w:rsidRPr="00A241F5" w:rsidRDefault="009247ED" w:rsidP="009247ED">
      <w:pPr>
        <w:widowControl/>
        <w:tabs>
          <w:tab w:val="clear" w:pos="1418"/>
          <w:tab w:val="left" w:pos="1440"/>
        </w:tabs>
        <w:rPr>
          <w:szCs w:val="28"/>
        </w:rPr>
      </w:pPr>
      <w:r w:rsidRPr="00A241F5">
        <w:rPr>
          <w:szCs w:val="28"/>
        </w:rPr>
        <w:t xml:space="preserve"> </w:t>
      </w:r>
    </w:p>
    <w:p w14:paraId="4635ADE8" w14:textId="0969F753" w:rsidR="009247ED" w:rsidRPr="00A241F5" w:rsidRDefault="00962649" w:rsidP="009247ED">
      <w:pPr>
        <w:widowControl/>
        <w:tabs>
          <w:tab w:val="clear" w:pos="1418"/>
          <w:tab w:val="left" w:pos="1440"/>
        </w:tabs>
        <w:rPr>
          <w:szCs w:val="28"/>
        </w:rPr>
      </w:pPr>
      <w:r w:rsidRPr="00A241F5">
        <w:rPr>
          <w:szCs w:val="28"/>
        </w:rPr>
        <w:t>9.</w:t>
      </w:r>
      <w:r w:rsidR="003E1F3C" w:rsidRPr="00A241F5">
        <w:rPr>
          <w:szCs w:val="28"/>
        </w:rPr>
        <w:t>7</w:t>
      </w:r>
      <w:r w:rsidR="009247ED" w:rsidRPr="00A241F5">
        <w:rPr>
          <w:szCs w:val="28"/>
        </w:rPr>
        <w:tab/>
        <w:t>Two other Respondents, an arbitrator/barrister and a professional body, also agreed, noting that it should be for the parties to a CFA, DBA, or Hybrid DBA to specifically</w:t>
      </w:r>
      <w:r w:rsidR="009247ED" w:rsidRPr="00A241F5">
        <w:rPr>
          <w:i/>
          <w:szCs w:val="28"/>
        </w:rPr>
        <w:t xml:space="preserve"> </w:t>
      </w:r>
      <w:r w:rsidR="00C61F4B" w:rsidRPr="00A241F5">
        <w:rPr>
          <w:i/>
          <w:szCs w:val="28"/>
        </w:rPr>
        <w:t>"</w:t>
      </w:r>
      <w:r w:rsidR="009247ED" w:rsidRPr="00A241F5">
        <w:rPr>
          <w:i/>
          <w:szCs w:val="28"/>
        </w:rPr>
        <w:t>specify, whether, and if so, in what circumstances and upon what basis, the lawyers or client are entitled to terminate the fee agreements</w:t>
      </w:r>
      <w:r w:rsidR="00923002" w:rsidRPr="00A241F5">
        <w:rPr>
          <w:szCs w:val="28"/>
        </w:rPr>
        <w:t>.</w:t>
      </w:r>
      <w:r w:rsidR="00C61F4B" w:rsidRPr="00A241F5">
        <w:rPr>
          <w:i/>
          <w:szCs w:val="28"/>
        </w:rPr>
        <w:t>"</w:t>
      </w:r>
      <w:r w:rsidR="009247ED" w:rsidRPr="00A241F5">
        <w:rPr>
          <w:szCs w:val="28"/>
        </w:rPr>
        <w:t xml:space="preserve">  However, in the view of these Respondents, this was </w:t>
      </w:r>
      <w:r w:rsidR="00C61F4B" w:rsidRPr="00A241F5">
        <w:rPr>
          <w:i/>
          <w:szCs w:val="28"/>
        </w:rPr>
        <w:t>"</w:t>
      </w:r>
      <w:r w:rsidR="009247ED" w:rsidRPr="00A241F5">
        <w:rPr>
          <w:i/>
          <w:szCs w:val="28"/>
        </w:rPr>
        <w:t>not a matter for legislation.  If there has not been any prior agreement, the parties can always subsequently negotiate and arrive at a mutually agreed separation agreement, failing which, neither should be allowed to terminate</w:t>
      </w:r>
      <w:r w:rsidR="00923002" w:rsidRPr="00A241F5">
        <w:rPr>
          <w:szCs w:val="28"/>
        </w:rPr>
        <w:t>.</w:t>
      </w:r>
      <w:r w:rsidR="00C61F4B" w:rsidRPr="00A241F5">
        <w:rPr>
          <w:i/>
          <w:szCs w:val="28"/>
        </w:rPr>
        <w:t>"</w:t>
      </w:r>
      <w:r w:rsidR="009247ED" w:rsidRPr="00A241F5">
        <w:rPr>
          <w:szCs w:val="28"/>
        </w:rPr>
        <w:t xml:space="preserve">  </w:t>
      </w:r>
    </w:p>
    <w:p w14:paraId="145D7207" w14:textId="77777777" w:rsidR="009247ED" w:rsidRPr="00A241F5" w:rsidRDefault="009247ED" w:rsidP="009247ED">
      <w:pPr>
        <w:widowControl/>
        <w:tabs>
          <w:tab w:val="clear" w:pos="1418"/>
          <w:tab w:val="left" w:pos="1440"/>
        </w:tabs>
        <w:rPr>
          <w:szCs w:val="28"/>
        </w:rPr>
      </w:pPr>
    </w:p>
    <w:p w14:paraId="7E9CCA68" w14:textId="0D3A1983" w:rsidR="005313CA" w:rsidRPr="00A241F5" w:rsidRDefault="00962649" w:rsidP="009247ED">
      <w:pPr>
        <w:widowControl/>
        <w:tabs>
          <w:tab w:val="clear" w:pos="1418"/>
          <w:tab w:val="left" w:pos="1440"/>
        </w:tabs>
        <w:rPr>
          <w:szCs w:val="28"/>
        </w:rPr>
      </w:pPr>
      <w:r w:rsidRPr="00A241F5">
        <w:rPr>
          <w:szCs w:val="28"/>
        </w:rPr>
        <w:t>9.</w:t>
      </w:r>
      <w:r w:rsidR="003E1F3C" w:rsidRPr="00A241F5">
        <w:rPr>
          <w:szCs w:val="28"/>
        </w:rPr>
        <w:t>8</w:t>
      </w:r>
      <w:r w:rsidR="009247ED" w:rsidRPr="00A241F5">
        <w:rPr>
          <w:szCs w:val="28"/>
        </w:rPr>
        <w:tab/>
        <w:t>As to the circumstances in which a client is entitled to terminate the ORFS prior to the conclusion of the Arbitration, one Respondent - a Government department - endorsed the proposed reform in England and Wales, namely that</w:t>
      </w:r>
      <w:r w:rsidR="008F0319" w:rsidRPr="00A241F5">
        <w:rPr>
          <w:szCs w:val="28"/>
        </w:rPr>
        <w:t>:</w:t>
      </w:r>
      <w:r w:rsidR="009247ED" w:rsidRPr="00A241F5">
        <w:rPr>
          <w:szCs w:val="28"/>
        </w:rPr>
        <w:t xml:space="preserve"> </w:t>
      </w:r>
    </w:p>
    <w:p w14:paraId="7845F011" w14:textId="77777777" w:rsidR="005313CA" w:rsidRPr="00A241F5" w:rsidRDefault="005313CA" w:rsidP="009247ED">
      <w:pPr>
        <w:widowControl/>
        <w:tabs>
          <w:tab w:val="clear" w:pos="1418"/>
          <w:tab w:val="left" w:pos="1440"/>
        </w:tabs>
        <w:rPr>
          <w:szCs w:val="28"/>
        </w:rPr>
      </w:pPr>
    </w:p>
    <w:p w14:paraId="5FEC3ABA" w14:textId="55D503B8" w:rsidR="009247ED" w:rsidRPr="00A241F5" w:rsidRDefault="00C61F4B" w:rsidP="008F0A89">
      <w:pPr>
        <w:pStyle w:val="BlockText"/>
        <w:widowControl/>
      </w:pPr>
      <w:r w:rsidRPr="00A241F5">
        <w:t>"</w:t>
      </w:r>
      <w:r w:rsidR="009E2A67" w:rsidRPr="00A241F5">
        <w:t>…</w:t>
      </w:r>
      <w:r w:rsidR="008D61D3" w:rsidRPr="00A241F5">
        <w:t xml:space="preserve"> </w:t>
      </w:r>
      <w:r w:rsidR="009247ED" w:rsidRPr="00A241F5">
        <w:t>certain statutory parameters could be put in place as to the general principles for termination.  For example, as proposed in the latest draft of the Damages-Based Agreements Regulations 2019 which is still under consideration in England and Wales, subject to the parties agreeing otherwise, lawyers may not terminate the ORFS agreements unless their clients have behaved or are behaving unreasonably, and that if clients terminate the ORFS agreements, the legal fees chargeable by lawyers cannot exceed those costs and expenses incurred</w:t>
      </w:r>
      <w:r w:rsidR="00923002" w:rsidRPr="00A241F5">
        <w:t>.</w:t>
      </w:r>
      <w:r w:rsidRPr="00A241F5">
        <w:t>"</w:t>
      </w:r>
      <w:r w:rsidR="009247ED" w:rsidRPr="00A241F5">
        <w:t xml:space="preserve"> </w:t>
      </w:r>
    </w:p>
    <w:p w14:paraId="0495D6A7" w14:textId="77777777" w:rsidR="009247ED" w:rsidRPr="00A241F5" w:rsidRDefault="009247ED" w:rsidP="009247ED">
      <w:pPr>
        <w:widowControl/>
        <w:tabs>
          <w:tab w:val="clear" w:pos="1418"/>
          <w:tab w:val="left" w:pos="1440"/>
        </w:tabs>
        <w:rPr>
          <w:szCs w:val="28"/>
        </w:rPr>
      </w:pPr>
    </w:p>
    <w:p w14:paraId="7D6D64D1" w14:textId="5CAF8ADD" w:rsidR="005313CA" w:rsidRPr="00A241F5" w:rsidRDefault="00962649" w:rsidP="009247ED">
      <w:pPr>
        <w:widowControl/>
        <w:tabs>
          <w:tab w:val="clear" w:pos="1418"/>
          <w:tab w:val="left" w:pos="1440"/>
        </w:tabs>
        <w:rPr>
          <w:szCs w:val="28"/>
        </w:rPr>
      </w:pPr>
      <w:r w:rsidRPr="00A241F5">
        <w:rPr>
          <w:szCs w:val="28"/>
        </w:rPr>
        <w:t>9.</w:t>
      </w:r>
      <w:r w:rsidR="003E1F3C" w:rsidRPr="00A241F5">
        <w:rPr>
          <w:szCs w:val="28"/>
        </w:rPr>
        <w:t>9</w:t>
      </w:r>
      <w:r w:rsidR="009247ED" w:rsidRPr="00A241F5">
        <w:rPr>
          <w:szCs w:val="28"/>
        </w:rPr>
        <w:tab/>
        <w:t xml:space="preserve">Another </w:t>
      </w:r>
      <w:r w:rsidR="002B18A5" w:rsidRPr="00A241F5">
        <w:rPr>
          <w:rFonts w:cs="Arial"/>
        </w:rPr>
        <w:t>consumer/public interest group</w:t>
      </w:r>
      <w:r w:rsidR="009247ED" w:rsidRPr="00A241F5">
        <w:rPr>
          <w:szCs w:val="28"/>
        </w:rPr>
        <w:t xml:space="preserve"> agreed, noting that</w:t>
      </w:r>
      <w:r w:rsidR="00161845" w:rsidRPr="00A241F5">
        <w:rPr>
          <w:szCs w:val="28"/>
        </w:rPr>
        <w:t>:</w:t>
      </w:r>
      <w:r w:rsidR="009247ED" w:rsidRPr="00A241F5">
        <w:rPr>
          <w:szCs w:val="28"/>
        </w:rPr>
        <w:t xml:space="preserve"> </w:t>
      </w:r>
    </w:p>
    <w:p w14:paraId="490FEAEF" w14:textId="77777777" w:rsidR="005313CA" w:rsidRPr="00A241F5" w:rsidRDefault="005313CA" w:rsidP="009247ED">
      <w:pPr>
        <w:widowControl/>
        <w:tabs>
          <w:tab w:val="clear" w:pos="1418"/>
          <w:tab w:val="left" w:pos="1440"/>
        </w:tabs>
        <w:rPr>
          <w:szCs w:val="28"/>
        </w:rPr>
      </w:pPr>
    </w:p>
    <w:p w14:paraId="0358796C" w14:textId="48ABB703" w:rsidR="009247ED" w:rsidRPr="00A241F5" w:rsidRDefault="00C61F4B" w:rsidP="005313CA">
      <w:pPr>
        <w:pStyle w:val="BlockText"/>
      </w:pPr>
      <w:r w:rsidRPr="00A241F5">
        <w:t>"</w:t>
      </w:r>
      <w:r w:rsidR="009E2A67" w:rsidRPr="00A241F5">
        <w:t>…</w:t>
      </w:r>
      <w:r w:rsidR="008D61D3" w:rsidRPr="00A241F5">
        <w:t xml:space="preserve"> </w:t>
      </w:r>
      <w:r w:rsidR="009247ED" w:rsidRPr="00A241F5">
        <w:t xml:space="preserve">it is expected that relevant mechanisms and standards should be established in the legislative process to stipulate that the </w:t>
      </w:r>
      <w:r w:rsidR="009247ED" w:rsidRPr="00A241F5">
        <w:lastRenderedPageBreak/>
        <w:t xml:space="preserve">agreement may only be terminated ex parte by the terminating party on sufficient and reasonable grounds, in order to prevent unnecessary disputes arising </w:t>
      </w:r>
      <w:r w:rsidR="00FB3685" w:rsidRPr="00A241F5">
        <w:t xml:space="preserve">upon </w:t>
      </w:r>
      <w:r w:rsidR="009247ED" w:rsidRPr="00A241F5">
        <w:t>termination</w:t>
      </w:r>
      <w:r w:rsidRPr="00A241F5">
        <w:t>"</w:t>
      </w:r>
      <w:r w:rsidR="00923002" w:rsidRPr="00A241F5">
        <w:t>.</w:t>
      </w:r>
      <w:r w:rsidR="009247ED" w:rsidRPr="00A241F5">
        <w:t xml:space="preserve"> </w:t>
      </w:r>
    </w:p>
    <w:p w14:paraId="7436D2E9" w14:textId="77777777" w:rsidR="009247ED" w:rsidRPr="00A241F5" w:rsidRDefault="009247ED" w:rsidP="009247ED">
      <w:pPr>
        <w:widowControl/>
        <w:tabs>
          <w:tab w:val="clear" w:pos="1418"/>
          <w:tab w:val="left" w:pos="1440"/>
        </w:tabs>
        <w:rPr>
          <w:szCs w:val="28"/>
        </w:rPr>
      </w:pPr>
    </w:p>
    <w:p w14:paraId="76463B10" w14:textId="6E9E7D50" w:rsidR="009247ED" w:rsidRPr="00A241F5" w:rsidRDefault="00962649" w:rsidP="009247ED">
      <w:pPr>
        <w:widowControl/>
        <w:tabs>
          <w:tab w:val="clear" w:pos="1418"/>
          <w:tab w:val="left" w:pos="1440"/>
        </w:tabs>
        <w:rPr>
          <w:szCs w:val="28"/>
        </w:rPr>
      </w:pPr>
      <w:r w:rsidRPr="00A241F5">
        <w:rPr>
          <w:szCs w:val="28"/>
        </w:rPr>
        <w:t>9.</w:t>
      </w:r>
      <w:r w:rsidR="009247ED" w:rsidRPr="00A241F5">
        <w:rPr>
          <w:szCs w:val="28"/>
        </w:rPr>
        <w:t>1</w:t>
      </w:r>
      <w:r w:rsidR="003E1F3C" w:rsidRPr="00A241F5">
        <w:rPr>
          <w:szCs w:val="28"/>
        </w:rPr>
        <w:t>0</w:t>
      </w:r>
      <w:r w:rsidR="009247ED" w:rsidRPr="00A241F5">
        <w:rPr>
          <w:szCs w:val="28"/>
        </w:rPr>
        <w:tab/>
      </w:r>
      <w:r w:rsidR="00175CFB" w:rsidRPr="00A241F5">
        <w:rPr>
          <w:szCs w:val="28"/>
        </w:rPr>
        <w:t xml:space="preserve">A </w:t>
      </w:r>
      <w:r w:rsidR="009247ED" w:rsidRPr="00A241F5">
        <w:rPr>
          <w:szCs w:val="28"/>
        </w:rPr>
        <w:t xml:space="preserve">chamber of commerce agreed that </w:t>
      </w:r>
      <w:r w:rsidR="00C61F4B" w:rsidRPr="00A241F5">
        <w:rPr>
          <w:i/>
          <w:szCs w:val="28"/>
        </w:rPr>
        <w:t>"</w:t>
      </w:r>
      <w:r w:rsidR="009247ED" w:rsidRPr="00A241F5">
        <w:rPr>
          <w:i/>
          <w:szCs w:val="28"/>
        </w:rPr>
        <w:t xml:space="preserve">at least during the initial years of the new regime, it would be advisable to put in place certain safeguards, particularly to protect the interests of SMEs.  We agree with </w:t>
      </w:r>
      <w:r w:rsidR="009247ED" w:rsidRPr="00A241F5">
        <w:rPr>
          <w:szCs w:val="28"/>
        </w:rPr>
        <w:t>[</w:t>
      </w:r>
      <w:r w:rsidR="009247ED" w:rsidRPr="00A241F5">
        <w:rPr>
          <w:i/>
          <w:szCs w:val="28"/>
        </w:rPr>
        <w:t>the</w:t>
      </w:r>
      <w:r w:rsidR="009247ED" w:rsidRPr="00A241F5">
        <w:rPr>
          <w:szCs w:val="28"/>
        </w:rPr>
        <w:t>]</w:t>
      </w:r>
      <w:r w:rsidR="009247ED" w:rsidRPr="00A241F5">
        <w:rPr>
          <w:i/>
          <w:szCs w:val="28"/>
        </w:rPr>
        <w:t xml:space="preserve"> recommended safeguards</w:t>
      </w:r>
      <w:r w:rsidR="00923002" w:rsidRPr="00A241F5">
        <w:rPr>
          <w:szCs w:val="28"/>
        </w:rPr>
        <w:t>.</w:t>
      </w:r>
      <w:r w:rsidR="00C61F4B" w:rsidRPr="00A241F5">
        <w:rPr>
          <w:i/>
          <w:szCs w:val="28"/>
        </w:rPr>
        <w:t>"</w:t>
      </w:r>
    </w:p>
    <w:p w14:paraId="7F54CFEB" w14:textId="77777777" w:rsidR="009247ED" w:rsidRPr="00A241F5" w:rsidRDefault="009247ED" w:rsidP="009247ED">
      <w:pPr>
        <w:widowControl/>
        <w:tabs>
          <w:tab w:val="clear" w:pos="1418"/>
          <w:tab w:val="left" w:pos="1440"/>
        </w:tabs>
        <w:rPr>
          <w:szCs w:val="28"/>
        </w:rPr>
      </w:pPr>
    </w:p>
    <w:p w14:paraId="73B954FE" w14:textId="7D780850" w:rsidR="009247ED" w:rsidRPr="00A241F5" w:rsidRDefault="009247ED" w:rsidP="009247ED">
      <w:pPr>
        <w:rPr>
          <w:i/>
          <w:szCs w:val="28"/>
          <w:lang w:eastAsia="zh-HK"/>
        </w:rPr>
      </w:pPr>
      <w:r w:rsidRPr="00A241F5">
        <w:rPr>
          <w:i/>
          <w:szCs w:val="28"/>
        </w:rPr>
        <w:t>Comments from Respondents who opposed Recommendation 8(</w:t>
      </w:r>
      <w:r w:rsidRPr="00A241F5">
        <w:rPr>
          <w:i/>
          <w:szCs w:val="28"/>
          <w:lang w:eastAsia="zh-HK"/>
        </w:rPr>
        <w:t>a)</w:t>
      </w:r>
    </w:p>
    <w:p w14:paraId="27FE8066" w14:textId="77777777" w:rsidR="009247ED" w:rsidRPr="00A241F5" w:rsidRDefault="009247ED" w:rsidP="009247ED">
      <w:pPr>
        <w:rPr>
          <w:b/>
          <w:i/>
          <w:szCs w:val="28"/>
        </w:rPr>
      </w:pPr>
    </w:p>
    <w:p w14:paraId="699080B9" w14:textId="6074F71C" w:rsidR="009247ED" w:rsidRPr="00A241F5" w:rsidRDefault="00962649" w:rsidP="009247ED">
      <w:pPr>
        <w:widowControl/>
        <w:tabs>
          <w:tab w:val="clear" w:pos="1418"/>
          <w:tab w:val="left" w:pos="1440"/>
        </w:tabs>
        <w:rPr>
          <w:szCs w:val="28"/>
        </w:rPr>
      </w:pPr>
      <w:r w:rsidRPr="00A241F5">
        <w:rPr>
          <w:szCs w:val="28"/>
        </w:rPr>
        <w:t>9.</w:t>
      </w:r>
      <w:r w:rsidR="009247ED" w:rsidRPr="00A241F5">
        <w:rPr>
          <w:szCs w:val="28"/>
        </w:rPr>
        <w:t>1</w:t>
      </w:r>
      <w:r w:rsidR="003E1F3C" w:rsidRPr="00A241F5">
        <w:rPr>
          <w:szCs w:val="28"/>
        </w:rPr>
        <w:t>1</w:t>
      </w:r>
      <w:r w:rsidR="009247ED" w:rsidRPr="00A241F5">
        <w:rPr>
          <w:szCs w:val="28"/>
        </w:rPr>
        <w:tab/>
        <w:t xml:space="preserve">There were no specific objections to Recommendation 8(a). </w:t>
      </w:r>
    </w:p>
    <w:p w14:paraId="67A737D5" w14:textId="77777777" w:rsidR="009247ED" w:rsidRPr="00A241F5" w:rsidRDefault="009247ED" w:rsidP="009247ED">
      <w:pPr>
        <w:rPr>
          <w:b/>
          <w:i/>
          <w:szCs w:val="28"/>
        </w:rPr>
      </w:pPr>
    </w:p>
    <w:p w14:paraId="1515E589" w14:textId="77777777" w:rsidR="009247ED" w:rsidRPr="00A241F5" w:rsidRDefault="009247ED" w:rsidP="009247ED">
      <w:pPr>
        <w:rPr>
          <w:b/>
          <w:i/>
          <w:szCs w:val="28"/>
        </w:rPr>
      </w:pPr>
    </w:p>
    <w:p w14:paraId="0413759E" w14:textId="77777777" w:rsidR="009247ED" w:rsidRPr="00A241F5" w:rsidRDefault="009247ED" w:rsidP="009247ED">
      <w:pPr>
        <w:keepNext/>
        <w:keepLines/>
        <w:rPr>
          <w:i/>
        </w:rPr>
      </w:pPr>
      <w:r w:rsidRPr="00A241F5">
        <w:rPr>
          <w:b/>
          <w:i/>
          <w:szCs w:val="28"/>
        </w:rPr>
        <w:t>Our analysis and response on Recommendation 8(a)</w:t>
      </w:r>
    </w:p>
    <w:p w14:paraId="7993CE64" w14:textId="77777777" w:rsidR="009247ED" w:rsidRPr="00A241F5" w:rsidRDefault="009247ED" w:rsidP="009247ED">
      <w:pPr>
        <w:keepNext/>
        <w:keepLines/>
        <w:tabs>
          <w:tab w:val="clear" w:pos="1418"/>
          <w:tab w:val="left" w:pos="1440"/>
        </w:tabs>
        <w:rPr>
          <w:rFonts w:cs="Arial"/>
        </w:rPr>
      </w:pPr>
    </w:p>
    <w:p w14:paraId="3661C1AC" w14:textId="64984E70" w:rsidR="009247ED" w:rsidRPr="00A241F5" w:rsidRDefault="00962649" w:rsidP="009247ED">
      <w:pPr>
        <w:widowControl/>
        <w:tabs>
          <w:tab w:val="clear" w:pos="1418"/>
          <w:tab w:val="left" w:pos="1440"/>
        </w:tabs>
        <w:rPr>
          <w:rFonts w:eastAsia="DengXian" w:cs="Arial"/>
          <w:i/>
          <w:lang w:eastAsia="zh-CN"/>
        </w:rPr>
      </w:pPr>
      <w:r w:rsidRPr="00A241F5">
        <w:rPr>
          <w:rFonts w:eastAsia="DengXian" w:cs="Arial"/>
          <w:lang w:eastAsia="zh-CN"/>
        </w:rPr>
        <w:t>9.</w:t>
      </w:r>
      <w:r w:rsidR="009247ED" w:rsidRPr="00A241F5">
        <w:rPr>
          <w:rFonts w:eastAsia="DengXian" w:cs="Arial"/>
          <w:lang w:eastAsia="zh-CN"/>
        </w:rPr>
        <w:t>1</w:t>
      </w:r>
      <w:r w:rsidR="003E1F3C" w:rsidRPr="00A241F5">
        <w:rPr>
          <w:rFonts w:eastAsia="DengXian" w:cs="Arial"/>
          <w:lang w:eastAsia="zh-CN"/>
        </w:rPr>
        <w:t>2</w:t>
      </w:r>
      <w:r w:rsidR="009247ED" w:rsidRPr="00A241F5">
        <w:rPr>
          <w:rFonts w:eastAsia="DengXian" w:cs="Arial" w:hint="eastAsia"/>
          <w:lang w:eastAsia="zh-CN"/>
        </w:rPr>
        <w:tab/>
      </w:r>
      <w:r w:rsidR="009247ED" w:rsidRPr="00A241F5">
        <w:rPr>
          <w:rFonts w:eastAsia="DengXian" w:cs="Arial"/>
          <w:lang w:eastAsia="zh-CN"/>
        </w:rPr>
        <w:t xml:space="preserve">There is overwhelming support from the public and the professional bodies that parties should be able to specify in their CFAs, DBAs, or Hybrid DBAs the circumstances in which a Lawyer </w:t>
      </w:r>
      <w:r w:rsidR="009247ED" w:rsidRPr="00A241F5">
        <w:rPr>
          <w:rFonts w:eastAsia="DengXian" w:cs="Arial"/>
          <w:i/>
          <w:lang w:eastAsia="zh-CN"/>
        </w:rPr>
        <w:t>or</w:t>
      </w:r>
      <w:r w:rsidR="009247ED" w:rsidRPr="00A241F5">
        <w:rPr>
          <w:rFonts w:eastAsia="DengXian" w:cs="Arial"/>
          <w:lang w:eastAsia="zh-CN"/>
        </w:rPr>
        <w:t xml:space="preserve"> client is entitled to terminate the fee agreement prior to the conclusion of the Arbitration.  We agree, noting that this is consistent with the principles of freedom of contract and party autonomy, and also provides clarity and certainty about the circumstances when ORFS arrangements for Arbitration can be brought to an end.  As one Government department noted, termination provisions are common in ordinary contracts, and they </w:t>
      </w:r>
      <w:r w:rsidR="00C61F4B" w:rsidRPr="00A241F5">
        <w:rPr>
          <w:rFonts w:eastAsia="DengXian" w:cs="Arial"/>
          <w:i/>
          <w:lang w:eastAsia="zh-CN"/>
        </w:rPr>
        <w:t>"</w:t>
      </w:r>
      <w:r w:rsidR="009247ED" w:rsidRPr="00A241F5">
        <w:rPr>
          <w:rFonts w:eastAsia="DengXian" w:cs="Arial"/>
          <w:i/>
          <w:lang w:eastAsia="zh-CN"/>
        </w:rPr>
        <w:t>define the circumstances under which agreements can be terminated, for the sake of certainty</w:t>
      </w:r>
      <w:r w:rsidR="00C61F4B" w:rsidRPr="00A241F5">
        <w:rPr>
          <w:rFonts w:eastAsia="DengXian" w:cs="Arial"/>
          <w:i/>
          <w:lang w:eastAsia="zh-CN"/>
        </w:rPr>
        <w:t>"</w:t>
      </w:r>
      <w:r w:rsidR="00923002" w:rsidRPr="00A241F5">
        <w:rPr>
          <w:rFonts w:eastAsia="DengXian" w:cs="Arial"/>
          <w:lang w:eastAsia="zh-CN"/>
        </w:rPr>
        <w:t>.</w:t>
      </w:r>
    </w:p>
    <w:p w14:paraId="5F4FBA53" w14:textId="77777777" w:rsidR="009247ED" w:rsidRPr="00A241F5" w:rsidRDefault="009247ED" w:rsidP="009247ED">
      <w:pPr>
        <w:widowControl/>
        <w:tabs>
          <w:tab w:val="clear" w:pos="1418"/>
          <w:tab w:val="left" w:pos="1440"/>
        </w:tabs>
        <w:rPr>
          <w:rFonts w:eastAsia="DengXian" w:cs="Arial"/>
          <w:lang w:eastAsia="zh-CN"/>
        </w:rPr>
      </w:pPr>
    </w:p>
    <w:p w14:paraId="10ABF000" w14:textId="5A95E8F6" w:rsidR="009247ED" w:rsidRPr="00A241F5" w:rsidRDefault="00962649" w:rsidP="009247ED">
      <w:pPr>
        <w:widowControl/>
        <w:tabs>
          <w:tab w:val="clear" w:pos="1418"/>
          <w:tab w:val="left" w:pos="1440"/>
        </w:tabs>
        <w:rPr>
          <w:rFonts w:eastAsia="DengXian" w:cs="Arial"/>
          <w:lang w:eastAsia="zh-CN"/>
        </w:rPr>
      </w:pPr>
      <w:r w:rsidRPr="00A241F5">
        <w:rPr>
          <w:rFonts w:eastAsia="DengXian" w:cs="Arial"/>
          <w:lang w:eastAsia="zh-CN"/>
        </w:rPr>
        <w:t>9.</w:t>
      </w:r>
      <w:r w:rsidR="009247ED" w:rsidRPr="00A241F5">
        <w:rPr>
          <w:rFonts w:eastAsia="DengXian" w:cs="Arial"/>
          <w:lang w:eastAsia="zh-CN"/>
        </w:rPr>
        <w:t>1</w:t>
      </w:r>
      <w:r w:rsidR="003E1F3C" w:rsidRPr="00A241F5">
        <w:rPr>
          <w:rFonts w:eastAsia="DengXian" w:cs="Arial"/>
          <w:lang w:eastAsia="zh-CN"/>
        </w:rPr>
        <w:t>3</w:t>
      </w:r>
      <w:r w:rsidR="009247ED" w:rsidRPr="00A241F5">
        <w:rPr>
          <w:rFonts w:eastAsia="DengXian" w:cs="Arial"/>
          <w:lang w:eastAsia="zh-CN"/>
        </w:rPr>
        <w:tab/>
        <w:t>In terms of what those grounds for termination are, a small number of Respondents considered that the grounds for termination were not a matter for legislation at all, and should be entirely a matter for negotiation between clients and Lawyers.  As these Respondents acknowledged, however, the difficulty with this is that if the parties are unable to agree on the grounds for termination, whether in the initial arrangement or subsequently, neither party will be able to terminate.</w:t>
      </w:r>
      <w:r w:rsidR="009247ED" w:rsidRPr="00A241F5">
        <w:rPr>
          <w:rStyle w:val="FootnoteReference"/>
          <w:rFonts w:eastAsia="DengXian" w:cs="Arial"/>
          <w:sz w:val="24"/>
          <w:lang w:eastAsia="zh-CN"/>
        </w:rPr>
        <w:footnoteReference w:id="48"/>
      </w:r>
      <w:r w:rsidR="009247ED" w:rsidRPr="00A241F5">
        <w:rPr>
          <w:rFonts w:eastAsia="DengXian" w:cs="Arial"/>
          <w:lang w:eastAsia="zh-CN"/>
        </w:rPr>
        <w:t xml:space="preserve">    </w:t>
      </w:r>
    </w:p>
    <w:p w14:paraId="2F22EE6B" w14:textId="77777777" w:rsidR="009247ED" w:rsidRPr="00A241F5" w:rsidRDefault="009247ED" w:rsidP="009247ED">
      <w:pPr>
        <w:widowControl/>
        <w:tabs>
          <w:tab w:val="clear" w:pos="1418"/>
          <w:tab w:val="left" w:pos="1440"/>
        </w:tabs>
        <w:rPr>
          <w:rFonts w:eastAsia="DengXian" w:cs="Arial"/>
          <w:lang w:eastAsia="zh-CN"/>
        </w:rPr>
      </w:pPr>
    </w:p>
    <w:p w14:paraId="5721F729" w14:textId="45AA8A7E" w:rsidR="005313CA" w:rsidRPr="00A241F5" w:rsidRDefault="00962649" w:rsidP="009247ED">
      <w:pPr>
        <w:widowControl/>
        <w:tabs>
          <w:tab w:val="clear" w:pos="1418"/>
          <w:tab w:val="left" w:pos="1440"/>
        </w:tabs>
        <w:rPr>
          <w:rFonts w:eastAsia="DengXian" w:cs="Arial"/>
          <w:lang w:eastAsia="zh-CN"/>
        </w:rPr>
      </w:pPr>
      <w:r w:rsidRPr="00A241F5">
        <w:rPr>
          <w:rFonts w:eastAsia="DengXian" w:cs="Arial"/>
          <w:lang w:eastAsia="zh-CN"/>
        </w:rPr>
        <w:t>9.</w:t>
      </w:r>
      <w:r w:rsidR="009247ED" w:rsidRPr="00A241F5">
        <w:rPr>
          <w:rFonts w:eastAsia="DengXian" w:cs="Arial"/>
          <w:lang w:eastAsia="zh-CN"/>
        </w:rPr>
        <w:t>1</w:t>
      </w:r>
      <w:r w:rsidR="003E1F3C" w:rsidRPr="00A241F5">
        <w:rPr>
          <w:rFonts w:eastAsia="DengXian" w:cs="Arial"/>
          <w:lang w:eastAsia="zh-CN"/>
        </w:rPr>
        <w:t>4</w:t>
      </w:r>
      <w:r w:rsidR="009247ED" w:rsidRPr="00A241F5">
        <w:rPr>
          <w:rFonts w:eastAsia="DengXian" w:cs="Arial"/>
          <w:lang w:eastAsia="zh-CN"/>
        </w:rPr>
        <w:tab/>
        <w:t>A more common view expressed by Respondents was that the general principles for termination should be regulated and provided for within the statutory regime, as a way of providing safeguards to stakeholders and enhancing clarity.  Examples given included permitting the Lawyer to terminate when a client has behaved or is behaving unreasonably.  Another Respondent stated that</w:t>
      </w:r>
      <w:r w:rsidR="008F0319" w:rsidRPr="00A241F5">
        <w:rPr>
          <w:rFonts w:eastAsia="DengXian" w:cs="Arial"/>
          <w:lang w:eastAsia="zh-CN"/>
        </w:rPr>
        <w:t>:</w:t>
      </w:r>
    </w:p>
    <w:p w14:paraId="196A35A7" w14:textId="77777777" w:rsidR="005313CA" w:rsidRPr="00A241F5" w:rsidRDefault="005313CA" w:rsidP="009247ED">
      <w:pPr>
        <w:widowControl/>
        <w:tabs>
          <w:tab w:val="clear" w:pos="1418"/>
          <w:tab w:val="left" w:pos="1440"/>
        </w:tabs>
        <w:rPr>
          <w:rFonts w:eastAsia="DengXian" w:cs="Arial"/>
          <w:lang w:eastAsia="zh-CN"/>
        </w:rPr>
      </w:pPr>
    </w:p>
    <w:p w14:paraId="6A213E1C" w14:textId="302088A7" w:rsidR="009247ED" w:rsidRPr="00A241F5" w:rsidRDefault="00C61F4B" w:rsidP="005313CA">
      <w:pPr>
        <w:pStyle w:val="BlockText"/>
        <w:rPr>
          <w:lang w:eastAsia="zh-CN"/>
        </w:rPr>
      </w:pPr>
      <w:r w:rsidRPr="00A241F5">
        <w:rPr>
          <w:lang w:eastAsia="zh-CN"/>
        </w:rPr>
        <w:t>"</w:t>
      </w:r>
      <w:r w:rsidR="00530EFB" w:rsidRPr="00A241F5">
        <w:rPr>
          <w:lang w:eastAsia="zh-CN"/>
        </w:rPr>
        <w:t xml:space="preserve">… </w:t>
      </w:r>
      <w:r w:rsidR="009247ED" w:rsidRPr="00A241F5">
        <w:rPr>
          <w:lang w:eastAsia="zh-CN"/>
        </w:rPr>
        <w:t>relevant mechanisms and standards should be established in the legislative process to stipulate that the agreement may only be terminated ex parte by the terminating party on sufficient and reasonable grounds, in order to prevent unnecessary disputes arising upon termination</w:t>
      </w:r>
      <w:r w:rsidRPr="00A241F5">
        <w:rPr>
          <w:lang w:eastAsia="zh-CN"/>
        </w:rPr>
        <w:t>"</w:t>
      </w:r>
      <w:r w:rsidR="00923002" w:rsidRPr="00A241F5">
        <w:rPr>
          <w:lang w:eastAsia="zh-CN"/>
        </w:rPr>
        <w:t>.</w:t>
      </w:r>
      <w:r w:rsidR="009247ED" w:rsidRPr="00A241F5">
        <w:rPr>
          <w:lang w:eastAsia="zh-CN"/>
        </w:rPr>
        <w:t xml:space="preserve"> </w:t>
      </w:r>
    </w:p>
    <w:p w14:paraId="18589DB4" w14:textId="77777777" w:rsidR="009247ED" w:rsidRPr="00A241F5" w:rsidRDefault="009247ED" w:rsidP="009247ED">
      <w:pPr>
        <w:widowControl/>
        <w:tabs>
          <w:tab w:val="clear" w:pos="1418"/>
          <w:tab w:val="left" w:pos="1440"/>
        </w:tabs>
        <w:rPr>
          <w:rFonts w:eastAsia="DengXian" w:cs="Arial"/>
          <w:lang w:eastAsia="zh-CN"/>
        </w:rPr>
      </w:pPr>
    </w:p>
    <w:p w14:paraId="0950EF2D" w14:textId="64E043BB" w:rsidR="009247ED" w:rsidRPr="00A241F5" w:rsidRDefault="009247ED" w:rsidP="009247ED">
      <w:pPr>
        <w:widowControl/>
        <w:tabs>
          <w:tab w:val="clear" w:pos="1418"/>
          <w:tab w:val="left" w:pos="1440"/>
        </w:tabs>
        <w:rPr>
          <w:rFonts w:eastAsia="DengXian" w:cs="Arial"/>
          <w:lang w:eastAsia="zh-CN"/>
        </w:rPr>
      </w:pPr>
      <w:r w:rsidRPr="00A241F5">
        <w:rPr>
          <w:rFonts w:eastAsia="DengXian" w:cs="Arial"/>
          <w:lang w:eastAsia="zh-CN"/>
        </w:rPr>
        <w:lastRenderedPageBreak/>
        <w:tab/>
        <w:t xml:space="preserve"> </w:t>
      </w:r>
    </w:p>
    <w:p w14:paraId="7B504683" w14:textId="7A9D1E5D" w:rsidR="005313CA" w:rsidRPr="00A241F5" w:rsidRDefault="00962649" w:rsidP="009247ED">
      <w:pPr>
        <w:widowControl/>
        <w:tabs>
          <w:tab w:val="clear" w:pos="1418"/>
          <w:tab w:val="left" w:pos="1440"/>
        </w:tabs>
        <w:rPr>
          <w:rFonts w:eastAsia="DengXian" w:cs="Arial"/>
          <w:lang w:eastAsia="zh-CN"/>
        </w:rPr>
      </w:pPr>
      <w:r w:rsidRPr="00A241F5">
        <w:rPr>
          <w:rFonts w:eastAsia="DengXian" w:cs="Arial"/>
          <w:lang w:eastAsia="zh-CN"/>
        </w:rPr>
        <w:t>9.</w:t>
      </w:r>
      <w:r w:rsidR="009247ED" w:rsidRPr="00A241F5">
        <w:rPr>
          <w:rFonts w:eastAsia="DengXian" w:cs="Arial"/>
          <w:lang w:eastAsia="zh-CN"/>
        </w:rPr>
        <w:t>1</w:t>
      </w:r>
      <w:r w:rsidR="005956EE" w:rsidRPr="00A241F5">
        <w:rPr>
          <w:rFonts w:eastAsia="DengXian" w:cs="Arial"/>
          <w:lang w:eastAsia="zh-CN"/>
        </w:rPr>
        <w:t>5</w:t>
      </w:r>
      <w:r w:rsidR="009247ED" w:rsidRPr="00A241F5">
        <w:rPr>
          <w:rFonts w:eastAsia="DengXian" w:cs="Arial"/>
          <w:lang w:eastAsia="zh-CN"/>
        </w:rPr>
        <w:tab/>
      </w:r>
      <w:r w:rsidR="005956EE" w:rsidRPr="00A241F5">
        <w:rPr>
          <w:rFonts w:eastAsia="DengXian" w:cs="Arial"/>
          <w:lang w:eastAsia="zh-CN"/>
        </w:rPr>
        <w:t>T</w:t>
      </w:r>
      <w:r w:rsidR="009247ED" w:rsidRPr="00A241F5">
        <w:rPr>
          <w:rFonts w:eastAsia="DengXian" w:cs="Arial"/>
          <w:lang w:eastAsia="zh-CN"/>
        </w:rPr>
        <w:t xml:space="preserve">he majority of those who responded were of the firm view that the statutory grounds for termination should not be exhaustive.  As one Respondent explained, </w:t>
      </w:r>
    </w:p>
    <w:p w14:paraId="620D49C0" w14:textId="77777777" w:rsidR="005313CA" w:rsidRPr="00A241F5" w:rsidRDefault="005313CA" w:rsidP="009247ED">
      <w:pPr>
        <w:widowControl/>
        <w:tabs>
          <w:tab w:val="clear" w:pos="1418"/>
          <w:tab w:val="left" w:pos="1440"/>
        </w:tabs>
        <w:rPr>
          <w:rFonts w:eastAsia="DengXian" w:cs="Arial"/>
          <w:lang w:eastAsia="zh-CN"/>
        </w:rPr>
      </w:pPr>
    </w:p>
    <w:p w14:paraId="00F44D4B" w14:textId="34D87238" w:rsidR="009247ED" w:rsidRPr="00A241F5" w:rsidRDefault="00C61F4B" w:rsidP="005313CA">
      <w:pPr>
        <w:pStyle w:val="BlockText"/>
        <w:rPr>
          <w:lang w:eastAsia="zh-CN"/>
        </w:rPr>
      </w:pPr>
      <w:r w:rsidRPr="00A241F5">
        <w:rPr>
          <w:lang w:eastAsia="zh-CN"/>
        </w:rPr>
        <w:t>"</w:t>
      </w:r>
      <w:r w:rsidR="009E2A67" w:rsidRPr="00A241F5">
        <w:rPr>
          <w:lang w:eastAsia="zh-CN"/>
        </w:rPr>
        <w:t>…</w:t>
      </w:r>
      <w:r w:rsidR="008D61D3" w:rsidRPr="00A241F5">
        <w:rPr>
          <w:lang w:eastAsia="zh-CN"/>
        </w:rPr>
        <w:t xml:space="preserve"> </w:t>
      </w:r>
      <w:r w:rsidR="009247ED" w:rsidRPr="00A241F5">
        <w:rPr>
          <w:lang w:eastAsia="zh-CN"/>
        </w:rPr>
        <w:t>different arrangements may entail different risk profiles, and each engagement would be highly sensitive to its facts.  As such, lawyers and clients should be free to negotiate and agree additional grounds upon which a lawyer may be able to terminate, beyond those that will eventually be provided for</w:t>
      </w:r>
      <w:r w:rsidR="00923002" w:rsidRPr="00A241F5">
        <w:rPr>
          <w:lang w:eastAsia="zh-CN"/>
        </w:rPr>
        <w:t>.</w:t>
      </w:r>
      <w:r w:rsidRPr="00A241F5">
        <w:rPr>
          <w:lang w:eastAsia="zh-CN"/>
        </w:rPr>
        <w:t>"</w:t>
      </w:r>
    </w:p>
    <w:p w14:paraId="3745F5B6" w14:textId="77777777" w:rsidR="009247ED" w:rsidRPr="00A241F5" w:rsidRDefault="009247ED" w:rsidP="009247ED">
      <w:pPr>
        <w:widowControl/>
        <w:tabs>
          <w:tab w:val="clear" w:pos="1418"/>
          <w:tab w:val="left" w:pos="1440"/>
        </w:tabs>
        <w:rPr>
          <w:rFonts w:eastAsia="DengXian" w:cs="Arial"/>
          <w:lang w:eastAsia="zh-CN"/>
        </w:rPr>
      </w:pPr>
    </w:p>
    <w:p w14:paraId="11F01B31" w14:textId="47282A7D" w:rsidR="009247ED" w:rsidRPr="00A241F5" w:rsidRDefault="00962649" w:rsidP="009247ED">
      <w:pPr>
        <w:widowControl/>
        <w:tabs>
          <w:tab w:val="clear" w:pos="1418"/>
          <w:tab w:val="left" w:pos="1440"/>
        </w:tabs>
        <w:rPr>
          <w:rFonts w:eastAsia="DengXian" w:cs="Arial"/>
          <w:lang w:eastAsia="zh-CN"/>
        </w:rPr>
      </w:pPr>
      <w:r w:rsidRPr="00A241F5">
        <w:rPr>
          <w:rFonts w:eastAsia="DengXian" w:cs="Arial"/>
          <w:lang w:eastAsia="zh-CN"/>
        </w:rPr>
        <w:t>9.</w:t>
      </w:r>
      <w:r w:rsidR="009247ED" w:rsidRPr="00A241F5">
        <w:rPr>
          <w:rFonts w:eastAsia="DengXian" w:cs="Arial"/>
          <w:lang w:eastAsia="zh-CN"/>
        </w:rPr>
        <w:t>1</w:t>
      </w:r>
      <w:r w:rsidR="005956EE" w:rsidRPr="00A241F5">
        <w:rPr>
          <w:rFonts w:eastAsia="DengXian" w:cs="Arial"/>
          <w:lang w:eastAsia="zh-CN"/>
        </w:rPr>
        <w:t>6</w:t>
      </w:r>
      <w:r w:rsidR="009247ED" w:rsidRPr="00A241F5">
        <w:rPr>
          <w:rFonts w:eastAsia="DengXian" w:cs="Arial"/>
          <w:lang w:eastAsia="zh-CN"/>
        </w:rPr>
        <w:tab/>
        <w:t xml:space="preserve">Another Respondent agreed, noting that, </w:t>
      </w:r>
      <w:r w:rsidR="00C61F4B" w:rsidRPr="00A241F5">
        <w:rPr>
          <w:rFonts w:eastAsia="DengXian" w:cs="Arial"/>
          <w:i/>
          <w:lang w:eastAsia="zh-CN"/>
        </w:rPr>
        <w:t>"</w:t>
      </w:r>
      <w:r w:rsidR="009247ED" w:rsidRPr="00A241F5">
        <w:rPr>
          <w:rFonts w:eastAsia="DengXian" w:cs="Arial"/>
          <w:i/>
          <w:lang w:eastAsia="zh-CN"/>
        </w:rPr>
        <w:t>at least during the initial years of the new regime, it would be advisable to put in place certain safeguards, particularly to protect the interests of SMEs</w:t>
      </w:r>
      <w:r w:rsidR="00C61F4B" w:rsidRPr="00A241F5">
        <w:rPr>
          <w:rFonts w:eastAsia="DengXian" w:cs="Arial"/>
          <w:i/>
          <w:lang w:eastAsia="zh-CN"/>
        </w:rPr>
        <w:t>"</w:t>
      </w:r>
      <w:r w:rsidR="009247ED" w:rsidRPr="00A241F5">
        <w:rPr>
          <w:rFonts w:eastAsia="DengXian" w:cs="Arial"/>
          <w:lang w:eastAsia="zh-CN"/>
        </w:rPr>
        <w:t xml:space="preserve"> but that, under the principle of freedom of contract, </w:t>
      </w:r>
      <w:r w:rsidR="00C61F4B" w:rsidRPr="00A241F5">
        <w:rPr>
          <w:rFonts w:eastAsia="DengXian" w:cs="Arial"/>
          <w:i/>
          <w:lang w:eastAsia="zh-CN"/>
        </w:rPr>
        <w:t>"</w:t>
      </w:r>
      <w:r w:rsidR="009247ED" w:rsidRPr="00A241F5">
        <w:rPr>
          <w:rFonts w:eastAsia="DengXian" w:cs="Arial"/>
          <w:i/>
          <w:lang w:eastAsia="zh-CN"/>
        </w:rPr>
        <w:t>businesses should generally be free to negotiate the terms of their agreement, including fees, with their lawyers, free of legislative intervention</w:t>
      </w:r>
      <w:r w:rsidR="00C61F4B" w:rsidRPr="00A241F5">
        <w:rPr>
          <w:rFonts w:eastAsia="DengXian" w:cs="Arial"/>
          <w:i/>
          <w:lang w:eastAsia="zh-CN"/>
        </w:rPr>
        <w:t>"</w:t>
      </w:r>
      <w:r w:rsidR="009247ED" w:rsidRPr="00A241F5">
        <w:rPr>
          <w:rFonts w:eastAsia="DengXian" w:cs="Arial"/>
          <w:lang w:eastAsia="zh-CN"/>
        </w:rPr>
        <w:t>.</w:t>
      </w:r>
    </w:p>
    <w:p w14:paraId="434FDE19" w14:textId="77777777" w:rsidR="009247ED" w:rsidRPr="00A241F5" w:rsidRDefault="009247ED" w:rsidP="009247ED">
      <w:pPr>
        <w:widowControl/>
        <w:tabs>
          <w:tab w:val="clear" w:pos="1418"/>
          <w:tab w:val="left" w:pos="1440"/>
        </w:tabs>
        <w:rPr>
          <w:rFonts w:eastAsia="DengXian" w:cs="Arial"/>
          <w:lang w:eastAsia="zh-CN"/>
        </w:rPr>
      </w:pPr>
    </w:p>
    <w:p w14:paraId="6A0840DE" w14:textId="457DFAB1" w:rsidR="009247ED" w:rsidRPr="00A241F5" w:rsidRDefault="00962649" w:rsidP="009247ED">
      <w:pPr>
        <w:widowControl/>
        <w:tabs>
          <w:tab w:val="clear" w:pos="1418"/>
          <w:tab w:val="left" w:pos="1440"/>
        </w:tabs>
        <w:rPr>
          <w:rFonts w:eastAsia="DengXian" w:cs="Arial"/>
          <w:lang w:eastAsia="zh-CN"/>
        </w:rPr>
      </w:pPr>
      <w:r w:rsidRPr="00A241F5">
        <w:rPr>
          <w:rFonts w:eastAsia="DengXian" w:cs="Arial"/>
          <w:lang w:eastAsia="zh-CN"/>
        </w:rPr>
        <w:t>9.</w:t>
      </w:r>
      <w:r w:rsidR="009247ED" w:rsidRPr="00A241F5">
        <w:rPr>
          <w:rFonts w:eastAsia="DengXian" w:cs="Arial"/>
          <w:lang w:eastAsia="zh-CN"/>
        </w:rPr>
        <w:t>1</w:t>
      </w:r>
      <w:r w:rsidR="005956EE" w:rsidRPr="00A241F5">
        <w:rPr>
          <w:rFonts w:eastAsia="DengXian" w:cs="Arial"/>
          <w:lang w:eastAsia="zh-CN"/>
        </w:rPr>
        <w:t>7</w:t>
      </w:r>
      <w:r w:rsidR="009247ED" w:rsidRPr="00A241F5">
        <w:rPr>
          <w:rFonts w:eastAsia="DengXian" w:cs="Arial"/>
          <w:lang w:eastAsia="zh-CN"/>
        </w:rPr>
        <w:tab/>
        <w:t xml:space="preserve">We have considered these responses, and the views expressed.  We agree that the relevant legislation should specify the principal grounds upon which an ORFS can be terminated by the Lawyer.  This will provide the primary safeguards highlighted by the Respondents.  We also see no reason to differentiate between CFAs, DBAs and Hybrid DBAs in this respect.  However, we do not consider it necessary to set out statutory grounds on which a client may terminate an ORFS arrangement for Arbitration.  Consistent with the regime proposed in the English </w:t>
      </w:r>
      <w:r w:rsidR="009247ED" w:rsidRPr="00A241F5">
        <w:t xml:space="preserve">redrafted Damages-Based Agreements Regulations 2019 proposed in the </w:t>
      </w:r>
      <w:r w:rsidR="009247ED" w:rsidRPr="00A241F5">
        <w:rPr>
          <w:lang w:eastAsia="zh-HK"/>
        </w:rPr>
        <w:t>2019 DBA Reform Project</w:t>
      </w:r>
      <w:r w:rsidR="009247ED" w:rsidRPr="00A241F5">
        <w:rPr>
          <w:rFonts w:eastAsia="DengXian" w:cs="Arial"/>
          <w:lang w:eastAsia="zh-CN"/>
        </w:rPr>
        <w:t xml:space="preserve"> (</w:t>
      </w:r>
      <w:r w:rsidR="00C61F4B" w:rsidRPr="00A241F5">
        <w:rPr>
          <w:rFonts w:eastAsia="DengXian" w:cs="Arial"/>
          <w:lang w:eastAsia="zh-CN"/>
        </w:rPr>
        <w:t>"</w:t>
      </w:r>
      <w:r w:rsidR="009247ED" w:rsidRPr="00A241F5">
        <w:rPr>
          <w:rFonts w:eastAsia="DengXian" w:cs="Arial"/>
          <w:b/>
          <w:lang w:eastAsia="zh-CN"/>
        </w:rPr>
        <w:t>Redrafted 2019 DBA Regulations</w:t>
      </w:r>
      <w:r w:rsidR="00C61F4B" w:rsidRPr="00A241F5">
        <w:rPr>
          <w:rFonts w:eastAsia="DengXian" w:cs="Arial"/>
          <w:lang w:eastAsia="zh-CN"/>
        </w:rPr>
        <w:t>"</w:t>
      </w:r>
      <w:r w:rsidR="009247ED" w:rsidRPr="00A241F5">
        <w:rPr>
          <w:rFonts w:eastAsia="DengXian" w:cs="Arial"/>
          <w:lang w:eastAsia="zh-CN"/>
        </w:rPr>
        <w:t>), we consider that the grounds for termination by the client should be purely a matter for agreement with the Lawyer in accordance with basic contractual principles, so as to provide maximum flexibility for the benefit of the client.</w:t>
      </w:r>
    </w:p>
    <w:p w14:paraId="59AD720B" w14:textId="77777777" w:rsidR="009247ED" w:rsidRPr="00A241F5" w:rsidRDefault="009247ED" w:rsidP="009247ED">
      <w:pPr>
        <w:widowControl/>
        <w:tabs>
          <w:tab w:val="clear" w:pos="1418"/>
          <w:tab w:val="left" w:pos="1440"/>
        </w:tabs>
        <w:rPr>
          <w:rFonts w:eastAsia="DengXian" w:cs="Arial"/>
          <w:lang w:eastAsia="zh-CN"/>
        </w:rPr>
      </w:pPr>
    </w:p>
    <w:p w14:paraId="6DFCF153" w14:textId="04124E9E" w:rsidR="009247ED" w:rsidRPr="00A241F5" w:rsidRDefault="00962649" w:rsidP="009247ED">
      <w:pPr>
        <w:widowControl/>
        <w:tabs>
          <w:tab w:val="clear" w:pos="1418"/>
          <w:tab w:val="left" w:pos="1440"/>
        </w:tabs>
        <w:rPr>
          <w:rFonts w:eastAsia="DengXian" w:cs="Arial"/>
          <w:lang w:eastAsia="zh-CN"/>
        </w:rPr>
      </w:pPr>
      <w:r w:rsidRPr="00A241F5">
        <w:rPr>
          <w:rFonts w:eastAsia="DengXian" w:cs="Arial"/>
          <w:lang w:eastAsia="zh-CN"/>
        </w:rPr>
        <w:t>9.</w:t>
      </w:r>
      <w:r w:rsidR="003E1F3C" w:rsidRPr="00A241F5">
        <w:rPr>
          <w:rFonts w:eastAsia="DengXian" w:cs="Arial"/>
          <w:lang w:eastAsia="zh-CN"/>
        </w:rPr>
        <w:t>1</w:t>
      </w:r>
      <w:r w:rsidR="005956EE" w:rsidRPr="00A241F5">
        <w:rPr>
          <w:rFonts w:eastAsia="DengXian" w:cs="Arial"/>
          <w:lang w:eastAsia="zh-CN"/>
        </w:rPr>
        <w:t>8</w:t>
      </w:r>
      <w:r w:rsidR="009247ED" w:rsidRPr="00A241F5">
        <w:rPr>
          <w:rFonts w:eastAsia="DengXian" w:cs="Arial"/>
          <w:lang w:eastAsia="zh-CN"/>
        </w:rPr>
        <w:tab/>
        <w:t xml:space="preserve">We agree with the majority of Respondents that the statutory grounds for termination by the Lawyer should not be exhaustive, and that parties should be able to negotiate and agree additional grounds on which the parties can terminate, just as they can with any contract.  The non-exhaustive statutory grounds for termination by a Lawyer are put in place to provide the client with guidance on when it might be reasonable for a Lawyer to terminate, while a broader scope for when the client wants to terminate, </w:t>
      </w:r>
      <w:r w:rsidR="009247ED" w:rsidRPr="00A241F5">
        <w:rPr>
          <w:rFonts w:eastAsia="DengXian" w:cs="Arial"/>
          <w:i/>
          <w:lang w:eastAsia="zh-CN"/>
        </w:rPr>
        <w:t>beyond fault</w:t>
      </w:r>
      <w:r w:rsidR="009247ED" w:rsidRPr="00A241F5">
        <w:rPr>
          <w:rFonts w:eastAsia="DengXian" w:cs="Arial"/>
          <w:lang w:eastAsia="zh-CN"/>
        </w:rPr>
        <w:t xml:space="preserve">, depends on the negotiation between the Lawyer and </w:t>
      </w:r>
      <w:r w:rsidR="00F31E70" w:rsidRPr="00A241F5">
        <w:rPr>
          <w:rFonts w:eastAsia="DengXian" w:cs="Arial"/>
          <w:lang w:eastAsia="zh-CN"/>
        </w:rPr>
        <w:t xml:space="preserve">the </w:t>
      </w:r>
      <w:r w:rsidR="009247ED" w:rsidRPr="00A241F5">
        <w:rPr>
          <w:rFonts w:eastAsia="DengXian" w:cs="Arial"/>
          <w:lang w:eastAsia="zh-CN"/>
        </w:rPr>
        <w:t xml:space="preserve">client.  This is in line with the principles of freedom of contract and party autonomy, both cornerstones of international arbitration.  </w:t>
      </w:r>
      <w:r w:rsidR="003D2910" w:rsidRPr="00A241F5">
        <w:rPr>
          <w:rFonts w:eastAsia="DengXian" w:cs="Arial"/>
          <w:lang w:eastAsia="zh-CN"/>
        </w:rPr>
        <w:t>We</w:t>
      </w:r>
      <w:r w:rsidR="009247ED" w:rsidRPr="00A241F5">
        <w:rPr>
          <w:rFonts w:eastAsia="DengXian" w:cs="Arial"/>
          <w:lang w:eastAsia="zh-CN"/>
        </w:rPr>
        <w:t xml:space="preserve"> note that this is consistent too with the position in England and Wales, and in particular the Redrafted 2019 DBA Regulations, which provide that </w:t>
      </w:r>
      <w:r w:rsidR="00C61F4B" w:rsidRPr="00A241F5">
        <w:rPr>
          <w:rFonts w:eastAsia="DengXian" w:cs="Arial"/>
          <w:i/>
          <w:lang w:eastAsia="zh-CN"/>
        </w:rPr>
        <w:t>"</w:t>
      </w:r>
      <w:r w:rsidR="00D47168">
        <w:rPr>
          <w:rFonts w:eastAsia="DengXian" w:cs="Arial"/>
          <w:lang w:eastAsia="zh-CN"/>
        </w:rPr>
        <w:t>[</w:t>
      </w:r>
      <w:r w:rsidR="00D47168">
        <w:rPr>
          <w:rFonts w:eastAsia="DengXian" w:cs="Arial"/>
          <w:i/>
          <w:lang w:eastAsia="zh-CN"/>
        </w:rPr>
        <w:t>s</w:t>
      </w:r>
      <w:r w:rsidR="00D47168">
        <w:rPr>
          <w:rFonts w:eastAsia="DengXian" w:cs="Arial"/>
          <w:lang w:eastAsia="zh-CN"/>
        </w:rPr>
        <w:t>]</w:t>
      </w:r>
      <w:r w:rsidR="009247ED" w:rsidRPr="00A241F5">
        <w:rPr>
          <w:rFonts w:eastAsia="DengXian" w:cs="Arial"/>
          <w:i/>
          <w:lang w:eastAsia="zh-CN"/>
        </w:rPr>
        <w:t>ubject to the parties agreeing otherwise …</w:t>
      </w:r>
      <w:r w:rsidR="00C61F4B" w:rsidRPr="00A241F5">
        <w:rPr>
          <w:rFonts w:eastAsia="DengXian" w:cs="Arial"/>
          <w:i/>
          <w:lang w:eastAsia="zh-CN"/>
        </w:rPr>
        <w:t>"</w:t>
      </w:r>
      <w:r w:rsidR="009247ED" w:rsidRPr="00A241F5">
        <w:rPr>
          <w:rFonts w:eastAsia="DengXian" w:cs="Arial"/>
          <w:lang w:eastAsia="zh-CN"/>
        </w:rPr>
        <w:t xml:space="preserve">, the Lawyer may not terminate the agreement unless the client has behaved or is behaving unreasonably. </w:t>
      </w:r>
    </w:p>
    <w:p w14:paraId="1BC2FB7C" w14:textId="77777777" w:rsidR="009247ED" w:rsidRPr="00A241F5" w:rsidRDefault="009247ED" w:rsidP="009247ED">
      <w:pPr>
        <w:widowControl/>
        <w:tabs>
          <w:tab w:val="clear" w:pos="1418"/>
          <w:tab w:val="left" w:pos="1440"/>
        </w:tabs>
        <w:rPr>
          <w:rFonts w:eastAsia="DengXian" w:cs="Arial"/>
          <w:lang w:eastAsia="zh-CN"/>
        </w:rPr>
      </w:pPr>
    </w:p>
    <w:p w14:paraId="2236811E" w14:textId="44A1FCE2" w:rsidR="009247ED" w:rsidRPr="00A241F5" w:rsidRDefault="00962649" w:rsidP="009247ED">
      <w:pPr>
        <w:widowControl/>
        <w:tabs>
          <w:tab w:val="left" w:pos="1560"/>
        </w:tabs>
        <w:rPr>
          <w:rFonts w:eastAsia="DengXian" w:cs="Arial"/>
          <w:lang w:eastAsia="zh-CN"/>
        </w:rPr>
      </w:pPr>
      <w:r w:rsidRPr="00A241F5">
        <w:rPr>
          <w:rFonts w:eastAsia="DengXian" w:cs="Arial"/>
          <w:lang w:eastAsia="zh-CN"/>
        </w:rPr>
        <w:t>9.</w:t>
      </w:r>
      <w:r w:rsidR="005956EE" w:rsidRPr="00A241F5">
        <w:rPr>
          <w:rFonts w:eastAsia="DengXian" w:cs="Arial"/>
          <w:lang w:eastAsia="zh-CN"/>
        </w:rPr>
        <w:t>19</w:t>
      </w:r>
      <w:r w:rsidR="009247ED" w:rsidRPr="00A241F5">
        <w:rPr>
          <w:rFonts w:eastAsia="DengXian" w:cs="Arial"/>
          <w:lang w:eastAsia="zh-CN"/>
        </w:rPr>
        <w:tab/>
      </w:r>
      <w:r w:rsidR="009247ED" w:rsidRPr="00A241F5">
        <w:rPr>
          <w:szCs w:val="28"/>
        </w:rPr>
        <w:t xml:space="preserve">In our view, this should be implemented in Hong Kong by subsidiary legislation stipulating that Lawyers may terminate a CFA, DBA or Hybrid DBA where they reasonably believe that the client (i) has committed a </w:t>
      </w:r>
      <w:r w:rsidR="009247ED" w:rsidRPr="00A241F5">
        <w:rPr>
          <w:szCs w:val="28"/>
        </w:rPr>
        <w:lastRenderedPageBreak/>
        <w:t>material breach of the ORFS; or (ii) has behaved or is behaving unreasonably.  These are reflected in the recommended ORFS safeguards to be included in the subsidiary legislation</w:t>
      </w:r>
      <w:r w:rsidR="005956EE" w:rsidRPr="00A241F5">
        <w:rPr>
          <w:szCs w:val="28"/>
        </w:rPr>
        <w:t>,</w:t>
      </w:r>
      <w:r w:rsidR="005E7CD6" w:rsidRPr="00A241F5">
        <w:rPr>
          <w:szCs w:val="28"/>
        </w:rPr>
        <w:t xml:space="preserve"> </w:t>
      </w:r>
      <w:r w:rsidR="005956EE" w:rsidRPr="00A241F5">
        <w:rPr>
          <w:szCs w:val="28"/>
        </w:rPr>
        <w:t>ie</w:t>
      </w:r>
      <w:r w:rsidR="009247ED" w:rsidRPr="00A241F5">
        <w:rPr>
          <w:szCs w:val="28"/>
        </w:rPr>
        <w:t xml:space="preserve"> </w:t>
      </w:r>
      <w:r w:rsidR="003E1F3C" w:rsidRPr="00A241F5">
        <w:rPr>
          <w:szCs w:val="28"/>
        </w:rPr>
        <w:t xml:space="preserve">item </w:t>
      </w:r>
      <w:r w:rsidR="00EA6A08" w:rsidRPr="00A241F5">
        <w:rPr>
          <w:szCs w:val="28"/>
        </w:rPr>
        <w:t>1</w:t>
      </w:r>
      <w:r w:rsidR="003E1F3C" w:rsidRPr="00A241F5">
        <w:rPr>
          <w:szCs w:val="28"/>
        </w:rPr>
        <w:t xml:space="preserve">(m) </w:t>
      </w:r>
      <w:r w:rsidR="009247ED" w:rsidRPr="00A241F5">
        <w:rPr>
          <w:szCs w:val="28"/>
        </w:rPr>
        <w:t>set out in Annex 2</w:t>
      </w:r>
      <w:r w:rsidR="00EA6A08" w:rsidRPr="00A241F5">
        <w:rPr>
          <w:szCs w:val="28"/>
        </w:rPr>
        <w:t xml:space="preserve"> attached to this Report</w:t>
      </w:r>
      <w:r w:rsidR="009247ED" w:rsidRPr="00A241F5">
        <w:rPr>
          <w:szCs w:val="28"/>
        </w:rPr>
        <w:t xml:space="preserve">. </w:t>
      </w:r>
    </w:p>
    <w:p w14:paraId="57054517" w14:textId="6D975877" w:rsidR="009247ED" w:rsidRPr="00A241F5" w:rsidRDefault="009247ED" w:rsidP="009247ED">
      <w:pPr>
        <w:widowControl/>
        <w:tabs>
          <w:tab w:val="clear" w:pos="1418"/>
          <w:tab w:val="left" w:pos="1440"/>
        </w:tabs>
        <w:rPr>
          <w:rFonts w:eastAsia="DengXian" w:cs="Arial"/>
          <w:lang w:eastAsia="zh-CN"/>
        </w:rPr>
      </w:pPr>
      <w:r w:rsidRPr="00A241F5">
        <w:rPr>
          <w:rFonts w:eastAsia="DengXian" w:cs="Arial"/>
          <w:lang w:eastAsia="zh-CN"/>
        </w:rPr>
        <w:t xml:space="preserve"> </w:t>
      </w:r>
    </w:p>
    <w:p w14:paraId="00385B2D" w14:textId="77777777" w:rsidR="009247ED" w:rsidRPr="00A241F5" w:rsidRDefault="009247ED" w:rsidP="009247ED">
      <w:pPr>
        <w:widowControl/>
        <w:tabs>
          <w:tab w:val="clear" w:pos="1418"/>
          <w:tab w:val="left" w:pos="1440"/>
        </w:tabs>
        <w:rPr>
          <w:rFonts w:eastAsiaTheme="minorEastAsia" w:cs="Arial"/>
        </w:rPr>
      </w:pPr>
    </w:p>
    <w:p w14:paraId="0D0E7C55" w14:textId="66909A70" w:rsidR="009247ED" w:rsidRPr="00A241F5" w:rsidRDefault="009247ED" w:rsidP="009247ED">
      <w:pPr>
        <w:widowControl/>
        <w:tabs>
          <w:tab w:val="clear" w:pos="1418"/>
          <w:tab w:val="left" w:pos="1440"/>
        </w:tabs>
        <w:rPr>
          <w:rFonts w:eastAsiaTheme="minorEastAsia" w:cs="Arial"/>
          <w:b/>
          <w:i/>
        </w:rPr>
      </w:pPr>
      <w:r w:rsidRPr="00A241F5">
        <w:rPr>
          <w:rFonts w:eastAsiaTheme="minorEastAsia" w:cs="Arial" w:hint="eastAsia"/>
          <w:b/>
          <w:i/>
        </w:rPr>
        <w:t>Recommendation 8(</w:t>
      </w:r>
      <w:r w:rsidRPr="00A241F5">
        <w:rPr>
          <w:rFonts w:eastAsiaTheme="minorEastAsia" w:cs="Arial"/>
          <w:b/>
          <w:i/>
        </w:rPr>
        <w:t>b</w:t>
      </w:r>
      <w:r w:rsidRPr="00A241F5">
        <w:rPr>
          <w:rFonts w:eastAsiaTheme="minorEastAsia" w:cs="Arial" w:hint="eastAsia"/>
          <w:b/>
          <w:i/>
        </w:rPr>
        <w:t>)</w:t>
      </w:r>
    </w:p>
    <w:p w14:paraId="7FC47815" w14:textId="77777777" w:rsidR="009247ED" w:rsidRPr="00A241F5" w:rsidRDefault="009247ED" w:rsidP="009247ED">
      <w:pPr>
        <w:widowControl/>
        <w:tabs>
          <w:tab w:val="clear" w:pos="1418"/>
          <w:tab w:val="left" w:pos="1440"/>
        </w:tabs>
        <w:rPr>
          <w:rFonts w:cs="Arial"/>
          <w:i/>
        </w:rPr>
      </w:pPr>
    </w:p>
    <w:p w14:paraId="2F3FB67B" w14:textId="77777777" w:rsidR="009247ED" w:rsidRPr="00A241F5" w:rsidRDefault="009247ED" w:rsidP="009247ED">
      <w:pPr>
        <w:widowControl/>
        <w:tabs>
          <w:tab w:val="clear" w:pos="1418"/>
          <w:tab w:val="left" w:pos="1440"/>
        </w:tabs>
        <w:rPr>
          <w:rFonts w:cs="Arial"/>
          <w:i/>
        </w:rPr>
      </w:pPr>
      <w:r w:rsidRPr="00A241F5">
        <w:rPr>
          <w:rFonts w:cs="Arial"/>
          <w:i/>
        </w:rPr>
        <w:t>Comments from Respondents who supported Recommendation 8(b)</w:t>
      </w:r>
    </w:p>
    <w:p w14:paraId="17270B5D" w14:textId="77777777" w:rsidR="005956EE" w:rsidRPr="00A241F5" w:rsidRDefault="005956EE" w:rsidP="009247ED">
      <w:pPr>
        <w:widowControl/>
        <w:tabs>
          <w:tab w:val="clear" w:pos="1418"/>
          <w:tab w:val="left" w:pos="1440"/>
        </w:tabs>
        <w:rPr>
          <w:szCs w:val="28"/>
        </w:rPr>
      </w:pPr>
    </w:p>
    <w:p w14:paraId="04364F84" w14:textId="156F54A8" w:rsidR="009247ED" w:rsidRPr="00A241F5" w:rsidRDefault="00962649" w:rsidP="009247ED">
      <w:pPr>
        <w:widowControl/>
        <w:tabs>
          <w:tab w:val="clear" w:pos="1418"/>
          <w:tab w:val="left" w:pos="1440"/>
        </w:tabs>
        <w:rPr>
          <w:rFonts w:eastAsia="DengXian" w:cs="Arial"/>
          <w:lang w:eastAsia="zh-CN"/>
        </w:rPr>
      </w:pPr>
      <w:r w:rsidRPr="00A241F5">
        <w:rPr>
          <w:szCs w:val="28"/>
        </w:rPr>
        <w:t>9.</w:t>
      </w:r>
      <w:r w:rsidR="009247ED" w:rsidRPr="00A241F5">
        <w:rPr>
          <w:szCs w:val="28"/>
        </w:rPr>
        <w:t>2</w:t>
      </w:r>
      <w:r w:rsidR="00CF5393" w:rsidRPr="00A241F5">
        <w:rPr>
          <w:szCs w:val="28"/>
        </w:rPr>
        <w:t>0</w:t>
      </w:r>
      <w:r w:rsidR="009247ED" w:rsidRPr="00A241F5">
        <w:rPr>
          <w:szCs w:val="28"/>
        </w:rPr>
        <w:tab/>
        <w:t xml:space="preserve">The two Respondents who commented specifically on Recommendation 8(b) supported the recommendation.  A professional body noted that </w:t>
      </w:r>
      <w:r w:rsidR="009247ED" w:rsidRPr="00A241F5">
        <w:rPr>
          <w:rFonts w:eastAsia="DengXian" w:cs="Arial"/>
          <w:lang w:eastAsia="zh-CN"/>
        </w:rPr>
        <w:t>if an ORFS arrangement was terminated, clients should pay the Lawyer based on hourly rates.</w:t>
      </w:r>
    </w:p>
    <w:p w14:paraId="32951D0C" w14:textId="77777777" w:rsidR="009247ED" w:rsidRPr="00A241F5" w:rsidRDefault="009247ED" w:rsidP="009247ED">
      <w:pPr>
        <w:widowControl/>
        <w:tabs>
          <w:tab w:val="clear" w:pos="1418"/>
          <w:tab w:val="left" w:pos="1440"/>
        </w:tabs>
        <w:rPr>
          <w:szCs w:val="28"/>
        </w:rPr>
      </w:pPr>
    </w:p>
    <w:p w14:paraId="1D8821A4" w14:textId="05AF032E" w:rsidR="009247ED" w:rsidRPr="00A241F5" w:rsidRDefault="00962649" w:rsidP="009247ED">
      <w:pPr>
        <w:widowControl/>
        <w:tabs>
          <w:tab w:val="clear" w:pos="1418"/>
          <w:tab w:val="left" w:pos="1440"/>
        </w:tabs>
        <w:rPr>
          <w:rFonts w:cs="Arial"/>
          <w:i/>
        </w:rPr>
      </w:pPr>
      <w:r w:rsidRPr="00A241F5">
        <w:rPr>
          <w:szCs w:val="28"/>
        </w:rPr>
        <w:t>9.</w:t>
      </w:r>
      <w:r w:rsidR="009247ED" w:rsidRPr="00A241F5">
        <w:rPr>
          <w:szCs w:val="28"/>
        </w:rPr>
        <w:t>2</w:t>
      </w:r>
      <w:r w:rsidR="00CF5393" w:rsidRPr="00A241F5">
        <w:rPr>
          <w:szCs w:val="28"/>
        </w:rPr>
        <w:t>1</w:t>
      </w:r>
      <w:r w:rsidR="009247ED" w:rsidRPr="00A241F5">
        <w:rPr>
          <w:szCs w:val="28"/>
        </w:rPr>
        <w:tab/>
        <w:t xml:space="preserve">A litigation funder agreed that, </w:t>
      </w:r>
      <w:r w:rsidR="00C61F4B" w:rsidRPr="00A241F5">
        <w:rPr>
          <w:i/>
          <w:szCs w:val="28"/>
        </w:rPr>
        <w:t>"</w:t>
      </w:r>
      <w:r w:rsidR="009247ED" w:rsidRPr="00A241F5">
        <w:rPr>
          <w:i/>
          <w:szCs w:val="28"/>
        </w:rPr>
        <w:t>in the event of termination, any alternative basis (for example, hourly rates) on which the client shall pay the lawyer should be specified in the agreement.  These terms should be left to the parties to negotiate, provided there is a requirement in the ORFS regime for clients to receive independent advice …</w:t>
      </w:r>
      <w:r w:rsidR="00B06813">
        <w:rPr>
          <w:i/>
          <w:szCs w:val="28"/>
        </w:rPr>
        <w:t xml:space="preserve"> .</w:t>
      </w:r>
      <w:r w:rsidR="00C61F4B" w:rsidRPr="00A241F5">
        <w:rPr>
          <w:i/>
          <w:szCs w:val="28"/>
        </w:rPr>
        <w:t>"</w:t>
      </w:r>
    </w:p>
    <w:p w14:paraId="0A7F409C" w14:textId="77777777" w:rsidR="009247ED" w:rsidRPr="00A241F5" w:rsidRDefault="009247ED" w:rsidP="009247ED">
      <w:pPr>
        <w:widowControl/>
        <w:tabs>
          <w:tab w:val="clear" w:pos="1418"/>
          <w:tab w:val="left" w:pos="1440"/>
        </w:tabs>
        <w:rPr>
          <w:rFonts w:eastAsiaTheme="minorEastAsia" w:cs="Arial"/>
          <w:b/>
          <w:i/>
        </w:rPr>
      </w:pPr>
    </w:p>
    <w:p w14:paraId="4EDE64B5" w14:textId="77777777" w:rsidR="009247ED" w:rsidRPr="00A241F5" w:rsidRDefault="009247ED" w:rsidP="009247ED">
      <w:pPr>
        <w:widowControl/>
        <w:tabs>
          <w:tab w:val="clear" w:pos="1418"/>
          <w:tab w:val="left" w:pos="1440"/>
        </w:tabs>
        <w:rPr>
          <w:rFonts w:cs="Arial"/>
          <w:i/>
        </w:rPr>
      </w:pPr>
      <w:r w:rsidRPr="00A241F5">
        <w:rPr>
          <w:rFonts w:cs="Arial"/>
          <w:i/>
        </w:rPr>
        <w:t>Comments from Respondents who opposed Recommendation 8(b)</w:t>
      </w:r>
    </w:p>
    <w:p w14:paraId="44CA4AE5" w14:textId="77777777" w:rsidR="009247ED" w:rsidRPr="00A241F5" w:rsidRDefault="009247ED" w:rsidP="009247ED">
      <w:pPr>
        <w:widowControl/>
        <w:tabs>
          <w:tab w:val="clear" w:pos="1418"/>
          <w:tab w:val="left" w:pos="1440"/>
        </w:tabs>
        <w:rPr>
          <w:rFonts w:eastAsiaTheme="minorEastAsia" w:cs="Arial"/>
        </w:rPr>
      </w:pPr>
    </w:p>
    <w:p w14:paraId="1FA8168C" w14:textId="47F18803" w:rsidR="009247ED" w:rsidRPr="00A241F5" w:rsidRDefault="00962649" w:rsidP="009247ED">
      <w:pPr>
        <w:widowControl/>
        <w:tabs>
          <w:tab w:val="clear" w:pos="1418"/>
          <w:tab w:val="left" w:pos="1440"/>
        </w:tabs>
        <w:rPr>
          <w:szCs w:val="28"/>
        </w:rPr>
      </w:pPr>
      <w:r w:rsidRPr="00A241F5">
        <w:rPr>
          <w:szCs w:val="28"/>
        </w:rPr>
        <w:t>9.</w:t>
      </w:r>
      <w:r w:rsidR="009247ED" w:rsidRPr="00A241F5">
        <w:rPr>
          <w:szCs w:val="28"/>
        </w:rPr>
        <w:t>2</w:t>
      </w:r>
      <w:r w:rsidR="00CF5393" w:rsidRPr="00A241F5">
        <w:rPr>
          <w:szCs w:val="28"/>
        </w:rPr>
        <w:t>2</w:t>
      </w:r>
      <w:r w:rsidR="009247ED" w:rsidRPr="00A241F5">
        <w:rPr>
          <w:szCs w:val="28"/>
        </w:rPr>
        <w:tab/>
        <w:t>There were no specific objections to Recommendation 8(b).</w:t>
      </w:r>
    </w:p>
    <w:p w14:paraId="0E75CD28" w14:textId="3963F6C4" w:rsidR="009247ED" w:rsidRPr="00A241F5" w:rsidRDefault="009247ED" w:rsidP="009247ED">
      <w:pPr>
        <w:widowControl/>
        <w:tabs>
          <w:tab w:val="clear" w:pos="1418"/>
          <w:tab w:val="left" w:pos="1440"/>
        </w:tabs>
        <w:rPr>
          <w:szCs w:val="28"/>
        </w:rPr>
      </w:pPr>
    </w:p>
    <w:p w14:paraId="4AFE92C5" w14:textId="77777777" w:rsidR="00962649" w:rsidRPr="00A241F5" w:rsidRDefault="00962649" w:rsidP="009247ED">
      <w:pPr>
        <w:widowControl/>
        <w:tabs>
          <w:tab w:val="clear" w:pos="1418"/>
          <w:tab w:val="left" w:pos="1440"/>
        </w:tabs>
        <w:rPr>
          <w:rFonts w:eastAsiaTheme="minorEastAsia" w:cs="Arial"/>
        </w:rPr>
      </w:pPr>
    </w:p>
    <w:p w14:paraId="584C3845" w14:textId="77777777" w:rsidR="009247ED" w:rsidRPr="00A241F5" w:rsidRDefault="009247ED" w:rsidP="009247ED">
      <w:pPr>
        <w:widowControl/>
        <w:tabs>
          <w:tab w:val="clear" w:pos="1418"/>
          <w:tab w:val="left" w:pos="1440"/>
        </w:tabs>
        <w:rPr>
          <w:b/>
          <w:i/>
          <w:szCs w:val="28"/>
        </w:rPr>
      </w:pPr>
      <w:r w:rsidRPr="00A241F5">
        <w:rPr>
          <w:b/>
          <w:i/>
          <w:szCs w:val="28"/>
        </w:rPr>
        <w:t>Our analysis and response on Recommendation 8(b)</w:t>
      </w:r>
    </w:p>
    <w:p w14:paraId="7F178681" w14:textId="77777777" w:rsidR="009247ED" w:rsidRPr="00A241F5" w:rsidRDefault="009247ED" w:rsidP="009247ED">
      <w:pPr>
        <w:widowControl/>
        <w:tabs>
          <w:tab w:val="clear" w:pos="1418"/>
          <w:tab w:val="left" w:pos="1440"/>
        </w:tabs>
        <w:rPr>
          <w:b/>
          <w:i/>
          <w:szCs w:val="28"/>
        </w:rPr>
      </w:pPr>
    </w:p>
    <w:p w14:paraId="44900217" w14:textId="5743E8B6" w:rsidR="009247ED" w:rsidRPr="00A241F5" w:rsidRDefault="00962649" w:rsidP="009247ED">
      <w:pPr>
        <w:widowControl/>
        <w:tabs>
          <w:tab w:val="clear" w:pos="1418"/>
          <w:tab w:val="left" w:pos="1440"/>
        </w:tabs>
        <w:rPr>
          <w:rFonts w:eastAsia="DengXian" w:cs="Arial"/>
          <w:lang w:eastAsia="zh-CN"/>
        </w:rPr>
      </w:pPr>
      <w:r w:rsidRPr="00A241F5">
        <w:rPr>
          <w:rFonts w:eastAsia="DengXian" w:cs="Arial"/>
          <w:lang w:eastAsia="zh-CN"/>
        </w:rPr>
        <w:t>9</w:t>
      </w:r>
      <w:r w:rsidR="009247ED" w:rsidRPr="00A241F5">
        <w:rPr>
          <w:rFonts w:eastAsia="DengXian" w:cs="Arial"/>
          <w:lang w:eastAsia="zh-CN"/>
        </w:rPr>
        <w:t>.2</w:t>
      </w:r>
      <w:r w:rsidR="00CF5393" w:rsidRPr="00A241F5">
        <w:rPr>
          <w:rFonts w:eastAsia="DengXian" w:cs="Arial"/>
          <w:lang w:eastAsia="zh-CN"/>
        </w:rPr>
        <w:t>3</w:t>
      </w:r>
      <w:r w:rsidR="009247ED" w:rsidRPr="00A241F5">
        <w:rPr>
          <w:rFonts w:eastAsia="DengXian" w:cs="Arial"/>
          <w:lang w:eastAsia="zh-CN"/>
        </w:rPr>
        <w:tab/>
        <w:t>We agree that the parties should be required to agree an alternative basis – for example hourly rates – on which the client shall pay the Lawyer, if the relevant ORFS is terminated prior to the conclusion of the Arbitration.  The alternative basis should be set out in the ORFS, and should be subject to the caveat that the Lawyer may not charge more than the Lawyer</w:t>
      </w:r>
      <w:r w:rsidR="00C61F4B" w:rsidRPr="00A241F5">
        <w:rPr>
          <w:rFonts w:eastAsia="DengXian" w:cs="Arial"/>
          <w:lang w:eastAsia="zh-CN"/>
        </w:rPr>
        <w:t>'</w:t>
      </w:r>
      <w:r w:rsidR="009247ED" w:rsidRPr="00A241F5">
        <w:rPr>
          <w:rFonts w:eastAsia="DengXian" w:cs="Arial"/>
          <w:lang w:eastAsia="zh-CN"/>
        </w:rPr>
        <w:t>s costs and expenses (including barristers</w:t>
      </w:r>
      <w:r w:rsidR="00C61F4B" w:rsidRPr="00A241F5">
        <w:rPr>
          <w:rFonts w:eastAsia="DengXian" w:cs="Arial"/>
          <w:lang w:eastAsia="zh-CN"/>
        </w:rPr>
        <w:t>'</w:t>
      </w:r>
      <w:r w:rsidR="009247ED" w:rsidRPr="00A241F5">
        <w:rPr>
          <w:rFonts w:eastAsia="DengXian" w:cs="Arial"/>
          <w:lang w:eastAsia="zh-CN"/>
        </w:rPr>
        <w:t xml:space="preserve"> fees if charged as a disbursement) for the work undertaken.</w:t>
      </w:r>
    </w:p>
    <w:p w14:paraId="63AD16AD" w14:textId="77777777" w:rsidR="009247ED" w:rsidRPr="00A241F5" w:rsidRDefault="009247ED" w:rsidP="009247ED">
      <w:pPr>
        <w:widowControl/>
        <w:tabs>
          <w:tab w:val="clear" w:pos="1418"/>
          <w:tab w:val="left" w:pos="1440"/>
        </w:tabs>
        <w:rPr>
          <w:rFonts w:eastAsia="DengXian" w:cs="Arial"/>
          <w:lang w:eastAsia="zh-CN"/>
        </w:rPr>
      </w:pPr>
    </w:p>
    <w:p w14:paraId="024BE163" w14:textId="77777777" w:rsidR="009247ED" w:rsidRPr="00A241F5" w:rsidRDefault="009247ED" w:rsidP="001336F0">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t>Final Recommendation 8</w:t>
      </w:r>
    </w:p>
    <w:p w14:paraId="34125414" w14:textId="77777777" w:rsidR="009247ED" w:rsidRPr="00A241F5" w:rsidRDefault="009247ED" w:rsidP="001336F0">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3E305730" w14:textId="77777777" w:rsidR="009247ED" w:rsidRPr="00A241F5" w:rsidRDefault="009247ED" w:rsidP="001336F0">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rPr>
          <w:rFonts w:cs="Arial"/>
        </w:rPr>
      </w:pPr>
      <w:r w:rsidRPr="00A241F5">
        <w:rPr>
          <w:rFonts w:cs="Arial"/>
        </w:rPr>
        <w:t>We recommend that:</w:t>
      </w:r>
    </w:p>
    <w:p w14:paraId="5F8DA7B3" w14:textId="77777777" w:rsidR="009247ED" w:rsidRPr="00A241F5" w:rsidRDefault="009247ED" w:rsidP="001336F0">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rPr>
          <w:rFonts w:cs="Arial"/>
        </w:rPr>
      </w:pPr>
    </w:p>
    <w:p w14:paraId="58676102" w14:textId="5DC2361D" w:rsidR="009247ED" w:rsidRPr="00A241F5" w:rsidRDefault="009247ED" w:rsidP="001336F0">
      <w:pPr>
        <w:pStyle w:val="Recommendationindent1"/>
        <w:keepLines/>
        <w:numPr>
          <w:ilvl w:val="0"/>
          <w:numId w:val="13"/>
        </w:numPr>
        <w:pBdr>
          <w:top w:val="single" w:sz="4" w:space="8" w:color="auto"/>
          <w:left w:val="single" w:sz="4" w:space="8" w:color="auto"/>
          <w:bottom w:val="single" w:sz="4" w:space="8" w:color="auto"/>
          <w:right w:val="single" w:sz="4" w:space="8" w:color="auto"/>
        </w:pBdr>
        <w:autoSpaceDE w:val="0"/>
        <w:autoSpaceDN w:val="0"/>
        <w:ind w:right="720"/>
        <w:textAlignment w:val="baseline"/>
        <w:rPr>
          <w:rFonts w:cs="Arial"/>
        </w:rPr>
      </w:pPr>
      <w:r w:rsidRPr="00A241F5">
        <w:rPr>
          <w:rFonts w:cs="Arial"/>
        </w:rPr>
        <w:t>A CFA, DBA, or Hybrid DBA should specify whether, and if so in what circumstances, a Lawyer or client is entitled to terminate the ORFS prior to the conclusion of the Arbitration.</w:t>
      </w:r>
    </w:p>
    <w:p w14:paraId="1101618C" w14:textId="77777777" w:rsidR="009247ED" w:rsidRPr="00A241F5" w:rsidRDefault="009247ED" w:rsidP="001336F0">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rPr>
          <w:rFonts w:cs="Arial"/>
        </w:rPr>
      </w:pPr>
    </w:p>
    <w:p w14:paraId="7D07E6D6" w14:textId="0DFEF20B" w:rsidR="009247ED" w:rsidRPr="00A241F5" w:rsidRDefault="009247ED" w:rsidP="001336F0">
      <w:pPr>
        <w:pStyle w:val="Recommendationindent1"/>
        <w:keepLines/>
        <w:numPr>
          <w:ilvl w:val="0"/>
          <w:numId w:val="13"/>
        </w:numPr>
        <w:pBdr>
          <w:top w:val="single" w:sz="4" w:space="8" w:color="auto"/>
          <w:left w:val="single" w:sz="4" w:space="8" w:color="auto"/>
          <w:bottom w:val="single" w:sz="4" w:space="8" w:color="auto"/>
          <w:right w:val="single" w:sz="4" w:space="8" w:color="auto"/>
        </w:pBdr>
        <w:autoSpaceDE w:val="0"/>
        <w:autoSpaceDN w:val="0"/>
        <w:ind w:left="1440" w:right="720" w:hanging="720"/>
        <w:textAlignment w:val="baseline"/>
        <w:rPr>
          <w:rFonts w:cs="Arial"/>
        </w:rPr>
      </w:pPr>
      <w:r w:rsidRPr="00A241F5">
        <w:rPr>
          <w:rFonts w:cs="Arial"/>
        </w:rPr>
        <w:lastRenderedPageBreak/>
        <w:t xml:space="preserve">Subsidiary legislation should specify, on a non-exhaustive basis, that a Lawyer is entitled to terminate an ORFS prior to the conclusion of the Arbitration if the Lawyer reasonably believes that: </w:t>
      </w:r>
      <w:r w:rsidRPr="00A241F5">
        <w:rPr>
          <w:rFonts w:cs="Arial"/>
        </w:rPr>
        <w:br/>
      </w:r>
      <w:r w:rsidRPr="00A241F5">
        <w:rPr>
          <w:rFonts w:cs="Arial"/>
        </w:rPr>
        <w:br/>
        <w:t>(i)</w:t>
      </w:r>
      <w:r w:rsidRPr="00A241F5">
        <w:rPr>
          <w:rFonts w:cs="Arial"/>
        </w:rPr>
        <w:tab/>
        <w:t xml:space="preserve">the client has committed a material breach of </w:t>
      </w:r>
      <w:r w:rsidRPr="00A241F5">
        <w:rPr>
          <w:rFonts w:cs="Arial"/>
        </w:rPr>
        <w:tab/>
        <w:t>the CFA, DBA or Hybrid DBA; or</w:t>
      </w:r>
      <w:r w:rsidRPr="00A241F5">
        <w:rPr>
          <w:rFonts w:cs="Arial"/>
        </w:rPr>
        <w:br/>
      </w:r>
      <w:r w:rsidRPr="00A241F5">
        <w:rPr>
          <w:rFonts w:cs="Arial"/>
        </w:rPr>
        <w:br/>
        <w:t>(ii)</w:t>
      </w:r>
      <w:r w:rsidRPr="00A241F5">
        <w:rPr>
          <w:rFonts w:cs="Arial"/>
        </w:rPr>
        <w:tab/>
        <w:t xml:space="preserve">the client has behaved or is behaving </w:t>
      </w:r>
      <w:r w:rsidRPr="00A241F5">
        <w:rPr>
          <w:rFonts w:cs="Arial"/>
        </w:rPr>
        <w:tab/>
        <w:t>unreasonably.</w:t>
      </w:r>
      <w:r w:rsidRPr="00A241F5">
        <w:rPr>
          <w:rFonts w:cs="Arial"/>
        </w:rPr>
        <w:br/>
      </w:r>
    </w:p>
    <w:p w14:paraId="332F9BAD" w14:textId="2C25F19C" w:rsidR="009247ED" w:rsidRPr="00A241F5" w:rsidRDefault="009247ED" w:rsidP="001336F0">
      <w:pPr>
        <w:pStyle w:val="Recommendationindent1"/>
        <w:keepLines/>
        <w:numPr>
          <w:ilvl w:val="0"/>
          <w:numId w:val="13"/>
        </w:numPr>
        <w:pBdr>
          <w:top w:val="single" w:sz="4" w:space="8" w:color="auto"/>
          <w:left w:val="single" w:sz="4" w:space="8" w:color="auto"/>
          <w:bottom w:val="single" w:sz="4" w:space="8" w:color="auto"/>
          <w:right w:val="single" w:sz="4" w:space="8" w:color="auto"/>
        </w:pBdr>
        <w:autoSpaceDE w:val="0"/>
        <w:autoSpaceDN w:val="0"/>
        <w:ind w:right="720"/>
        <w:textAlignment w:val="baseline"/>
        <w:rPr>
          <w:rFonts w:cs="Arial"/>
        </w:rPr>
      </w:pPr>
      <w:r w:rsidRPr="00A241F5">
        <w:rPr>
          <w:rFonts w:cs="Arial"/>
        </w:rPr>
        <w:t>A CFA, DBA, or Hybrid DBA should specify an alternative basis (for example, hourly rates) on which the client shall pay the Lawyer in the event of such termination, save that the Lawyer may not charge the client more than the Lawyer</w:t>
      </w:r>
      <w:r w:rsidR="00C61F4B" w:rsidRPr="00A241F5">
        <w:rPr>
          <w:rFonts w:cs="Arial"/>
        </w:rPr>
        <w:t>'</w:t>
      </w:r>
      <w:r w:rsidRPr="00A241F5">
        <w:rPr>
          <w:rFonts w:cs="Arial"/>
        </w:rPr>
        <w:t>s costs, expenses and disbursements for the work undertaken in respect of the Proceedings to which the CFA, DBA or Hybrid DBA relates.</w:t>
      </w:r>
    </w:p>
    <w:p w14:paraId="4474001B" w14:textId="77777777" w:rsidR="009247ED" w:rsidRPr="00A241F5" w:rsidRDefault="009247ED" w:rsidP="001336F0">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rPr>
          <w:rFonts w:cs="Arial"/>
        </w:rPr>
      </w:pPr>
    </w:p>
    <w:p w14:paraId="3134F7DB" w14:textId="77777777" w:rsidR="009247ED" w:rsidRPr="00A241F5" w:rsidRDefault="009247ED" w:rsidP="001336F0">
      <w:pPr>
        <w:pStyle w:val="Recommendationindent1"/>
        <w:keepLines/>
        <w:numPr>
          <w:ilvl w:val="0"/>
          <w:numId w:val="13"/>
        </w:numPr>
        <w:pBdr>
          <w:top w:val="single" w:sz="4" w:space="8" w:color="auto"/>
          <w:left w:val="single" w:sz="4" w:space="8" w:color="auto"/>
          <w:bottom w:val="single" w:sz="4" w:space="8" w:color="auto"/>
          <w:right w:val="single" w:sz="4" w:space="8" w:color="auto"/>
        </w:pBdr>
        <w:autoSpaceDE w:val="0"/>
        <w:autoSpaceDN w:val="0"/>
        <w:ind w:right="720"/>
        <w:textAlignment w:val="baseline"/>
        <w:rPr>
          <w:rFonts w:cs="Arial"/>
        </w:rPr>
      </w:pPr>
      <w:r w:rsidRPr="00A241F5">
        <w:rPr>
          <w:rFonts w:cs="Arial"/>
        </w:rPr>
        <w:t>The grounds on which a client may terminate a CFA, DBA or Hybrid DBA prior to the conclusion of the Arbitration should be a matter for agreement with the Lawyer in accordance with basic contractual principles, and no statutory requirements should apply.</w:t>
      </w:r>
    </w:p>
    <w:p w14:paraId="5815638D" w14:textId="77777777" w:rsidR="009247ED" w:rsidRPr="00A241F5" w:rsidRDefault="009247ED" w:rsidP="009247ED"/>
    <w:p w14:paraId="4798EDA4" w14:textId="77777777" w:rsidR="009247ED" w:rsidRPr="00A241F5" w:rsidRDefault="009247ED" w:rsidP="009247ED"/>
    <w:p w14:paraId="50E1891D" w14:textId="77777777" w:rsidR="009247ED" w:rsidRPr="00A241F5" w:rsidRDefault="009247ED" w:rsidP="009247ED">
      <w:pPr>
        <w:sectPr w:rsidR="009247ED" w:rsidRPr="00A241F5" w:rsidSect="00303CFD">
          <w:footnotePr>
            <w:numRestart w:val="eachSect"/>
          </w:footnotePr>
          <w:pgSz w:w="11906" w:h="16838" w:code="9"/>
          <w:pgMar w:top="1440" w:right="1800" w:bottom="1440" w:left="1800" w:header="720" w:footer="720" w:gutter="0"/>
          <w:cols w:space="425"/>
          <w:docGrid w:linePitch="360"/>
        </w:sectPr>
      </w:pPr>
    </w:p>
    <w:p w14:paraId="7BD1799C" w14:textId="26B5C348" w:rsidR="001053EA" w:rsidRPr="00A241F5" w:rsidRDefault="001053EA" w:rsidP="00970E72">
      <w:pPr>
        <w:pStyle w:val="Heading1"/>
      </w:pPr>
      <w:r w:rsidRPr="00A241F5">
        <w:lastRenderedPageBreak/>
        <w:t>Chapter 1</w:t>
      </w:r>
      <w:bookmarkStart w:id="22" w:name="Chapter10"/>
      <w:bookmarkEnd w:id="22"/>
      <w:r w:rsidR="00070C53" w:rsidRPr="00A241F5">
        <w:t>0</w:t>
      </w:r>
    </w:p>
    <w:p w14:paraId="2E334192" w14:textId="77777777" w:rsidR="001053EA" w:rsidRPr="00A241F5" w:rsidRDefault="001053EA" w:rsidP="00970E72"/>
    <w:p w14:paraId="381F4161" w14:textId="4F69AEA1" w:rsidR="001053EA" w:rsidRPr="00A241F5" w:rsidRDefault="001053EA" w:rsidP="00970E72">
      <w:pPr>
        <w:pStyle w:val="Heading1"/>
      </w:pPr>
      <w:r w:rsidRPr="00A241F5">
        <w:t>Treatment of barristers</w:t>
      </w:r>
      <w:r w:rsidR="00C61F4B" w:rsidRPr="00A241F5">
        <w:t>'</w:t>
      </w:r>
      <w:r w:rsidRPr="00A241F5">
        <w:t xml:space="preserve"> fees</w:t>
      </w:r>
    </w:p>
    <w:p w14:paraId="221C022D" w14:textId="77777777" w:rsidR="001053EA" w:rsidRPr="00A241F5" w:rsidRDefault="001053EA" w:rsidP="001053EA">
      <w:r w:rsidRPr="00A241F5">
        <w:t>_______________________________________</w:t>
      </w:r>
    </w:p>
    <w:p w14:paraId="4C7EF584" w14:textId="1830D498" w:rsidR="001053EA" w:rsidRPr="00A241F5" w:rsidRDefault="001053EA" w:rsidP="00970E72"/>
    <w:p w14:paraId="245876D5" w14:textId="77777777" w:rsidR="00970E72" w:rsidRPr="00A241F5" w:rsidRDefault="00970E72" w:rsidP="00970E72"/>
    <w:p w14:paraId="3D9DA1AB" w14:textId="77777777" w:rsidR="001053EA" w:rsidRPr="00A241F5" w:rsidRDefault="001053EA" w:rsidP="00970E72"/>
    <w:p w14:paraId="634FF95B" w14:textId="27054D53" w:rsidR="001053EA" w:rsidRPr="00A241F5" w:rsidRDefault="001053EA" w:rsidP="00970E72">
      <w:pPr>
        <w:pStyle w:val="Heading2"/>
      </w:pPr>
      <w:r w:rsidRPr="00A241F5">
        <w:t>Responses to the Sub-committee</w:t>
      </w:r>
      <w:r w:rsidR="00C61F4B" w:rsidRPr="00A241F5">
        <w:t>'</w:t>
      </w:r>
      <w:r w:rsidRPr="00A241F5">
        <w:t>s Recommendation 9</w:t>
      </w:r>
      <w:r w:rsidR="000C62AF" w:rsidRPr="00A241F5">
        <w:t>(1) and (2)</w:t>
      </w:r>
    </w:p>
    <w:p w14:paraId="0E1E08E7" w14:textId="77777777" w:rsidR="001053EA" w:rsidRPr="00A241F5" w:rsidRDefault="001053EA" w:rsidP="001053EA">
      <w:pPr>
        <w:widowControl/>
        <w:tabs>
          <w:tab w:val="clear" w:pos="1418"/>
          <w:tab w:val="left" w:pos="1440"/>
        </w:tabs>
        <w:rPr>
          <w:rFonts w:cs="Arial"/>
        </w:rPr>
      </w:pPr>
    </w:p>
    <w:p w14:paraId="31484E86" w14:textId="162CBACC" w:rsidR="001053EA" w:rsidRPr="00A241F5" w:rsidRDefault="00970E72" w:rsidP="001053EA">
      <w:pPr>
        <w:widowControl/>
        <w:tabs>
          <w:tab w:val="clear" w:pos="1418"/>
          <w:tab w:val="left" w:pos="1440"/>
        </w:tabs>
        <w:rPr>
          <w:rFonts w:cs="Arial"/>
        </w:rPr>
      </w:pPr>
      <w:r w:rsidRPr="00A241F5">
        <w:rPr>
          <w:rFonts w:cs="Arial"/>
        </w:rPr>
        <w:t>10.</w:t>
      </w:r>
      <w:r w:rsidR="001053EA" w:rsidRPr="00A241F5">
        <w:rPr>
          <w:rFonts w:cs="Arial"/>
        </w:rPr>
        <w:t>1</w:t>
      </w:r>
      <w:r w:rsidR="001053EA" w:rsidRPr="00A241F5">
        <w:rPr>
          <w:rFonts w:cs="Arial"/>
        </w:rPr>
        <w:tab/>
        <w:t>This Chapter discusses the responses regarding Recommendation 9 in the Consultation Paper:</w:t>
      </w:r>
    </w:p>
    <w:p w14:paraId="3DF944E5" w14:textId="7B35C5B2" w:rsidR="001053EA" w:rsidRPr="00A241F5" w:rsidRDefault="001053EA" w:rsidP="001053EA">
      <w:pPr>
        <w:widowControl/>
        <w:tabs>
          <w:tab w:val="clear" w:pos="1418"/>
          <w:tab w:val="left" w:pos="1440"/>
        </w:tabs>
        <w:rPr>
          <w:rFonts w:cs="Arial"/>
        </w:rPr>
      </w:pPr>
    </w:p>
    <w:p w14:paraId="1ED4D358" w14:textId="596E1AB7" w:rsidR="001053EA" w:rsidRPr="00A241F5" w:rsidRDefault="00C61F4B" w:rsidP="001053EA">
      <w:pPr>
        <w:ind w:leftChars="296" w:left="1418" w:rightChars="271" w:right="650" w:hangingChars="295" w:hanging="708"/>
        <w:rPr>
          <w:rFonts w:cs="Arial"/>
          <w:i/>
        </w:rPr>
      </w:pPr>
      <w:r w:rsidRPr="00A241F5">
        <w:rPr>
          <w:rFonts w:cs="Arial"/>
          <w:i/>
        </w:rPr>
        <w:t>"</w:t>
      </w:r>
      <w:r w:rsidR="001053EA" w:rsidRPr="00A241F5">
        <w:rPr>
          <w:rFonts w:cs="Arial"/>
          <w:i/>
        </w:rPr>
        <w:t>(1)</w:t>
      </w:r>
      <w:r w:rsidR="001053EA" w:rsidRPr="00A241F5">
        <w:rPr>
          <w:rFonts w:cs="Arial"/>
          <w:i/>
        </w:rPr>
        <w:tab/>
        <w:t>The Sub-committee recommends that clients should be able to agree, on a case by case basis, whether:</w:t>
      </w:r>
    </w:p>
    <w:p w14:paraId="65BC9BC0" w14:textId="77777777" w:rsidR="001053EA" w:rsidRPr="00A241F5" w:rsidRDefault="001053EA" w:rsidP="001053EA">
      <w:pPr>
        <w:ind w:left="720" w:rightChars="271" w:right="650" w:hanging="720"/>
        <w:rPr>
          <w:rFonts w:cs="Arial"/>
          <w:i/>
        </w:rPr>
      </w:pPr>
    </w:p>
    <w:p w14:paraId="0FB00B37" w14:textId="34071E46" w:rsidR="001053EA" w:rsidRPr="00A241F5" w:rsidRDefault="001053EA" w:rsidP="001053EA">
      <w:pPr>
        <w:pStyle w:val="Indent10"/>
        <w:tabs>
          <w:tab w:val="clear" w:pos="1418"/>
        </w:tabs>
        <w:ind w:left="2127" w:rightChars="271" w:right="650"/>
        <w:rPr>
          <w:rFonts w:eastAsia="Arial" w:cs="Arial"/>
          <w:i/>
          <w:kern w:val="2"/>
          <w:lang w:val="en-US"/>
        </w:rPr>
      </w:pPr>
      <w:r w:rsidRPr="00A241F5">
        <w:rPr>
          <w:rFonts w:eastAsia="Arial" w:cs="Arial"/>
          <w:i/>
          <w:kern w:val="2"/>
          <w:lang w:val="en-US"/>
        </w:rPr>
        <w:t>(a)</w:t>
      </w:r>
      <w:r w:rsidRPr="00A241F5">
        <w:rPr>
          <w:rFonts w:eastAsia="Arial" w:cs="Arial"/>
          <w:i/>
          <w:kern w:val="2"/>
          <w:lang w:val="en-US"/>
        </w:rPr>
        <w:tab/>
        <w:t>the DBA Payment (and thus the DBA Payment cap) includes barristers</w:t>
      </w:r>
      <w:r w:rsidR="00C61F4B" w:rsidRPr="00A241F5">
        <w:rPr>
          <w:rFonts w:eastAsia="Arial" w:cs="Arial"/>
          <w:i/>
          <w:kern w:val="2"/>
          <w:lang w:val="en-US"/>
        </w:rPr>
        <w:t>'</w:t>
      </w:r>
      <w:r w:rsidRPr="00A241F5">
        <w:rPr>
          <w:rFonts w:eastAsia="Arial" w:cs="Arial"/>
          <w:i/>
          <w:kern w:val="2"/>
          <w:lang w:val="en-US"/>
        </w:rPr>
        <w:t xml:space="preserve"> fees; or</w:t>
      </w:r>
    </w:p>
    <w:p w14:paraId="6FAAF71F" w14:textId="77777777" w:rsidR="001053EA" w:rsidRPr="00A241F5" w:rsidRDefault="001053EA" w:rsidP="001053EA">
      <w:pPr>
        <w:pStyle w:val="Indent10"/>
        <w:widowControl/>
        <w:tabs>
          <w:tab w:val="clear" w:pos="1418"/>
        </w:tabs>
        <w:ind w:left="2127" w:rightChars="271" w:right="650"/>
        <w:rPr>
          <w:rFonts w:eastAsia="Arial" w:cs="Arial"/>
          <w:i/>
          <w:kern w:val="2"/>
          <w:lang w:val="en-US"/>
        </w:rPr>
      </w:pPr>
    </w:p>
    <w:p w14:paraId="0CD75EAB" w14:textId="65C556E9" w:rsidR="001053EA" w:rsidRPr="00A241F5" w:rsidRDefault="001053EA" w:rsidP="001053EA">
      <w:pPr>
        <w:pStyle w:val="Indent10"/>
        <w:widowControl/>
        <w:tabs>
          <w:tab w:val="clear" w:pos="1418"/>
        </w:tabs>
        <w:ind w:left="2127" w:rightChars="271" w:right="650"/>
        <w:rPr>
          <w:lang w:val="en-US"/>
        </w:rPr>
      </w:pPr>
      <w:r w:rsidRPr="00A241F5">
        <w:rPr>
          <w:rFonts w:cs="Arial"/>
          <w:i/>
          <w:lang w:val="en-US"/>
        </w:rPr>
        <w:t xml:space="preserve">(b) </w:t>
      </w:r>
      <w:r w:rsidRPr="00A241F5">
        <w:rPr>
          <w:rFonts w:cs="Arial"/>
          <w:i/>
          <w:lang w:val="en-US"/>
        </w:rPr>
        <w:tab/>
        <w:t>barristers</w:t>
      </w:r>
      <w:r w:rsidR="00C61F4B" w:rsidRPr="00A241F5">
        <w:rPr>
          <w:rFonts w:cs="Arial"/>
          <w:i/>
          <w:lang w:val="en-US"/>
        </w:rPr>
        <w:t>'</w:t>
      </w:r>
      <w:r w:rsidRPr="00A241F5">
        <w:rPr>
          <w:rFonts w:cs="Arial"/>
          <w:i/>
          <w:lang w:val="en-US"/>
        </w:rPr>
        <w:t xml:space="preserve"> fees would be charged as a separate disbursement outside the DBA Payment</w:t>
      </w:r>
      <w:r w:rsidRPr="00A241F5">
        <w:rPr>
          <w:rFonts w:cs="Arial"/>
          <w:lang w:val="en-US"/>
        </w:rPr>
        <w:t>.</w:t>
      </w:r>
      <w:r w:rsidRPr="00A241F5">
        <w:rPr>
          <w:lang w:val="en-US"/>
        </w:rPr>
        <w:t xml:space="preserve"> </w:t>
      </w:r>
    </w:p>
    <w:p w14:paraId="3D578A15" w14:textId="77777777" w:rsidR="001053EA" w:rsidRPr="00A241F5" w:rsidRDefault="001053EA" w:rsidP="001053EA">
      <w:pPr>
        <w:pStyle w:val="Indent10"/>
        <w:widowControl/>
        <w:ind w:rightChars="271" w:right="650"/>
        <w:rPr>
          <w:lang w:val="en-US"/>
        </w:rPr>
      </w:pPr>
    </w:p>
    <w:p w14:paraId="708438C9" w14:textId="68B5D08A" w:rsidR="001053EA" w:rsidRPr="00A241F5" w:rsidRDefault="001053EA" w:rsidP="00C22562">
      <w:pPr>
        <w:widowControl/>
        <w:tabs>
          <w:tab w:val="clear" w:pos="1418"/>
          <w:tab w:val="left" w:pos="1440"/>
        </w:tabs>
        <w:ind w:left="1407" w:rightChars="271" w:right="650" w:hanging="687"/>
        <w:rPr>
          <w:rFonts w:cs="Arial"/>
        </w:rPr>
      </w:pPr>
      <w:r w:rsidRPr="00A241F5">
        <w:rPr>
          <w:rFonts w:cs="Arial"/>
          <w:i/>
        </w:rPr>
        <w:t xml:space="preserve">(2) </w:t>
      </w:r>
      <w:r w:rsidRPr="00A241F5">
        <w:rPr>
          <w:rFonts w:cs="Arial"/>
          <w:i/>
        </w:rPr>
        <w:tab/>
        <w:t>To the extent that barristers can be, and are, engaged directly, this could also be arranged via a separate DBA between client and barrister.  In such circumstances, a solicitor</w:t>
      </w:r>
      <w:r w:rsidR="00C61F4B" w:rsidRPr="00A241F5">
        <w:rPr>
          <w:rFonts w:cs="Arial"/>
          <w:i/>
        </w:rPr>
        <w:t>'</w:t>
      </w:r>
      <w:r w:rsidRPr="00A241F5">
        <w:rPr>
          <w:rFonts w:cs="Arial"/>
          <w:i/>
        </w:rPr>
        <w:t>s DBA Payment plus a barrister</w:t>
      </w:r>
      <w:r w:rsidR="00C61F4B" w:rsidRPr="00A241F5">
        <w:rPr>
          <w:rFonts w:cs="Arial"/>
          <w:i/>
        </w:rPr>
        <w:t>'</w:t>
      </w:r>
      <w:r w:rsidRPr="00A241F5">
        <w:rPr>
          <w:rFonts w:cs="Arial"/>
          <w:i/>
        </w:rPr>
        <w:t>s DBA Payment in relation to the same claim or Proceedings should not exceed the prescribed DBA Payment cap</w:t>
      </w:r>
      <w:r w:rsidRPr="00A241F5">
        <w:rPr>
          <w:rFonts w:cs="Arial"/>
        </w:rPr>
        <w:t>.</w:t>
      </w:r>
      <w:r w:rsidR="00C61F4B" w:rsidRPr="00A241F5">
        <w:rPr>
          <w:rFonts w:cs="Arial"/>
          <w:i/>
        </w:rPr>
        <w:t>"</w:t>
      </w:r>
      <w:r w:rsidRPr="00A241F5">
        <w:rPr>
          <w:rStyle w:val="FootnoteReference"/>
          <w:rFonts w:cs="Arial"/>
          <w:sz w:val="24"/>
        </w:rPr>
        <w:footnoteReference w:id="49"/>
      </w:r>
      <w:r w:rsidRPr="00A241F5">
        <w:rPr>
          <w:rFonts w:cs="Arial"/>
        </w:rPr>
        <w:t xml:space="preserve"> </w:t>
      </w:r>
    </w:p>
    <w:p w14:paraId="1A7C5A52" w14:textId="77777777" w:rsidR="001053EA" w:rsidRPr="00A241F5" w:rsidRDefault="001053EA" w:rsidP="00C22562">
      <w:pPr>
        <w:widowControl/>
        <w:tabs>
          <w:tab w:val="clear" w:pos="1418"/>
          <w:tab w:val="left" w:pos="1440"/>
        </w:tabs>
        <w:ind w:rightChars="271" w:right="650"/>
        <w:rPr>
          <w:rFonts w:eastAsiaTheme="minorEastAsia" w:cs="Arial"/>
        </w:rPr>
      </w:pPr>
    </w:p>
    <w:p w14:paraId="45239913" w14:textId="299DCE71" w:rsidR="001053EA" w:rsidRPr="00A241F5" w:rsidRDefault="001053EA" w:rsidP="001053EA">
      <w:pPr>
        <w:widowControl/>
        <w:tabs>
          <w:tab w:val="clear" w:pos="1418"/>
          <w:tab w:val="left" w:pos="1440"/>
        </w:tabs>
        <w:rPr>
          <w:rFonts w:cs="Arial"/>
        </w:rPr>
      </w:pPr>
    </w:p>
    <w:p w14:paraId="26058830" w14:textId="23938B12" w:rsidR="003E1F3C" w:rsidRPr="00A241F5" w:rsidRDefault="003E1F3C" w:rsidP="003E1F3C">
      <w:pPr>
        <w:pStyle w:val="Heading3"/>
      </w:pPr>
      <w:r w:rsidRPr="00A241F5">
        <w:t>Recommendation 9(1)</w:t>
      </w:r>
    </w:p>
    <w:p w14:paraId="52BF4123" w14:textId="77777777" w:rsidR="003E1F3C" w:rsidRPr="00A241F5" w:rsidRDefault="003E1F3C" w:rsidP="001053EA">
      <w:pPr>
        <w:widowControl/>
        <w:tabs>
          <w:tab w:val="clear" w:pos="1418"/>
          <w:tab w:val="left" w:pos="1440"/>
        </w:tabs>
        <w:rPr>
          <w:rFonts w:cs="Arial"/>
        </w:rPr>
      </w:pPr>
    </w:p>
    <w:p w14:paraId="01B45814" w14:textId="26C6011B" w:rsidR="001053EA" w:rsidRPr="00A241F5" w:rsidRDefault="001053EA" w:rsidP="003E1F3C">
      <w:pPr>
        <w:pStyle w:val="Heading4"/>
      </w:pPr>
      <w:r w:rsidRPr="00A241F5">
        <w:t>Comments from Respondents who supported Recommendation 9(1)</w:t>
      </w:r>
    </w:p>
    <w:p w14:paraId="7EA3B980" w14:textId="77777777" w:rsidR="001053EA" w:rsidRPr="00A241F5" w:rsidRDefault="001053EA" w:rsidP="001053EA">
      <w:pPr>
        <w:widowControl/>
        <w:tabs>
          <w:tab w:val="clear" w:pos="1418"/>
          <w:tab w:val="left" w:pos="1440"/>
        </w:tabs>
        <w:rPr>
          <w:rFonts w:cs="Arial"/>
        </w:rPr>
      </w:pPr>
    </w:p>
    <w:p w14:paraId="6A105338" w14:textId="2319445A" w:rsidR="001053EA" w:rsidRPr="00A241F5" w:rsidRDefault="00970E72" w:rsidP="001053EA">
      <w:pPr>
        <w:widowControl/>
        <w:tabs>
          <w:tab w:val="clear" w:pos="1418"/>
          <w:tab w:val="left" w:pos="1440"/>
        </w:tabs>
        <w:rPr>
          <w:rFonts w:cs="Arial"/>
        </w:rPr>
      </w:pPr>
      <w:r w:rsidRPr="00A241F5">
        <w:rPr>
          <w:rFonts w:cs="Arial"/>
        </w:rPr>
        <w:t>10.</w:t>
      </w:r>
      <w:r w:rsidR="001053EA" w:rsidRPr="00A241F5">
        <w:rPr>
          <w:rFonts w:cs="Arial"/>
        </w:rPr>
        <w:t>2</w:t>
      </w:r>
      <w:r w:rsidR="001053EA" w:rsidRPr="00A241F5">
        <w:rPr>
          <w:rFonts w:cs="Arial"/>
        </w:rPr>
        <w:tab/>
        <w:t>All but one of the submissions that commented on  Recommendation 9(1) supported the recommendation that clients should be able to agree, on a case by case basis, whether: (a) the DBA Payment (and thus the DBA Payment cap) includes barristers</w:t>
      </w:r>
      <w:r w:rsidR="00C61F4B" w:rsidRPr="00A241F5">
        <w:rPr>
          <w:rFonts w:cs="Arial"/>
        </w:rPr>
        <w:t>'</w:t>
      </w:r>
      <w:r w:rsidR="001053EA" w:rsidRPr="00A241F5">
        <w:rPr>
          <w:rFonts w:cs="Arial"/>
        </w:rPr>
        <w:t xml:space="preserve"> fees; or (b) barristers</w:t>
      </w:r>
      <w:r w:rsidR="00C61F4B" w:rsidRPr="00A241F5">
        <w:rPr>
          <w:rFonts w:cs="Arial"/>
        </w:rPr>
        <w:t>'</w:t>
      </w:r>
      <w:r w:rsidR="001053EA" w:rsidRPr="00A241F5">
        <w:rPr>
          <w:rFonts w:cs="Arial"/>
        </w:rPr>
        <w:t xml:space="preserve"> fees will be charged as a separate disbursement outside the DBA Payment.</w:t>
      </w:r>
    </w:p>
    <w:p w14:paraId="0F557585" w14:textId="77777777" w:rsidR="001053EA" w:rsidRPr="00A241F5" w:rsidRDefault="001053EA" w:rsidP="001053EA">
      <w:pPr>
        <w:widowControl/>
        <w:tabs>
          <w:tab w:val="clear" w:pos="1418"/>
          <w:tab w:val="left" w:pos="1440"/>
        </w:tabs>
        <w:rPr>
          <w:rFonts w:cs="Arial"/>
        </w:rPr>
      </w:pPr>
      <w:r w:rsidRPr="00A241F5">
        <w:rPr>
          <w:rFonts w:cs="Arial"/>
        </w:rPr>
        <w:t xml:space="preserve"> </w:t>
      </w:r>
    </w:p>
    <w:p w14:paraId="3E66E4D4" w14:textId="45DD4362" w:rsidR="00264318" w:rsidRPr="00A241F5" w:rsidRDefault="00970E72" w:rsidP="001053EA">
      <w:pPr>
        <w:widowControl/>
        <w:tabs>
          <w:tab w:val="clear" w:pos="1418"/>
          <w:tab w:val="left" w:pos="1440"/>
        </w:tabs>
        <w:rPr>
          <w:rFonts w:cs="Arial"/>
        </w:rPr>
      </w:pPr>
      <w:r w:rsidRPr="00A241F5">
        <w:rPr>
          <w:rFonts w:cs="Arial"/>
        </w:rPr>
        <w:t>10.</w:t>
      </w:r>
      <w:r w:rsidR="006F3D3E">
        <w:rPr>
          <w:rFonts w:cs="Arial"/>
        </w:rPr>
        <w:t>3</w:t>
      </w:r>
      <w:r w:rsidR="001053EA" w:rsidRPr="00A241F5">
        <w:rPr>
          <w:rFonts w:cs="Arial"/>
        </w:rPr>
        <w:tab/>
        <w:t xml:space="preserve">A Government department commented: </w:t>
      </w:r>
    </w:p>
    <w:p w14:paraId="3CCE1435" w14:textId="77777777" w:rsidR="00264318" w:rsidRPr="00A241F5" w:rsidRDefault="00264318" w:rsidP="001053EA">
      <w:pPr>
        <w:widowControl/>
        <w:tabs>
          <w:tab w:val="clear" w:pos="1418"/>
          <w:tab w:val="left" w:pos="1440"/>
        </w:tabs>
        <w:rPr>
          <w:rFonts w:cs="Arial"/>
        </w:rPr>
      </w:pPr>
    </w:p>
    <w:p w14:paraId="5C8A318D" w14:textId="61E51911" w:rsidR="001053EA" w:rsidRPr="00A241F5" w:rsidRDefault="00C61F4B" w:rsidP="008B04F6">
      <w:pPr>
        <w:pStyle w:val="BlockText"/>
        <w:widowControl/>
      </w:pPr>
      <w:r w:rsidRPr="00A241F5">
        <w:t>"</w:t>
      </w:r>
      <w:r w:rsidR="001053EA" w:rsidRPr="00A241F5">
        <w:t xml:space="preserve">In principle, arbitration parties are allowed to freely structure their representation.  They may choose to be represented by lawyers qualified in any jurisdictions.  They may also elect to engage a barrister directly without the intervention of a firm of solicitors.  Taking into consideration the high degree of party autonomy in </w:t>
      </w:r>
      <w:r w:rsidR="001053EA" w:rsidRPr="00A241F5">
        <w:lastRenderedPageBreak/>
        <w:t>arbitration, we agree with the LRC Sub-committee</w:t>
      </w:r>
      <w:r w:rsidRPr="00A241F5">
        <w:t>'</w:t>
      </w:r>
      <w:r w:rsidR="001053EA" w:rsidRPr="00A241F5">
        <w:t>s recommendations in this regard</w:t>
      </w:r>
      <w:r w:rsidR="00923002" w:rsidRPr="00A241F5">
        <w:t>.</w:t>
      </w:r>
      <w:r w:rsidRPr="00A241F5">
        <w:t>"</w:t>
      </w:r>
    </w:p>
    <w:p w14:paraId="3C9BDDF1" w14:textId="77777777" w:rsidR="001053EA" w:rsidRPr="00A241F5" w:rsidRDefault="001053EA" w:rsidP="001053EA">
      <w:pPr>
        <w:widowControl/>
        <w:tabs>
          <w:tab w:val="clear" w:pos="1418"/>
          <w:tab w:val="left" w:pos="1440"/>
        </w:tabs>
        <w:rPr>
          <w:rFonts w:cs="Arial"/>
        </w:rPr>
      </w:pPr>
    </w:p>
    <w:p w14:paraId="429E39B9" w14:textId="7E98D82F" w:rsidR="001053EA" w:rsidRPr="00A241F5" w:rsidRDefault="00970E72" w:rsidP="001053EA">
      <w:pPr>
        <w:widowControl/>
        <w:tabs>
          <w:tab w:val="clear" w:pos="1418"/>
          <w:tab w:val="left" w:pos="1440"/>
        </w:tabs>
        <w:rPr>
          <w:rFonts w:cs="Arial"/>
        </w:rPr>
      </w:pPr>
      <w:r w:rsidRPr="00A241F5">
        <w:rPr>
          <w:rFonts w:cs="Arial"/>
        </w:rPr>
        <w:t>10.</w:t>
      </w:r>
      <w:r w:rsidR="001053EA" w:rsidRPr="00A241F5">
        <w:rPr>
          <w:rFonts w:cs="Arial"/>
        </w:rPr>
        <w:t>4</w:t>
      </w:r>
      <w:r w:rsidR="001053EA" w:rsidRPr="00A241F5">
        <w:rPr>
          <w:rFonts w:cs="Arial"/>
        </w:rPr>
        <w:tab/>
      </w:r>
      <w:r w:rsidR="00E21BEB" w:rsidRPr="00A241F5">
        <w:rPr>
          <w:rFonts w:cs="Arial"/>
        </w:rPr>
        <w:t>A regulator</w:t>
      </w:r>
      <w:r w:rsidR="001053EA" w:rsidRPr="00A241F5">
        <w:rPr>
          <w:rFonts w:cs="Arial"/>
        </w:rPr>
        <w:t xml:space="preserve"> also agreed, noting that</w:t>
      </w:r>
      <w:r w:rsidR="001053EA" w:rsidRPr="00A241F5">
        <w:rPr>
          <w:rFonts w:cs="Arial"/>
          <w:i/>
        </w:rPr>
        <w:t xml:space="preserve"> </w:t>
      </w:r>
      <w:r w:rsidR="00C61F4B" w:rsidRPr="00A241F5">
        <w:rPr>
          <w:rFonts w:cs="Arial"/>
          <w:i/>
        </w:rPr>
        <w:t>"</w:t>
      </w:r>
      <w:r w:rsidR="001053EA" w:rsidRPr="00A241F5">
        <w:rPr>
          <w:rFonts w:cs="Arial"/>
          <w:i/>
        </w:rPr>
        <w:t>the scope of the ORFS framework should be broadly and flexibly crafted so as to encompass the diversified needs of different parties to enter into the most suitable fee arrangement(s)</w:t>
      </w:r>
      <w:r w:rsidR="00C61F4B" w:rsidRPr="00A241F5">
        <w:rPr>
          <w:rFonts w:cs="Arial"/>
          <w:i/>
        </w:rPr>
        <w:t>"</w:t>
      </w:r>
      <w:r w:rsidR="00923002" w:rsidRPr="00A241F5">
        <w:rPr>
          <w:rFonts w:cs="Arial"/>
        </w:rPr>
        <w:t>.</w:t>
      </w:r>
    </w:p>
    <w:p w14:paraId="4B193982" w14:textId="77777777" w:rsidR="001053EA" w:rsidRPr="00A241F5" w:rsidRDefault="001053EA" w:rsidP="001053EA">
      <w:pPr>
        <w:widowControl/>
        <w:tabs>
          <w:tab w:val="clear" w:pos="1418"/>
          <w:tab w:val="left" w:pos="1440"/>
        </w:tabs>
        <w:rPr>
          <w:rFonts w:cs="Arial"/>
        </w:rPr>
      </w:pPr>
    </w:p>
    <w:p w14:paraId="21C01F1F" w14:textId="5EB1BC18" w:rsidR="001053EA" w:rsidRPr="00A241F5" w:rsidRDefault="00970E72" w:rsidP="001053EA">
      <w:pPr>
        <w:widowControl/>
        <w:tabs>
          <w:tab w:val="clear" w:pos="1418"/>
          <w:tab w:val="left" w:pos="1440"/>
        </w:tabs>
        <w:rPr>
          <w:rFonts w:cs="Arial"/>
        </w:rPr>
      </w:pPr>
      <w:r w:rsidRPr="00A241F5">
        <w:rPr>
          <w:rFonts w:cs="Arial"/>
        </w:rPr>
        <w:t>10.</w:t>
      </w:r>
      <w:r w:rsidR="001053EA" w:rsidRPr="00A241F5">
        <w:rPr>
          <w:rFonts w:cs="Arial"/>
        </w:rPr>
        <w:t>5</w:t>
      </w:r>
      <w:r w:rsidR="001053EA" w:rsidRPr="00A241F5">
        <w:rPr>
          <w:rFonts w:cs="Arial"/>
        </w:rPr>
        <w:tab/>
        <w:t>A chamber of commerce</w:t>
      </w:r>
      <w:r w:rsidR="00C61F4B" w:rsidRPr="00A241F5">
        <w:rPr>
          <w:rFonts w:cs="Arial"/>
        </w:rPr>
        <w:t>'</w:t>
      </w:r>
      <w:r w:rsidR="001053EA" w:rsidRPr="00A241F5">
        <w:rPr>
          <w:rFonts w:cs="Arial"/>
        </w:rPr>
        <w:t xml:space="preserve">s view was consistent: </w:t>
      </w:r>
      <w:r w:rsidR="00C61F4B" w:rsidRPr="00A241F5">
        <w:rPr>
          <w:rFonts w:cs="Arial"/>
          <w:i/>
        </w:rPr>
        <w:t>"</w:t>
      </w:r>
      <w:r w:rsidR="001053EA" w:rsidRPr="00A241F5">
        <w:rPr>
          <w:rFonts w:cs="Arial"/>
          <w:i/>
        </w:rPr>
        <w:t>We agree with these recommendations.  Businesses should be free to negotiate with their lawyers whether or not the DBA payment includes barristers</w:t>
      </w:r>
      <w:r w:rsidR="00C61F4B" w:rsidRPr="00A241F5">
        <w:rPr>
          <w:rFonts w:cs="Arial"/>
          <w:i/>
        </w:rPr>
        <w:t>'</w:t>
      </w:r>
      <w:r w:rsidR="001053EA" w:rsidRPr="00A241F5">
        <w:rPr>
          <w:rFonts w:cs="Arial"/>
          <w:i/>
        </w:rPr>
        <w:t xml:space="preserve"> fees</w:t>
      </w:r>
      <w:r w:rsidR="00923002" w:rsidRPr="00A241F5">
        <w:rPr>
          <w:rFonts w:cs="Arial"/>
          <w:i/>
        </w:rPr>
        <w:t>.</w:t>
      </w:r>
      <w:r w:rsidR="00C61F4B" w:rsidRPr="00A241F5">
        <w:rPr>
          <w:rFonts w:cs="Arial"/>
          <w:i/>
        </w:rPr>
        <w:t>"</w:t>
      </w:r>
      <w:r w:rsidR="001053EA" w:rsidRPr="00A241F5">
        <w:rPr>
          <w:rFonts w:cs="Arial"/>
        </w:rPr>
        <w:br/>
      </w:r>
    </w:p>
    <w:p w14:paraId="6276BB81" w14:textId="72AA522C" w:rsidR="001053EA" w:rsidRPr="00A241F5" w:rsidRDefault="00970E72" w:rsidP="001053EA">
      <w:pPr>
        <w:widowControl/>
        <w:tabs>
          <w:tab w:val="clear" w:pos="1418"/>
          <w:tab w:val="left" w:pos="1440"/>
        </w:tabs>
        <w:rPr>
          <w:rFonts w:cs="Arial"/>
        </w:rPr>
      </w:pPr>
      <w:r w:rsidRPr="00A241F5">
        <w:rPr>
          <w:rFonts w:cs="Arial"/>
        </w:rPr>
        <w:t>10.</w:t>
      </w:r>
      <w:r w:rsidR="001053EA" w:rsidRPr="00A241F5">
        <w:rPr>
          <w:rFonts w:cs="Arial"/>
        </w:rPr>
        <w:t>6</w:t>
      </w:r>
      <w:r w:rsidR="001053EA" w:rsidRPr="00A241F5">
        <w:rPr>
          <w:rFonts w:cs="Arial"/>
        </w:rPr>
        <w:tab/>
        <w:t xml:space="preserve">The Law Society also supported the recommendation, stating that </w:t>
      </w:r>
      <w:r w:rsidR="00C61F4B" w:rsidRPr="00A241F5">
        <w:rPr>
          <w:rFonts w:cs="Arial"/>
          <w:i/>
        </w:rPr>
        <w:t>"</w:t>
      </w:r>
      <w:r w:rsidR="001053EA" w:rsidRPr="00A241F5">
        <w:rPr>
          <w:rFonts w:cs="Arial"/>
          <w:i/>
        </w:rPr>
        <w:t>clients should be fully advised on and be given the choice on whether: (a) the DBA Payment includes barristers</w:t>
      </w:r>
      <w:r w:rsidR="00C61F4B" w:rsidRPr="00A241F5">
        <w:rPr>
          <w:rFonts w:cs="Arial"/>
          <w:i/>
        </w:rPr>
        <w:t>'</w:t>
      </w:r>
      <w:r w:rsidR="001053EA" w:rsidRPr="00A241F5">
        <w:rPr>
          <w:rFonts w:cs="Arial"/>
          <w:i/>
        </w:rPr>
        <w:t xml:space="preserve"> fees; or (b) barristers</w:t>
      </w:r>
      <w:r w:rsidR="00C61F4B" w:rsidRPr="00A241F5">
        <w:rPr>
          <w:rFonts w:cs="Arial"/>
          <w:i/>
        </w:rPr>
        <w:t>'</w:t>
      </w:r>
      <w:r w:rsidR="001053EA" w:rsidRPr="00A241F5">
        <w:rPr>
          <w:rFonts w:cs="Arial"/>
          <w:i/>
        </w:rPr>
        <w:t xml:space="preserve"> fees would be charged as a separate disbursement outside the DBA Payment</w:t>
      </w:r>
      <w:r w:rsidR="00C61F4B" w:rsidRPr="00A241F5">
        <w:rPr>
          <w:rFonts w:cs="Arial"/>
          <w:i/>
        </w:rPr>
        <w:t>"</w:t>
      </w:r>
      <w:r w:rsidR="00923002" w:rsidRPr="00A241F5">
        <w:rPr>
          <w:rFonts w:cs="Arial"/>
        </w:rPr>
        <w:t>.</w:t>
      </w:r>
      <w:r w:rsidR="001053EA" w:rsidRPr="00A241F5">
        <w:rPr>
          <w:rFonts w:cs="Arial"/>
        </w:rPr>
        <w:t xml:space="preserve">  The HKBA also agreed with Recommendation 9(1). </w:t>
      </w:r>
    </w:p>
    <w:p w14:paraId="00043C81" w14:textId="77777777" w:rsidR="001053EA" w:rsidRPr="00A241F5" w:rsidRDefault="001053EA" w:rsidP="001053EA">
      <w:pPr>
        <w:widowControl/>
        <w:tabs>
          <w:tab w:val="clear" w:pos="1418"/>
          <w:tab w:val="left" w:pos="1440"/>
        </w:tabs>
        <w:rPr>
          <w:rFonts w:cs="Arial"/>
        </w:rPr>
      </w:pPr>
    </w:p>
    <w:p w14:paraId="3D91BEE9" w14:textId="4307AC5E" w:rsidR="001053EA" w:rsidRPr="00A241F5" w:rsidRDefault="00970E72" w:rsidP="001053EA">
      <w:pPr>
        <w:widowControl/>
        <w:tabs>
          <w:tab w:val="clear" w:pos="1418"/>
          <w:tab w:val="left" w:pos="1440"/>
        </w:tabs>
        <w:rPr>
          <w:rFonts w:cs="Arial"/>
        </w:rPr>
      </w:pPr>
      <w:r w:rsidRPr="00A241F5">
        <w:rPr>
          <w:rFonts w:cs="Arial"/>
        </w:rPr>
        <w:t>10.</w:t>
      </w:r>
      <w:r w:rsidR="001053EA" w:rsidRPr="00A241F5">
        <w:rPr>
          <w:rFonts w:cs="Arial"/>
        </w:rPr>
        <w:t>7</w:t>
      </w:r>
      <w:r w:rsidR="001053EA" w:rsidRPr="00A241F5">
        <w:rPr>
          <w:rFonts w:cs="Arial"/>
        </w:rPr>
        <w:tab/>
        <w:t xml:space="preserve">A litigation funder concurred: </w:t>
      </w:r>
      <w:r w:rsidR="00C61F4B" w:rsidRPr="00A241F5">
        <w:rPr>
          <w:rFonts w:cs="Arial"/>
          <w:i/>
        </w:rPr>
        <w:t>"</w:t>
      </w:r>
      <w:r w:rsidR="001053EA" w:rsidRPr="00A241F5">
        <w:rPr>
          <w:rFonts w:cs="Arial"/>
        </w:rPr>
        <w:t>[</w:t>
      </w:r>
      <w:r w:rsidR="00E21BEB" w:rsidRPr="00A241F5">
        <w:rPr>
          <w:rFonts w:cs="Arial"/>
          <w:i/>
        </w:rPr>
        <w:t xml:space="preserve">The </w:t>
      </w:r>
      <w:r w:rsidR="001053EA" w:rsidRPr="00A241F5">
        <w:rPr>
          <w:rFonts w:cs="Arial"/>
          <w:i/>
        </w:rPr>
        <w:t>funder</w:t>
      </w:r>
      <w:r w:rsidR="001053EA" w:rsidRPr="00A241F5">
        <w:rPr>
          <w:rFonts w:cs="Arial"/>
        </w:rPr>
        <w:t>]</w:t>
      </w:r>
      <w:r w:rsidR="001053EA" w:rsidRPr="00A241F5">
        <w:rPr>
          <w:rFonts w:cs="Arial"/>
          <w:i/>
        </w:rPr>
        <w:t xml:space="preserve"> agrees with the Sub-committee</w:t>
      </w:r>
      <w:r w:rsidR="00C61F4B" w:rsidRPr="00A241F5">
        <w:rPr>
          <w:rFonts w:cs="Arial"/>
          <w:i/>
        </w:rPr>
        <w:t>'</w:t>
      </w:r>
      <w:r w:rsidR="001053EA" w:rsidRPr="00A241F5">
        <w:rPr>
          <w:rFonts w:cs="Arial"/>
          <w:i/>
        </w:rPr>
        <w:t>s recommendation for flexibility in how barristers</w:t>
      </w:r>
      <w:r w:rsidR="00C61F4B" w:rsidRPr="00A241F5">
        <w:rPr>
          <w:rFonts w:cs="Arial"/>
          <w:i/>
        </w:rPr>
        <w:t>'</w:t>
      </w:r>
      <w:r w:rsidR="001053EA" w:rsidRPr="00A241F5">
        <w:rPr>
          <w:rFonts w:cs="Arial"/>
          <w:i/>
        </w:rPr>
        <w:t xml:space="preserve"> fees are charged.  These terms should be left to the parties to negotiate and structure in the most appropriate way, depending on the circumstances of the case, provided there is a requirement in the ORFS regime for clients to receive independent advice ...</w:t>
      </w:r>
      <w:r w:rsidR="00810578">
        <w:rPr>
          <w:rFonts w:cs="Arial"/>
          <w:i/>
        </w:rPr>
        <w:t xml:space="preserve"> .</w:t>
      </w:r>
      <w:r w:rsidR="00C61F4B" w:rsidRPr="00A241F5">
        <w:rPr>
          <w:rFonts w:cs="Arial"/>
          <w:i/>
        </w:rPr>
        <w:t>"</w:t>
      </w:r>
    </w:p>
    <w:p w14:paraId="62718762" w14:textId="38177FDA" w:rsidR="001053EA" w:rsidRPr="00A241F5" w:rsidRDefault="001053EA" w:rsidP="001053EA">
      <w:pPr>
        <w:widowControl/>
        <w:tabs>
          <w:tab w:val="clear" w:pos="1418"/>
          <w:tab w:val="left" w:pos="1440"/>
        </w:tabs>
        <w:rPr>
          <w:rFonts w:cs="Arial"/>
        </w:rPr>
      </w:pPr>
    </w:p>
    <w:p w14:paraId="386394F7" w14:textId="606014E1" w:rsidR="001053EA" w:rsidRPr="00A241F5" w:rsidRDefault="001053EA" w:rsidP="00D956D6">
      <w:pPr>
        <w:pStyle w:val="Heading4"/>
      </w:pPr>
      <w:r w:rsidRPr="00A241F5">
        <w:t>Comments from the Respondent who opposed Recommendation 9(1)</w:t>
      </w:r>
    </w:p>
    <w:p w14:paraId="5F56A3D1" w14:textId="77777777" w:rsidR="001053EA" w:rsidRPr="00A241F5" w:rsidRDefault="001053EA" w:rsidP="001053EA">
      <w:pPr>
        <w:keepNext/>
        <w:keepLines/>
        <w:widowControl/>
        <w:tabs>
          <w:tab w:val="clear" w:pos="1418"/>
          <w:tab w:val="left" w:pos="1440"/>
        </w:tabs>
        <w:rPr>
          <w:rFonts w:cs="Arial"/>
        </w:rPr>
      </w:pPr>
    </w:p>
    <w:p w14:paraId="19D76BD5" w14:textId="4CC1E401" w:rsidR="001053EA" w:rsidRPr="00A241F5" w:rsidRDefault="00970E72" w:rsidP="001053EA">
      <w:pPr>
        <w:widowControl/>
        <w:tabs>
          <w:tab w:val="clear" w:pos="1418"/>
          <w:tab w:val="left" w:pos="1440"/>
        </w:tabs>
        <w:rPr>
          <w:rFonts w:cs="Arial"/>
        </w:rPr>
      </w:pPr>
      <w:r w:rsidRPr="00A241F5">
        <w:rPr>
          <w:rFonts w:cs="Arial"/>
        </w:rPr>
        <w:t>10.</w:t>
      </w:r>
      <w:r w:rsidR="001053EA" w:rsidRPr="00A241F5">
        <w:rPr>
          <w:rFonts w:cs="Arial"/>
        </w:rPr>
        <w:t>8</w:t>
      </w:r>
      <w:r w:rsidR="001053EA" w:rsidRPr="00A241F5">
        <w:rPr>
          <w:rFonts w:cs="Arial"/>
        </w:rPr>
        <w:tab/>
        <w:t xml:space="preserve">Only one Respondent appeared to oppose Recommendation 9(1).  Even then this was on the basis, stated simply, that </w:t>
      </w:r>
      <w:r w:rsidR="00C61F4B" w:rsidRPr="00A241F5">
        <w:rPr>
          <w:rFonts w:cs="Arial"/>
          <w:i/>
        </w:rPr>
        <w:t>"</w:t>
      </w:r>
      <w:r w:rsidR="00740F7B" w:rsidRPr="00A241F5">
        <w:rPr>
          <w:rFonts w:cs="Arial"/>
        </w:rPr>
        <w:t>[</w:t>
      </w:r>
      <w:r w:rsidR="00740F7B" w:rsidRPr="00A241F5">
        <w:rPr>
          <w:rFonts w:cs="Arial"/>
          <w:i/>
        </w:rPr>
        <w:t>s</w:t>
      </w:r>
      <w:r w:rsidR="00740F7B" w:rsidRPr="00A241F5">
        <w:rPr>
          <w:rFonts w:cs="Arial"/>
        </w:rPr>
        <w:t>]</w:t>
      </w:r>
      <w:r w:rsidR="001053EA" w:rsidRPr="00A241F5">
        <w:rPr>
          <w:rFonts w:cs="Arial"/>
          <w:i/>
        </w:rPr>
        <w:t>olicitors shouldn</w:t>
      </w:r>
      <w:r w:rsidR="00C61F4B" w:rsidRPr="00A241F5">
        <w:rPr>
          <w:rFonts w:cs="Arial"/>
          <w:i/>
        </w:rPr>
        <w:t>'</w:t>
      </w:r>
      <w:r w:rsidR="001053EA" w:rsidRPr="00A241F5">
        <w:rPr>
          <w:rFonts w:cs="Arial"/>
          <w:i/>
        </w:rPr>
        <w:t>t be liable for terms agreed between barristers and clients</w:t>
      </w:r>
      <w:r w:rsidR="00C61F4B" w:rsidRPr="00A241F5">
        <w:rPr>
          <w:rFonts w:cs="Arial"/>
          <w:i/>
        </w:rPr>
        <w:t>"</w:t>
      </w:r>
      <w:r w:rsidR="001053EA" w:rsidRPr="00A241F5">
        <w:rPr>
          <w:rFonts w:cs="Arial"/>
        </w:rPr>
        <w:t>, and thus was in support of barristers being engaged directly by clients, which is possible in Arbitration.</w:t>
      </w:r>
    </w:p>
    <w:p w14:paraId="78509B39" w14:textId="77777777" w:rsidR="001053EA" w:rsidRPr="00A241F5" w:rsidRDefault="001053EA" w:rsidP="001053EA">
      <w:pPr>
        <w:widowControl/>
        <w:tabs>
          <w:tab w:val="clear" w:pos="1418"/>
          <w:tab w:val="left" w:pos="1440"/>
        </w:tabs>
        <w:rPr>
          <w:rFonts w:cs="Arial"/>
        </w:rPr>
      </w:pPr>
    </w:p>
    <w:p w14:paraId="475FD989" w14:textId="77777777" w:rsidR="001053EA" w:rsidRPr="00A241F5" w:rsidRDefault="001053EA" w:rsidP="001053EA">
      <w:pPr>
        <w:widowControl/>
        <w:tabs>
          <w:tab w:val="clear" w:pos="1418"/>
          <w:tab w:val="left" w:pos="1440"/>
        </w:tabs>
        <w:rPr>
          <w:rFonts w:cs="Arial"/>
        </w:rPr>
      </w:pPr>
    </w:p>
    <w:p w14:paraId="4329321D" w14:textId="77777777" w:rsidR="001053EA" w:rsidRPr="00A241F5" w:rsidRDefault="001053EA" w:rsidP="001053EA">
      <w:pPr>
        <w:pStyle w:val="Heading2"/>
        <w:keepLines/>
        <w:widowControl/>
        <w:tabs>
          <w:tab w:val="clear" w:pos="1418"/>
          <w:tab w:val="left" w:pos="1440"/>
        </w:tabs>
        <w:rPr>
          <w:rFonts w:cs="Arial"/>
          <w:i/>
          <w:sz w:val="24"/>
        </w:rPr>
      </w:pPr>
      <w:r w:rsidRPr="00A241F5">
        <w:rPr>
          <w:rFonts w:cs="Arial"/>
          <w:i/>
          <w:sz w:val="24"/>
        </w:rPr>
        <w:t>Our analysis and response</w:t>
      </w:r>
    </w:p>
    <w:p w14:paraId="1E74581B" w14:textId="77777777" w:rsidR="001053EA" w:rsidRPr="00A241F5" w:rsidRDefault="001053EA" w:rsidP="001053EA"/>
    <w:p w14:paraId="7064C7EA" w14:textId="51A5FF17" w:rsidR="001053EA" w:rsidRPr="00A241F5" w:rsidRDefault="00970E72" w:rsidP="001053EA">
      <w:pPr>
        <w:widowControl/>
        <w:tabs>
          <w:tab w:val="clear" w:pos="1418"/>
          <w:tab w:val="left" w:pos="1440"/>
        </w:tabs>
      </w:pPr>
      <w:r w:rsidRPr="00A241F5">
        <w:t>10.</w:t>
      </w:r>
      <w:r w:rsidR="001053EA" w:rsidRPr="00A241F5">
        <w:t>9</w:t>
      </w:r>
      <w:r w:rsidR="001053EA" w:rsidRPr="00A241F5">
        <w:tab/>
        <w:t>As discussed in paragraph 5.47 of the Consultation Paper, the Redrafted 2019 DBA Regulations contemplate a client being able to choose whether to engage barristers through its solicitors (in which case the barristers</w:t>
      </w:r>
      <w:r w:rsidR="00C61F4B" w:rsidRPr="00A241F5">
        <w:t>'</w:t>
      </w:r>
      <w:r w:rsidR="001053EA" w:rsidRPr="00A241F5">
        <w:t xml:space="preserve"> fees would be paid out of the DBA Payment) or directly (in which case the barristers</w:t>
      </w:r>
      <w:r w:rsidR="00B93C73" w:rsidRPr="00A241F5">
        <w:t>'</w:t>
      </w:r>
      <w:r w:rsidR="001053EA" w:rsidRPr="00A241F5">
        <w:t xml:space="preserve"> fees would lie outside the DBA Payment). </w:t>
      </w:r>
    </w:p>
    <w:p w14:paraId="6556607B" w14:textId="77777777" w:rsidR="001053EA" w:rsidRPr="00A241F5" w:rsidRDefault="001053EA" w:rsidP="001053EA">
      <w:pPr>
        <w:widowControl/>
        <w:tabs>
          <w:tab w:val="clear" w:pos="1418"/>
          <w:tab w:val="left" w:pos="1440"/>
        </w:tabs>
      </w:pPr>
    </w:p>
    <w:p w14:paraId="3DC02DEB" w14:textId="6837EF1E" w:rsidR="001053EA" w:rsidRPr="00A241F5" w:rsidRDefault="00970E72" w:rsidP="001053EA">
      <w:pPr>
        <w:widowControl/>
        <w:tabs>
          <w:tab w:val="clear" w:pos="1418"/>
          <w:tab w:val="left" w:pos="1440"/>
        </w:tabs>
      </w:pPr>
      <w:r w:rsidRPr="00A241F5">
        <w:t>10.</w:t>
      </w:r>
      <w:r w:rsidR="001053EA" w:rsidRPr="00A241F5">
        <w:t>10</w:t>
      </w:r>
      <w:r w:rsidR="001053EA" w:rsidRPr="00A241F5">
        <w:tab/>
        <w:t>In light of this, and considering the overwhelming support for Recommendation 9(1), we fully agree that parties should be able to choose (i) how to structure the client</w:t>
      </w:r>
      <w:r w:rsidR="00C61F4B" w:rsidRPr="00A241F5">
        <w:t>'</w:t>
      </w:r>
      <w:r w:rsidR="001053EA" w:rsidRPr="00A241F5">
        <w:t>s legal representation and (ii) whether barrister</w:t>
      </w:r>
      <w:r w:rsidR="00B93C73" w:rsidRPr="00A241F5">
        <w:t>s</w:t>
      </w:r>
      <w:r w:rsidR="00C61F4B" w:rsidRPr="00A241F5">
        <w:t>'</w:t>
      </w:r>
      <w:r w:rsidR="001053EA" w:rsidRPr="00A241F5">
        <w:t xml:space="preserve"> fees (or any other disbursements incurred by the solicitor) will be absorbed as part of the DBA Payment, or whether they are to be treated as </w:t>
      </w:r>
      <w:r w:rsidR="001053EA" w:rsidRPr="00A241F5">
        <w:rPr>
          <w:i/>
        </w:rPr>
        <w:t>expenses</w:t>
      </w:r>
      <w:r w:rsidR="001053EA" w:rsidRPr="00A241F5">
        <w:t xml:space="preserve"> which the client is required to pay in addition to the DBA Payment.</w:t>
      </w:r>
    </w:p>
    <w:p w14:paraId="10AE650B" w14:textId="77777777" w:rsidR="001053EA" w:rsidRPr="00A241F5" w:rsidRDefault="001053EA" w:rsidP="001053EA">
      <w:pPr>
        <w:widowControl/>
        <w:tabs>
          <w:tab w:val="clear" w:pos="1418"/>
          <w:tab w:val="left" w:pos="1440"/>
        </w:tabs>
      </w:pPr>
    </w:p>
    <w:p w14:paraId="0D671437" w14:textId="4C6E0860" w:rsidR="001053EA" w:rsidRPr="00A241F5" w:rsidRDefault="00970E72" w:rsidP="001053EA">
      <w:pPr>
        <w:widowControl/>
        <w:tabs>
          <w:tab w:val="clear" w:pos="1418"/>
          <w:tab w:val="left" w:pos="1440"/>
        </w:tabs>
      </w:pPr>
      <w:r w:rsidRPr="00A241F5">
        <w:t>10.</w:t>
      </w:r>
      <w:r w:rsidR="001053EA" w:rsidRPr="00A241F5">
        <w:t>11</w:t>
      </w:r>
      <w:r w:rsidR="001053EA" w:rsidRPr="00A241F5">
        <w:tab/>
        <w:t>In fact, this is something that the parties could be required to specify (as relevant) in their DBA</w:t>
      </w:r>
      <w:r w:rsidR="004D2021" w:rsidRPr="00A241F5">
        <w:t>, or Hybrid DBA</w:t>
      </w:r>
      <w:r w:rsidR="001053EA" w:rsidRPr="00A241F5">
        <w:t xml:space="preserve">.   </w:t>
      </w:r>
    </w:p>
    <w:p w14:paraId="467F44D1" w14:textId="77777777" w:rsidR="001053EA" w:rsidRPr="00A241F5" w:rsidRDefault="001053EA" w:rsidP="001053EA">
      <w:pPr>
        <w:widowControl/>
        <w:tabs>
          <w:tab w:val="clear" w:pos="1418"/>
          <w:tab w:val="left" w:pos="1440"/>
        </w:tabs>
        <w:rPr>
          <w:rFonts w:cs="Arial"/>
        </w:rPr>
      </w:pPr>
    </w:p>
    <w:p w14:paraId="574890EC" w14:textId="77777777" w:rsidR="00E25E1E" w:rsidRPr="00A241F5" w:rsidRDefault="00E25E1E" w:rsidP="00E25E1E">
      <w:pPr>
        <w:pStyle w:val="Heading2"/>
        <w:widowControl/>
        <w:tabs>
          <w:tab w:val="clear" w:pos="1418"/>
          <w:tab w:val="left" w:pos="1440"/>
        </w:tabs>
        <w:rPr>
          <w:rFonts w:cs="Arial"/>
          <w:i/>
          <w:sz w:val="24"/>
        </w:rPr>
      </w:pPr>
      <w:r w:rsidRPr="00A241F5">
        <w:rPr>
          <w:rFonts w:cs="Arial"/>
          <w:i/>
          <w:sz w:val="24"/>
        </w:rPr>
        <w:t>Recommendation 9(2)</w:t>
      </w:r>
    </w:p>
    <w:p w14:paraId="0C9D7CDD" w14:textId="77777777" w:rsidR="001053EA" w:rsidRPr="00A241F5" w:rsidRDefault="001053EA" w:rsidP="001053EA">
      <w:pPr>
        <w:widowControl/>
        <w:tabs>
          <w:tab w:val="clear" w:pos="1418"/>
          <w:tab w:val="left" w:pos="1440"/>
        </w:tabs>
        <w:rPr>
          <w:rFonts w:cs="Arial"/>
        </w:rPr>
      </w:pPr>
    </w:p>
    <w:p w14:paraId="10CBF225" w14:textId="7BD32941" w:rsidR="001053EA" w:rsidRPr="00A241F5" w:rsidRDefault="001053EA" w:rsidP="00E25E1E">
      <w:pPr>
        <w:pStyle w:val="Heading4"/>
      </w:pPr>
      <w:r w:rsidRPr="00A241F5">
        <w:t>Comments from Respondents who supported Recommendation 9(2)</w:t>
      </w:r>
    </w:p>
    <w:p w14:paraId="7B153055" w14:textId="77777777" w:rsidR="001053EA" w:rsidRPr="00A241F5" w:rsidRDefault="001053EA" w:rsidP="001053EA">
      <w:pPr>
        <w:widowControl/>
        <w:tabs>
          <w:tab w:val="clear" w:pos="1418"/>
          <w:tab w:val="left" w:pos="1440"/>
        </w:tabs>
        <w:rPr>
          <w:rFonts w:cs="Arial"/>
        </w:rPr>
      </w:pPr>
    </w:p>
    <w:p w14:paraId="76EC243D" w14:textId="72BEE7DB" w:rsidR="001053EA" w:rsidRPr="00A241F5" w:rsidRDefault="00970E72" w:rsidP="001053EA">
      <w:pPr>
        <w:widowControl/>
        <w:tabs>
          <w:tab w:val="clear" w:pos="1418"/>
          <w:tab w:val="left" w:pos="1440"/>
        </w:tabs>
        <w:rPr>
          <w:rFonts w:cs="Arial"/>
        </w:rPr>
      </w:pPr>
      <w:r w:rsidRPr="00A241F5">
        <w:rPr>
          <w:rFonts w:cs="Arial"/>
        </w:rPr>
        <w:t>10.</w:t>
      </w:r>
      <w:r w:rsidR="001053EA" w:rsidRPr="00A241F5">
        <w:rPr>
          <w:rFonts w:cs="Arial"/>
        </w:rPr>
        <w:t>12</w:t>
      </w:r>
      <w:r w:rsidR="001053EA" w:rsidRPr="00A241F5">
        <w:rPr>
          <w:rFonts w:cs="Arial"/>
        </w:rPr>
        <w:tab/>
        <w:t>Of the Respondents that commented specifically, a slight majority agreed with Recommendation 9(2), namely that a solicitor</w:t>
      </w:r>
      <w:r w:rsidR="00C61F4B" w:rsidRPr="00A241F5">
        <w:rPr>
          <w:rFonts w:cs="Arial"/>
        </w:rPr>
        <w:t>'</w:t>
      </w:r>
      <w:r w:rsidR="001053EA" w:rsidRPr="00A241F5">
        <w:rPr>
          <w:rFonts w:cs="Arial"/>
        </w:rPr>
        <w:t>s DBA Payment plus a barrister</w:t>
      </w:r>
      <w:r w:rsidR="00C61F4B" w:rsidRPr="00A241F5">
        <w:rPr>
          <w:rFonts w:cs="Arial"/>
        </w:rPr>
        <w:t>'</w:t>
      </w:r>
      <w:r w:rsidR="001053EA" w:rsidRPr="00A241F5">
        <w:rPr>
          <w:rFonts w:cs="Arial"/>
        </w:rPr>
        <w:t xml:space="preserve">s DBA Payment in relation to the same claim or Proceedings should not exceed the prescribed DBA Payment cap.  </w:t>
      </w:r>
    </w:p>
    <w:p w14:paraId="5C371FA2" w14:textId="77777777" w:rsidR="001053EA" w:rsidRPr="00A241F5" w:rsidRDefault="001053EA" w:rsidP="001053EA">
      <w:pPr>
        <w:widowControl/>
        <w:tabs>
          <w:tab w:val="clear" w:pos="1418"/>
          <w:tab w:val="left" w:pos="1440"/>
        </w:tabs>
        <w:rPr>
          <w:rFonts w:cs="Arial"/>
        </w:rPr>
      </w:pPr>
    </w:p>
    <w:p w14:paraId="49C58436" w14:textId="7E961A7C" w:rsidR="001053EA" w:rsidRPr="00A241F5" w:rsidRDefault="00970E72" w:rsidP="001053EA">
      <w:pPr>
        <w:widowControl/>
        <w:tabs>
          <w:tab w:val="clear" w:pos="1418"/>
          <w:tab w:val="left" w:pos="1440"/>
        </w:tabs>
        <w:rPr>
          <w:rFonts w:cs="Arial"/>
        </w:rPr>
      </w:pPr>
      <w:r w:rsidRPr="00A241F5">
        <w:rPr>
          <w:rFonts w:cs="Arial"/>
        </w:rPr>
        <w:t>10.</w:t>
      </w:r>
      <w:r w:rsidR="001053EA" w:rsidRPr="00A241F5">
        <w:rPr>
          <w:rFonts w:cs="Arial"/>
        </w:rPr>
        <w:t>13</w:t>
      </w:r>
      <w:r w:rsidR="001053EA" w:rsidRPr="00A241F5">
        <w:rPr>
          <w:rFonts w:cs="Arial"/>
        </w:rPr>
        <w:tab/>
        <w:t xml:space="preserve">A chamber of commerce commented: </w:t>
      </w:r>
      <w:r w:rsidR="00C61F4B" w:rsidRPr="00A241F5">
        <w:rPr>
          <w:rFonts w:cs="Arial"/>
          <w:i/>
        </w:rPr>
        <w:t>"</w:t>
      </w:r>
      <w:r w:rsidR="00CB2607" w:rsidRPr="00A241F5">
        <w:rPr>
          <w:rFonts w:cs="Arial"/>
          <w:i/>
        </w:rPr>
        <w:t>W</w:t>
      </w:r>
      <w:r w:rsidR="001053EA" w:rsidRPr="00A241F5">
        <w:rPr>
          <w:rFonts w:cs="Arial"/>
          <w:i/>
        </w:rPr>
        <w:t>here there is a separate DBA between a client and a barrister, we agree that the solicitor</w:t>
      </w:r>
      <w:r w:rsidR="00C61F4B" w:rsidRPr="00A241F5">
        <w:rPr>
          <w:rFonts w:cs="Arial"/>
          <w:i/>
        </w:rPr>
        <w:t>'</w:t>
      </w:r>
      <w:r w:rsidR="001053EA" w:rsidRPr="00A241F5">
        <w:rPr>
          <w:rFonts w:cs="Arial"/>
          <w:i/>
        </w:rPr>
        <w:t>s DBA payment plus the barrister</w:t>
      </w:r>
      <w:r w:rsidR="00C61F4B" w:rsidRPr="00A241F5">
        <w:rPr>
          <w:rFonts w:cs="Arial"/>
          <w:i/>
        </w:rPr>
        <w:t>'</w:t>
      </w:r>
      <w:r w:rsidR="001053EA" w:rsidRPr="00A241F5">
        <w:rPr>
          <w:rFonts w:cs="Arial"/>
          <w:i/>
        </w:rPr>
        <w:t>s DBA payment should not exceed the prescribed DBA payment cap ...</w:t>
      </w:r>
      <w:r w:rsidR="00B7429A" w:rsidRPr="00A241F5">
        <w:rPr>
          <w:rFonts w:cs="Arial"/>
          <w:i/>
        </w:rPr>
        <w:t xml:space="preserve"> </w:t>
      </w:r>
      <w:r w:rsidR="00C071DE">
        <w:rPr>
          <w:rFonts w:cs="Arial"/>
          <w:i/>
        </w:rPr>
        <w:t>.</w:t>
      </w:r>
      <w:r w:rsidR="00C61F4B" w:rsidRPr="00A241F5">
        <w:rPr>
          <w:rFonts w:cs="Arial"/>
          <w:i/>
        </w:rPr>
        <w:t>"</w:t>
      </w:r>
      <w:r w:rsidR="001053EA" w:rsidRPr="00A241F5">
        <w:rPr>
          <w:rFonts w:cs="Arial"/>
        </w:rPr>
        <w:t xml:space="preserve">  The rationale given was that it would be </w:t>
      </w:r>
      <w:r w:rsidR="00C61F4B" w:rsidRPr="00A241F5">
        <w:rPr>
          <w:rFonts w:cs="Arial"/>
          <w:i/>
        </w:rPr>
        <w:t>"</w:t>
      </w:r>
      <w:r w:rsidR="001053EA" w:rsidRPr="00A241F5">
        <w:rPr>
          <w:rFonts w:cs="Arial"/>
          <w:i/>
        </w:rPr>
        <w:t>invidious for a successful claimant, under a DBA payment structure, to have to pay most, if not all, of the sum recovered in the arbitration on legal fees</w:t>
      </w:r>
      <w:r w:rsidR="00C61F4B" w:rsidRPr="00A241F5">
        <w:rPr>
          <w:rFonts w:cs="Arial"/>
          <w:i/>
        </w:rPr>
        <w:t>"</w:t>
      </w:r>
      <w:r w:rsidR="00923002" w:rsidRPr="00A241F5">
        <w:rPr>
          <w:rFonts w:cs="Arial"/>
        </w:rPr>
        <w:t>.</w:t>
      </w:r>
    </w:p>
    <w:p w14:paraId="396DD6D9" w14:textId="77777777" w:rsidR="001053EA" w:rsidRPr="00A241F5" w:rsidRDefault="001053EA" w:rsidP="001053EA">
      <w:pPr>
        <w:widowControl/>
        <w:tabs>
          <w:tab w:val="clear" w:pos="1418"/>
          <w:tab w:val="left" w:pos="1440"/>
        </w:tabs>
        <w:rPr>
          <w:rFonts w:cs="Arial"/>
        </w:rPr>
      </w:pPr>
    </w:p>
    <w:p w14:paraId="45D80465" w14:textId="1D046564" w:rsidR="001053EA" w:rsidRPr="00A241F5" w:rsidRDefault="00970E72" w:rsidP="001053EA">
      <w:pPr>
        <w:widowControl/>
        <w:tabs>
          <w:tab w:val="clear" w:pos="1418"/>
          <w:tab w:val="left" w:pos="1440"/>
        </w:tabs>
        <w:rPr>
          <w:rFonts w:cs="Arial"/>
        </w:rPr>
      </w:pPr>
      <w:r w:rsidRPr="00A241F5">
        <w:rPr>
          <w:rFonts w:cs="Arial"/>
        </w:rPr>
        <w:t>10.</w:t>
      </w:r>
      <w:r w:rsidR="001053EA" w:rsidRPr="00A241F5">
        <w:rPr>
          <w:rFonts w:cs="Arial"/>
        </w:rPr>
        <w:t>14</w:t>
      </w:r>
      <w:r w:rsidR="001053EA" w:rsidRPr="00A241F5">
        <w:rPr>
          <w:rFonts w:cs="Arial"/>
        </w:rPr>
        <w:tab/>
        <w:t xml:space="preserve">The Law Society agreed: </w:t>
      </w:r>
      <w:r w:rsidR="00C61F4B" w:rsidRPr="00A241F5">
        <w:rPr>
          <w:rFonts w:cs="Arial"/>
          <w:i/>
        </w:rPr>
        <w:t>"</w:t>
      </w:r>
      <w:r w:rsidR="001053EA" w:rsidRPr="00A241F5">
        <w:rPr>
          <w:rFonts w:cs="Arial"/>
          <w:i/>
        </w:rPr>
        <w:t>In the event that barristers</w:t>
      </w:r>
      <w:r w:rsidR="00C61F4B" w:rsidRPr="00A241F5">
        <w:rPr>
          <w:rFonts w:cs="Arial"/>
          <w:i/>
        </w:rPr>
        <w:t>'</w:t>
      </w:r>
      <w:r w:rsidR="001053EA" w:rsidRPr="00A241F5">
        <w:rPr>
          <w:rFonts w:cs="Arial"/>
          <w:i/>
        </w:rPr>
        <w:t xml:space="preserve"> fees are charged as a separate disbursement outside the DBA Payment, the Law Society considers that a solicitor</w:t>
      </w:r>
      <w:r w:rsidR="00C61F4B" w:rsidRPr="00A241F5">
        <w:rPr>
          <w:rFonts w:cs="Arial"/>
          <w:i/>
        </w:rPr>
        <w:t>'</w:t>
      </w:r>
      <w:r w:rsidR="001053EA" w:rsidRPr="00A241F5">
        <w:rPr>
          <w:rFonts w:cs="Arial"/>
          <w:i/>
        </w:rPr>
        <w:t>s DBA Payment plus a barrister</w:t>
      </w:r>
      <w:r w:rsidR="00C61F4B" w:rsidRPr="00A241F5">
        <w:rPr>
          <w:rFonts w:cs="Arial"/>
          <w:i/>
        </w:rPr>
        <w:t>'</w:t>
      </w:r>
      <w:r w:rsidR="001053EA" w:rsidRPr="00A241F5">
        <w:rPr>
          <w:rFonts w:cs="Arial"/>
          <w:i/>
        </w:rPr>
        <w:t>s DBA Payment in relation to the same claim or proceedings should not exceed the prescribed DBA Payment cap</w:t>
      </w:r>
      <w:r w:rsidR="00923002" w:rsidRPr="00A241F5">
        <w:rPr>
          <w:rFonts w:cs="Arial"/>
        </w:rPr>
        <w:t>.</w:t>
      </w:r>
      <w:r w:rsidR="00C61F4B" w:rsidRPr="00A241F5">
        <w:rPr>
          <w:rFonts w:cs="Arial"/>
          <w:i/>
        </w:rPr>
        <w:t>"</w:t>
      </w:r>
      <w:r w:rsidR="001053EA" w:rsidRPr="00A241F5">
        <w:rPr>
          <w:rFonts w:cs="Arial"/>
          <w:i/>
        </w:rPr>
        <w:t xml:space="preserve"> </w:t>
      </w:r>
      <w:r w:rsidR="001053EA" w:rsidRPr="00A241F5">
        <w:rPr>
          <w:rFonts w:cs="Arial"/>
        </w:rPr>
        <w:t xml:space="preserve"> </w:t>
      </w:r>
    </w:p>
    <w:p w14:paraId="0B2D6E10" w14:textId="77777777" w:rsidR="001053EA" w:rsidRPr="00A241F5" w:rsidRDefault="001053EA" w:rsidP="001053EA">
      <w:pPr>
        <w:widowControl/>
        <w:tabs>
          <w:tab w:val="clear" w:pos="1418"/>
          <w:tab w:val="left" w:pos="1440"/>
        </w:tabs>
        <w:rPr>
          <w:rFonts w:cs="Arial"/>
        </w:rPr>
      </w:pPr>
    </w:p>
    <w:p w14:paraId="68E40758" w14:textId="0A59B3AB" w:rsidR="001053EA" w:rsidRPr="00A241F5" w:rsidRDefault="00970E72" w:rsidP="001053EA">
      <w:pPr>
        <w:widowControl/>
        <w:tabs>
          <w:tab w:val="clear" w:pos="1418"/>
          <w:tab w:val="left" w:pos="1440"/>
        </w:tabs>
        <w:rPr>
          <w:rFonts w:cs="Arial"/>
          <w:i/>
        </w:rPr>
      </w:pPr>
      <w:r w:rsidRPr="00A241F5">
        <w:rPr>
          <w:rFonts w:cs="Arial"/>
        </w:rPr>
        <w:t>10.</w:t>
      </w:r>
      <w:r w:rsidR="001053EA" w:rsidRPr="00A241F5">
        <w:rPr>
          <w:rFonts w:cs="Arial"/>
        </w:rPr>
        <w:t>15</w:t>
      </w:r>
      <w:r w:rsidR="001053EA" w:rsidRPr="00A241F5">
        <w:rPr>
          <w:rFonts w:cs="Arial"/>
        </w:rPr>
        <w:tab/>
        <w:t>Another Respondent – a law firm – was also of the same view, but noted that where a solicitor</w:t>
      </w:r>
      <w:r w:rsidR="00C61F4B" w:rsidRPr="00A241F5">
        <w:rPr>
          <w:rFonts w:cs="Arial"/>
        </w:rPr>
        <w:t>'</w:t>
      </w:r>
      <w:r w:rsidR="001053EA" w:rsidRPr="00A241F5">
        <w:rPr>
          <w:rFonts w:cs="Arial"/>
        </w:rPr>
        <w:t>s and barrister</w:t>
      </w:r>
      <w:r w:rsidR="00C61F4B" w:rsidRPr="00A241F5">
        <w:rPr>
          <w:rFonts w:cs="Arial"/>
        </w:rPr>
        <w:t>'</w:t>
      </w:r>
      <w:r w:rsidR="001053EA" w:rsidRPr="00A241F5">
        <w:rPr>
          <w:rFonts w:cs="Arial"/>
        </w:rPr>
        <w:t xml:space="preserve">s combined DBA Payments were subject to the prescribed DBA </w:t>
      </w:r>
      <w:r w:rsidR="00AB5D07" w:rsidRPr="00A241F5">
        <w:rPr>
          <w:rFonts w:cs="Arial"/>
        </w:rPr>
        <w:t xml:space="preserve">Payment </w:t>
      </w:r>
      <w:r w:rsidR="001053EA" w:rsidRPr="00A241F5">
        <w:rPr>
          <w:rFonts w:cs="Arial"/>
        </w:rPr>
        <w:t xml:space="preserve">cap, its preference would be for the </w:t>
      </w:r>
      <w:r w:rsidR="00C61F4B" w:rsidRPr="00A241F5">
        <w:rPr>
          <w:rFonts w:cs="Arial"/>
          <w:i/>
        </w:rPr>
        <w:t>"</w:t>
      </w:r>
      <w:r w:rsidR="001053EA" w:rsidRPr="00A241F5">
        <w:rPr>
          <w:rFonts w:cs="Arial"/>
          <w:i/>
        </w:rPr>
        <w:t>DBA Payment cap to be set at the higher end of the range, ie 50%</w:t>
      </w:r>
      <w:r w:rsidR="00C61F4B" w:rsidRPr="00A241F5">
        <w:rPr>
          <w:rFonts w:cs="Arial"/>
          <w:i/>
        </w:rPr>
        <w:t>"</w:t>
      </w:r>
      <w:r w:rsidR="00923002" w:rsidRPr="00A241F5">
        <w:rPr>
          <w:rFonts w:cs="Arial"/>
        </w:rPr>
        <w:t>.</w:t>
      </w:r>
      <w:r w:rsidR="001053EA" w:rsidRPr="00A241F5">
        <w:rPr>
          <w:rFonts w:cs="Arial"/>
        </w:rPr>
        <w:t xml:space="preserve">  As this Respondent noted, this </w:t>
      </w:r>
      <w:r w:rsidR="00C61F4B" w:rsidRPr="00A241F5">
        <w:rPr>
          <w:rFonts w:cs="Arial"/>
          <w:i/>
        </w:rPr>
        <w:t>"</w:t>
      </w:r>
      <w:r w:rsidR="001053EA" w:rsidRPr="00A241F5">
        <w:rPr>
          <w:rFonts w:cs="Arial"/>
          <w:i/>
        </w:rPr>
        <w:t>potentially increases the number of lower value claims for which a DBA may be considered</w:t>
      </w:r>
      <w:r w:rsidR="00C61F4B" w:rsidRPr="00A241F5">
        <w:rPr>
          <w:rFonts w:cs="Arial"/>
          <w:i/>
        </w:rPr>
        <w:t>"</w:t>
      </w:r>
      <w:r w:rsidR="00923002" w:rsidRPr="00A241F5">
        <w:rPr>
          <w:rFonts w:cs="Arial"/>
        </w:rPr>
        <w:t>.</w:t>
      </w:r>
      <w:r w:rsidR="001053EA" w:rsidRPr="00A241F5">
        <w:rPr>
          <w:rFonts w:cs="Arial"/>
          <w:i/>
        </w:rPr>
        <w:t xml:space="preserve"> </w:t>
      </w:r>
    </w:p>
    <w:p w14:paraId="40C372B5" w14:textId="77777777" w:rsidR="00264318" w:rsidRPr="00A241F5" w:rsidRDefault="00264318" w:rsidP="001053EA">
      <w:pPr>
        <w:widowControl/>
        <w:tabs>
          <w:tab w:val="clear" w:pos="1418"/>
          <w:tab w:val="left" w:pos="1440"/>
        </w:tabs>
        <w:rPr>
          <w:rFonts w:cs="Arial"/>
        </w:rPr>
      </w:pPr>
    </w:p>
    <w:p w14:paraId="413C5791" w14:textId="0CDC3F5E" w:rsidR="001053EA" w:rsidRPr="00A241F5" w:rsidRDefault="001053EA" w:rsidP="00E25E1E">
      <w:pPr>
        <w:pStyle w:val="Heading4"/>
      </w:pPr>
      <w:r w:rsidRPr="00A241F5">
        <w:t>Comments from Respondents who opposed Recommendation 9(2)</w:t>
      </w:r>
    </w:p>
    <w:p w14:paraId="42F8228D" w14:textId="77777777" w:rsidR="001053EA" w:rsidRPr="00A241F5" w:rsidRDefault="001053EA" w:rsidP="001053EA">
      <w:pPr>
        <w:keepNext/>
        <w:keepLines/>
        <w:widowControl/>
        <w:tabs>
          <w:tab w:val="clear" w:pos="1418"/>
          <w:tab w:val="left" w:pos="1440"/>
        </w:tabs>
        <w:rPr>
          <w:rFonts w:cs="Arial"/>
        </w:rPr>
      </w:pPr>
    </w:p>
    <w:p w14:paraId="44526300" w14:textId="2DD80B75" w:rsidR="001053EA" w:rsidRPr="00A241F5" w:rsidRDefault="00970E72" w:rsidP="001053EA">
      <w:pPr>
        <w:widowControl/>
        <w:tabs>
          <w:tab w:val="clear" w:pos="1418"/>
          <w:tab w:val="left" w:pos="1440"/>
        </w:tabs>
        <w:rPr>
          <w:rFonts w:cs="Arial"/>
          <w:lang w:val="en-HK"/>
        </w:rPr>
      </w:pPr>
      <w:r w:rsidRPr="00A241F5">
        <w:rPr>
          <w:rFonts w:cs="Arial"/>
        </w:rPr>
        <w:t>10.</w:t>
      </w:r>
      <w:r w:rsidR="001053EA" w:rsidRPr="00A241F5">
        <w:rPr>
          <w:rFonts w:cs="Arial"/>
        </w:rPr>
        <w:t>1</w:t>
      </w:r>
      <w:r w:rsidR="008F0319" w:rsidRPr="00A241F5">
        <w:rPr>
          <w:rFonts w:cs="Arial"/>
        </w:rPr>
        <w:t>6</w:t>
      </w:r>
      <w:r w:rsidR="001053EA" w:rsidRPr="00A241F5">
        <w:rPr>
          <w:rFonts w:cs="Arial"/>
        </w:rPr>
        <w:tab/>
        <w:t>Amongst the responses received, three opposed Recommendation 9(2).  These Respondents were those which had advocated against any cap for DBA</w:t>
      </w:r>
      <w:r w:rsidR="004D2021" w:rsidRPr="00A241F5">
        <w:rPr>
          <w:rFonts w:cs="Arial"/>
        </w:rPr>
        <w:t xml:space="preserve"> Payment</w:t>
      </w:r>
      <w:r w:rsidR="001053EA" w:rsidRPr="00A241F5">
        <w:rPr>
          <w:rFonts w:cs="Arial"/>
        </w:rPr>
        <w:t xml:space="preserve">, and so it follows that they did not agree with Recommendation 9(2) for the same reason. </w:t>
      </w:r>
    </w:p>
    <w:p w14:paraId="27ACC06E" w14:textId="77777777" w:rsidR="001053EA" w:rsidRPr="00A241F5" w:rsidRDefault="001053EA" w:rsidP="001053EA">
      <w:pPr>
        <w:widowControl/>
        <w:tabs>
          <w:tab w:val="clear" w:pos="1418"/>
          <w:tab w:val="left" w:pos="1440"/>
        </w:tabs>
        <w:rPr>
          <w:rFonts w:cs="Arial"/>
          <w:lang w:val="en-HK"/>
        </w:rPr>
      </w:pPr>
    </w:p>
    <w:p w14:paraId="295F161A" w14:textId="77777777" w:rsidR="001053EA" w:rsidRPr="00A241F5" w:rsidRDefault="001053EA" w:rsidP="001053EA">
      <w:pPr>
        <w:widowControl/>
        <w:tabs>
          <w:tab w:val="clear" w:pos="1418"/>
          <w:tab w:val="left" w:pos="1440"/>
        </w:tabs>
        <w:rPr>
          <w:rFonts w:cs="Arial"/>
          <w:lang w:val="en-HK"/>
        </w:rPr>
      </w:pPr>
    </w:p>
    <w:p w14:paraId="3FDFAAA1" w14:textId="77777777" w:rsidR="001053EA" w:rsidRPr="00A241F5" w:rsidRDefault="001053EA" w:rsidP="001053EA">
      <w:pPr>
        <w:pStyle w:val="Heading2"/>
        <w:keepLines/>
        <w:widowControl/>
        <w:tabs>
          <w:tab w:val="clear" w:pos="1418"/>
          <w:tab w:val="left" w:pos="1440"/>
        </w:tabs>
        <w:rPr>
          <w:rFonts w:cs="Arial"/>
          <w:i/>
          <w:sz w:val="24"/>
        </w:rPr>
      </w:pPr>
      <w:r w:rsidRPr="00A241F5">
        <w:rPr>
          <w:rFonts w:cs="Arial"/>
          <w:i/>
          <w:sz w:val="24"/>
        </w:rPr>
        <w:t>Our analysis and response</w:t>
      </w:r>
    </w:p>
    <w:p w14:paraId="02A1AB66" w14:textId="77777777" w:rsidR="001053EA" w:rsidRPr="00A241F5" w:rsidRDefault="001053EA" w:rsidP="001053EA">
      <w:pPr>
        <w:keepNext/>
      </w:pPr>
    </w:p>
    <w:p w14:paraId="0F39116B" w14:textId="5EFCB4AB" w:rsidR="001053EA" w:rsidRPr="00A241F5" w:rsidRDefault="00970E72" w:rsidP="001053EA">
      <w:pPr>
        <w:widowControl/>
        <w:tabs>
          <w:tab w:val="clear" w:pos="1418"/>
          <w:tab w:val="left" w:pos="1440"/>
        </w:tabs>
      </w:pPr>
      <w:r w:rsidRPr="00A241F5">
        <w:t>10.</w:t>
      </w:r>
      <w:r w:rsidR="008F0319" w:rsidRPr="00A241F5">
        <w:t>17</w:t>
      </w:r>
      <w:r w:rsidR="001053EA" w:rsidRPr="00A241F5">
        <w:tab/>
        <w:t>Given the feedback from the public during our consultation, and in light of our Final Recommendation 7 on there being a prescribed cap for DBA</w:t>
      </w:r>
      <w:r w:rsidR="004D2021" w:rsidRPr="00A241F5">
        <w:t xml:space="preserve"> Payment</w:t>
      </w:r>
      <w:r w:rsidR="001053EA" w:rsidRPr="00A241F5">
        <w:t>, we maintain this recommendation, namely that a solicitor</w:t>
      </w:r>
      <w:r w:rsidR="00C61F4B" w:rsidRPr="00A241F5">
        <w:t>'</w:t>
      </w:r>
      <w:r w:rsidR="001053EA" w:rsidRPr="00A241F5">
        <w:t>s DBA Payment plus a barrister</w:t>
      </w:r>
      <w:r w:rsidR="00C61F4B" w:rsidRPr="00A241F5">
        <w:t>'</w:t>
      </w:r>
      <w:r w:rsidR="001053EA" w:rsidRPr="00A241F5">
        <w:t>s DBA Payment in relation to the same claim or Proceedings should not exceed the prescribed DBA Payment cap.  As noted above, and consistent with comments received about the flexibility afforded by a higher cap, we have recommended that the prescribed statutory cap be 50%.</w:t>
      </w:r>
    </w:p>
    <w:p w14:paraId="1B5DF38B" w14:textId="730EE9FF" w:rsidR="001053EA" w:rsidRPr="00A241F5" w:rsidRDefault="001053EA" w:rsidP="001053EA"/>
    <w:p w14:paraId="1E33DF4A" w14:textId="575A5C30" w:rsidR="00AF3A2D" w:rsidRDefault="00AF3A2D" w:rsidP="001053EA"/>
    <w:p w14:paraId="408F7C99" w14:textId="2384FD54" w:rsidR="00D66F4B" w:rsidRDefault="00D66F4B" w:rsidP="001053EA"/>
    <w:p w14:paraId="3FF74B91" w14:textId="77777777" w:rsidR="00D66F4B" w:rsidRPr="00A241F5" w:rsidRDefault="00D66F4B" w:rsidP="001053EA"/>
    <w:p w14:paraId="7E54D26A" w14:textId="77777777" w:rsidR="001053EA" w:rsidRPr="00A241F5" w:rsidRDefault="001053EA" w:rsidP="001053E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t>Final Recommendation 9</w:t>
      </w:r>
    </w:p>
    <w:p w14:paraId="1719322F" w14:textId="77777777" w:rsidR="001053EA" w:rsidRPr="00A241F5" w:rsidRDefault="001053EA" w:rsidP="001053E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3CA6EA59" w14:textId="77777777" w:rsidR="001053EA" w:rsidRPr="00A241F5" w:rsidRDefault="001053EA" w:rsidP="001053E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t>We recommend that:</w:t>
      </w:r>
    </w:p>
    <w:p w14:paraId="6A7937CA" w14:textId="77777777" w:rsidR="001053EA" w:rsidRPr="00A241F5" w:rsidRDefault="001053EA" w:rsidP="001053E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475E29F5" w14:textId="77777777" w:rsidR="001053EA" w:rsidRPr="00A241F5" w:rsidRDefault="001053EA" w:rsidP="001053E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(a)</w:t>
      </w:r>
      <w:r w:rsidRPr="00A241F5">
        <w:rPr>
          <w:rFonts w:cs="Arial"/>
        </w:rPr>
        <w:tab/>
        <w:t>Clients should be able to agree, on a case by case basis, whether:</w:t>
      </w:r>
    </w:p>
    <w:p w14:paraId="027C7339" w14:textId="77777777" w:rsidR="001053EA" w:rsidRPr="00A241F5" w:rsidRDefault="001053EA" w:rsidP="001053E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p>
    <w:p w14:paraId="7B5D15AA" w14:textId="1F3E1A3D" w:rsidR="001053EA" w:rsidRPr="00A241F5" w:rsidRDefault="001053EA" w:rsidP="001053E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rPr>
          <w:rFonts w:cs="Arial"/>
        </w:rPr>
      </w:pPr>
      <w:r w:rsidRPr="00A241F5">
        <w:rPr>
          <w:rFonts w:cs="Arial"/>
        </w:rPr>
        <w:tab/>
        <w:t>(i)</w:t>
      </w:r>
      <w:r w:rsidRPr="00A241F5">
        <w:rPr>
          <w:rFonts w:cs="Arial"/>
        </w:rPr>
        <w:tab/>
        <w:t>the DBA Payment (and thus the DBA Payment cap) includes barristers</w:t>
      </w:r>
      <w:r w:rsidR="00C61F4B" w:rsidRPr="00A241F5">
        <w:rPr>
          <w:rFonts w:cs="Arial"/>
        </w:rPr>
        <w:t>'</w:t>
      </w:r>
      <w:r w:rsidRPr="00A241F5">
        <w:rPr>
          <w:rFonts w:cs="Arial"/>
        </w:rPr>
        <w:t xml:space="preserve"> fees; or</w:t>
      </w:r>
    </w:p>
    <w:p w14:paraId="3D15114C" w14:textId="77777777" w:rsidR="001053EA" w:rsidRPr="00A241F5" w:rsidRDefault="001053EA" w:rsidP="001053E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rPr>
          <w:rFonts w:cs="Arial"/>
        </w:rPr>
      </w:pPr>
    </w:p>
    <w:p w14:paraId="6C4568CC" w14:textId="7BA16DF4" w:rsidR="001053EA" w:rsidRPr="00A241F5" w:rsidRDefault="001053EA" w:rsidP="001053E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rPr>
          <w:rFonts w:cs="Arial"/>
        </w:rPr>
      </w:pPr>
      <w:r w:rsidRPr="00A241F5">
        <w:rPr>
          <w:rFonts w:cs="Arial"/>
        </w:rPr>
        <w:tab/>
        <w:t>(ii)</w:t>
      </w:r>
      <w:r w:rsidRPr="00A241F5">
        <w:rPr>
          <w:rFonts w:cs="Arial"/>
        </w:rPr>
        <w:tab/>
        <w:t>barristers</w:t>
      </w:r>
      <w:r w:rsidR="00C61F4B" w:rsidRPr="00A241F5">
        <w:rPr>
          <w:rFonts w:cs="Arial"/>
        </w:rPr>
        <w:t>'</w:t>
      </w:r>
      <w:r w:rsidRPr="00A241F5">
        <w:rPr>
          <w:rFonts w:cs="Arial"/>
        </w:rPr>
        <w:t xml:space="preserve"> fees will be charged as a separate disbursement outside the DBA Payment.</w:t>
      </w:r>
    </w:p>
    <w:p w14:paraId="3DD2524B" w14:textId="77777777" w:rsidR="001053EA" w:rsidRPr="00A241F5" w:rsidRDefault="001053EA" w:rsidP="001053E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rPr>
          <w:rFonts w:cs="Arial"/>
        </w:rPr>
      </w:pPr>
    </w:p>
    <w:p w14:paraId="48ABEE92" w14:textId="6AE2A87C" w:rsidR="001053EA" w:rsidRPr="00A241F5" w:rsidRDefault="001053EA" w:rsidP="001053E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(b)</w:t>
      </w:r>
      <w:r w:rsidRPr="00A241F5">
        <w:rPr>
          <w:rFonts w:cs="Arial"/>
        </w:rPr>
        <w:tab/>
        <w:t>The DBA</w:t>
      </w:r>
      <w:r w:rsidR="004D2021" w:rsidRPr="00A241F5">
        <w:rPr>
          <w:rFonts w:cs="Arial"/>
        </w:rPr>
        <w:t>, including Hybrid DBA,</w:t>
      </w:r>
      <w:r w:rsidRPr="00A241F5">
        <w:rPr>
          <w:rFonts w:cs="Arial"/>
        </w:rPr>
        <w:t xml:space="preserve"> should specify whether barristers</w:t>
      </w:r>
      <w:r w:rsidR="00C61F4B" w:rsidRPr="00A241F5">
        <w:rPr>
          <w:rFonts w:cs="Arial"/>
        </w:rPr>
        <w:t>'</w:t>
      </w:r>
      <w:r w:rsidRPr="00A241F5">
        <w:rPr>
          <w:rFonts w:cs="Arial"/>
        </w:rPr>
        <w:t xml:space="preserve"> fees will be absorbed as part of the DBA Payment, or whether they are to be treated as </w:t>
      </w:r>
      <w:r w:rsidR="00C61F4B" w:rsidRPr="00A241F5">
        <w:rPr>
          <w:rFonts w:cs="Arial"/>
        </w:rPr>
        <w:t>"</w:t>
      </w:r>
      <w:r w:rsidRPr="00A241F5">
        <w:rPr>
          <w:rFonts w:cs="Arial"/>
        </w:rPr>
        <w:t>expenses</w:t>
      </w:r>
      <w:r w:rsidR="00C61F4B" w:rsidRPr="00A241F5">
        <w:rPr>
          <w:rFonts w:cs="Arial"/>
        </w:rPr>
        <w:t>"</w:t>
      </w:r>
      <w:r w:rsidRPr="00A241F5">
        <w:rPr>
          <w:rFonts w:cs="Arial"/>
        </w:rPr>
        <w:t xml:space="preserve"> which the client is required to pay in addition to the DBA Payment.</w:t>
      </w:r>
    </w:p>
    <w:p w14:paraId="06EC4364" w14:textId="77777777" w:rsidR="001053EA" w:rsidRPr="00A241F5" w:rsidRDefault="001053EA" w:rsidP="001053E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p>
    <w:p w14:paraId="30E1F978" w14:textId="16219A8C" w:rsidR="001053EA" w:rsidRPr="00A241F5" w:rsidRDefault="001053EA" w:rsidP="001053E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(c)</w:t>
      </w:r>
      <w:r w:rsidRPr="00A241F5">
        <w:rPr>
          <w:rFonts w:cs="Arial"/>
        </w:rPr>
        <w:tab/>
        <w:t>To the extent that barristers can be, and are, engaged directly, via a separate DBA, including Hybrid DBA, between client and barrister, a solicitor</w:t>
      </w:r>
      <w:r w:rsidR="00C61F4B" w:rsidRPr="00A241F5">
        <w:rPr>
          <w:rFonts w:cs="Arial"/>
        </w:rPr>
        <w:t>'</w:t>
      </w:r>
      <w:r w:rsidRPr="00A241F5">
        <w:rPr>
          <w:rFonts w:cs="Arial"/>
        </w:rPr>
        <w:t>s DBA Payment plus a barrister</w:t>
      </w:r>
      <w:r w:rsidR="00C61F4B" w:rsidRPr="00A241F5">
        <w:rPr>
          <w:rFonts w:cs="Arial"/>
        </w:rPr>
        <w:t>'</w:t>
      </w:r>
      <w:r w:rsidRPr="00A241F5">
        <w:rPr>
          <w:rFonts w:cs="Arial"/>
        </w:rPr>
        <w:t>s DBA Payment in relation to the same claim or Proceedings should not exceed the prescribed DBA Payment cap.</w:t>
      </w:r>
    </w:p>
    <w:p w14:paraId="682C3587" w14:textId="77777777" w:rsidR="001053EA" w:rsidRPr="00A241F5" w:rsidRDefault="001053EA" w:rsidP="001053EA">
      <w:pPr>
        <w:rPr>
          <w:rFonts w:eastAsiaTheme="minorEastAsia"/>
          <w:b/>
        </w:rPr>
      </w:pPr>
    </w:p>
    <w:p w14:paraId="030E5A15" w14:textId="77777777" w:rsidR="001053EA" w:rsidRPr="00A241F5" w:rsidRDefault="001053EA" w:rsidP="001053EA">
      <w:pPr>
        <w:rPr>
          <w:b/>
        </w:rPr>
      </w:pPr>
    </w:p>
    <w:p w14:paraId="58A28988" w14:textId="77777777" w:rsidR="001053EA" w:rsidRPr="00A241F5" w:rsidRDefault="001053EA" w:rsidP="001053EA">
      <w:pPr>
        <w:rPr>
          <w:b/>
        </w:rPr>
        <w:sectPr w:rsidR="001053EA" w:rsidRPr="00A241F5" w:rsidSect="00303CFD">
          <w:footnotePr>
            <w:numRestart w:val="eachSect"/>
          </w:footnotePr>
          <w:pgSz w:w="11906" w:h="16838" w:code="9"/>
          <w:pgMar w:top="1440" w:right="1800" w:bottom="1440" w:left="1800" w:header="720" w:footer="720" w:gutter="0"/>
          <w:cols w:space="425"/>
          <w:docGrid w:linePitch="360"/>
        </w:sectPr>
      </w:pPr>
    </w:p>
    <w:p w14:paraId="6E82FF32" w14:textId="04AE9D50" w:rsidR="001053EA" w:rsidRPr="00A241F5" w:rsidRDefault="001053EA" w:rsidP="00264318">
      <w:pPr>
        <w:pStyle w:val="Heading1"/>
      </w:pPr>
      <w:r w:rsidRPr="00A241F5">
        <w:lastRenderedPageBreak/>
        <w:t>Chapter 1</w:t>
      </w:r>
      <w:bookmarkStart w:id="23" w:name="Chapter11"/>
      <w:bookmarkEnd w:id="23"/>
      <w:r w:rsidR="00070C53" w:rsidRPr="00A241F5">
        <w:t>1</w:t>
      </w:r>
    </w:p>
    <w:p w14:paraId="32851B60" w14:textId="77777777" w:rsidR="001053EA" w:rsidRPr="00A241F5" w:rsidRDefault="001053EA" w:rsidP="001053EA">
      <w:pPr>
        <w:pStyle w:val="Heading1"/>
        <w:widowControl/>
        <w:tabs>
          <w:tab w:val="clear" w:pos="1418"/>
          <w:tab w:val="left" w:pos="1440"/>
        </w:tabs>
        <w:rPr>
          <w:rFonts w:cs="Arial"/>
          <w:sz w:val="32"/>
          <w:szCs w:val="32"/>
        </w:rPr>
      </w:pPr>
    </w:p>
    <w:p w14:paraId="0F21EE4D" w14:textId="77777777" w:rsidR="001053EA" w:rsidRPr="00A241F5" w:rsidRDefault="001053EA" w:rsidP="00264318">
      <w:pPr>
        <w:pStyle w:val="Heading1"/>
      </w:pPr>
      <w:r w:rsidRPr="00A241F5">
        <w:t xml:space="preserve">Hybrid DBAs should be permitted </w:t>
      </w:r>
    </w:p>
    <w:p w14:paraId="23BFAC1C" w14:textId="48302E32" w:rsidR="001053EA" w:rsidRPr="00A241F5" w:rsidRDefault="001053EA" w:rsidP="001053EA">
      <w:pPr>
        <w:rPr>
          <w:rFonts w:cs="Arial"/>
        </w:rPr>
      </w:pPr>
      <w:r w:rsidRPr="00A241F5">
        <w:rPr>
          <w:rFonts w:cs="Arial"/>
        </w:rPr>
        <w:t>_______________________________________</w:t>
      </w:r>
      <w:r w:rsidR="00264318" w:rsidRPr="00A241F5">
        <w:rPr>
          <w:rFonts w:cs="Arial"/>
        </w:rPr>
        <w:t>____</w:t>
      </w:r>
    </w:p>
    <w:p w14:paraId="0B3A6120" w14:textId="77777777" w:rsidR="001053EA" w:rsidRPr="00A241F5" w:rsidRDefault="001053EA" w:rsidP="001053EA">
      <w:pPr>
        <w:rPr>
          <w:rFonts w:cs="Arial"/>
        </w:rPr>
      </w:pPr>
    </w:p>
    <w:p w14:paraId="59ACCFE1" w14:textId="77777777" w:rsidR="001053EA" w:rsidRPr="00A241F5" w:rsidRDefault="001053EA" w:rsidP="001053EA">
      <w:pPr>
        <w:rPr>
          <w:rFonts w:cs="Arial"/>
        </w:rPr>
      </w:pPr>
    </w:p>
    <w:p w14:paraId="55AFE0F9" w14:textId="77777777" w:rsidR="001053EA" w:rsidRPr="00A241F5" w:rsidRDefault="001053EA" w:rsidP="001053EA">
      <w:pPr>
        <w:rPr>
          <w:rFonts w:cs="Arial"/>
        </w:rPr>
      </w:pPr>
    </w:p>
    <w:p w14:paraId="5756A26C" w14:textId="0A71BE1A" w:rsidR="001053EA" w:rsidRPr="00A241F5" w:rsidRDefault="001053EA" w:rsidP="001053EA">
      <w:pPr>
        <w:pStyle w:val="Heading2"/>
        <w:widowControl/>
        <w:tabs>
          <w:tab w:val="clear" w:pos="1418"/>
          <w:tab w:val="left" w:pos="1440"/>
        </w:tabs>
        <w:rPr>
          <w:rFonts w:cs="Arial"/>
        </w:rPr>
      </w:pPr>
      <w:r w:rsidRPr="00A241F5">
        <w:rPr>
          <w:rFonts w:cs="Arial"/>
        </w:rPr>
        <w:t>Responses to the Sub-committee</w:t>
      </w:r>
      <w:r w:rsidR="00C61F4B" w:rsidRPr="00A241F5">
        <w:rPr>
          <w:rFonts w:cs="Arial"/>
        </w:rPr>
        <w:t>'</w:t>
      </w:r>
      <w:r w:rsidRPr="00A241F5">
        <w:rPr>
          <w:rFonts w:cs="Arial"/>
        </w:rPr>
        <w:t>s Recommendation 10</w:t>
      </w:r>
    </w:p>
    <w:p w14:paraId="31A1EDA4" w14:textId="77777777" w:rsidR="001053EA" w:rsidRPr="00A241F5" w:rsidRDefault="001053EA" w:rsidP="001053EA">
      <w:pPr>
        <w:widowControl/>
        <w:tabs>
          <w:tab w:val="clear" w:pos="1418"/>
          <w:tab w:val="left" w:pos="1440"/>
        </w:tabs>
        <w:rPr>
          <w:rFonts w:cs="Arial"/>
        </w:rPr>
      </w:pPr>
    </w:p>
    <w:p w14:paraId="2C266F57" w14:textId="35A26940"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1</w:t>
      </w:r>
      <w:r w:rsidR="001053EA" w:rsidRPr="00A241F5">
        <w:rPr>
          <w:rFonts w:cs="Arial"/>
        </w:rPr>
        <w:tab/>
        <w:t xml:space="preserve">This Chapter discusses the responses regarding Recommendation 10 in the Consultation Paper: </w:t>
      </w:r>
    </w:p>
    <w:p w14:paraId="256EAF90" w14:textId="77777777" w:rsidR="001053EA" w:rsidRPr="00A241F5" w:rsidRDefault="001053EA" w:rsidP="001053EA">
      <w:pPr>
        <w:widowControl/>
        <w:tabs>
          <w:tab w:val="clear" w:pos="1418"/>
          <w:tab w:val="left" w:pos="1440"/>
        </w:tabs>
        <w:rPr>
          <w:rFonts w:eastAsiaTheme="minorEastAsia" w:cs="Arial"/>
        </w:rPr>
      </w:pPr>
    </w:p>
    <w:p w14:paraId="2251F53D" w14:textId="691D45ED" w:rsidR="001053EA" w:rsidRPr="00A241F5" w:rsidRDefault="00C61F4B" w:rsidP="001053EA">
      <w:pPr>
        <w:ind w:left="709" w:rightChars="271" w:right="650"/>
        <w:rPr>
          <w:rFonts w:cs="Arial"/>
          <w:i/>
        </w:rPr>
      </w:pPr>
      <w:r w:rsidRPr="00A241F5">
        <w:rPr>
          <w:rFonts w:cs="Arial"/>
          <w:i/>
        </w:rPr>
        <w:t>"</w:t>
      </w:r>
      <w:r w:rsidR="001053EA" w:rsidRPr="00A241F5">
        <w:rPr>
          <w:rFonts w:cs="Arial"/>
          <w:i/>
        </w:rPr>
        <w:t>The Sub-committee recommends that Hybrid DBAs be permitted.</w:t>
      </w:r>
    </w:p>
    <w:p w14:paraId="3D39FB67" w14:textId="77777777" w:rsidR="001053EA" w:rsidRPr="00A241F5" w:rsidRDefault="001053EA" w:rsidP="001053EA">
      <w:pPr>
        <w:ind w:left="1440" w:rightChars="271" w:right="650"/>
        <w:rPr>
          <w:rFonts w:cs="Arial"/>
          <w:i/>
        </w:rPr>
      </w:pPr>
    </w:p>
    <w:p w14:paraId="746E7AE0" w14:textId="77777777" w:rsidR="001053EA" w:rsidRPr="00A241F5" w:rsidRDefault="001053EA" w:rsidP="001053EA">
      <w:pPr>
        <w:ind w:left="709" w:rightChars="271" w:right="650"/>
        <w:rPr>
          <w:rFonts w:cs="Arial"/>
          <w:i/>
        </w:rPr>
      </w:pPr>
      <w:r w:rsidRPr="00A241F5">
        <w:rPr>
          <w:rFonts w:cs="Arial"/>
          <w:i/>
        </w:rPr>
        <w:t>In the event that the claim is unsuccessful (such that no financial benefit is obtained), the Sub-committee invites submissions as to:</w:t>
      </w:r>
    </w:p>
    <w:p w14:paraId="4D6CE91F" w14:textId="77777777" w:rsidR="001053EA" w:rsidRPr="00A241F5" w:rsidRDefault="001053EA" w:rsidP="001053EA">
      <w:pPr>
        <w:ind w:left="709" w:rightChars="271" w:right="650" w:hanging="720"/>
        <w:rPr>
          <w:rFonts w:cs="Arial"/>
          <w:i/>
        </w:rPr>
      </w:pPr>
    </w:p>
    <w:p w14:paraId="66382CF1" w14:textId="77777777" w:rsidR="001053EA" w:rsidRPr="00A241F5" w:rsidRDefault="001053EA" w:rsidP="001053EA">
      <w:pPr>
        <w:pStyle w:val="Indent10"/>
        <w:ind w:left="1418" w:rightChars="271" w:right="650" w:hanging="709"/>
        <w:rPr>
          <w:i/>
        </w:rPr>
      </w:pPr>
      <w:r w:rsidRPr="00A241F5">
        <w:rPr>
          <w:i/>
        </w:rPr>
        <w:t xml:space="preserve">(a) </w:t>
      </w:r>
      <w:r w:rsidRPr="00A241F5">
        <w:rPr>
          <w:i/>
        </w:rPr>
        <w:tab/>
        <w:t xml:space="preserve">whether the Lawyer should be permitted to retain only a proportion of the costs incurred in pursuing the unsuccessful claim; </w:t>
      </w:r>
    </w:p>
    <w:p w14:paraId="1420FBDC" w14:textId="77777777" w:rsidR="001053EA" w:rsidRPr="00A241F5" w:rsidRDefault="001053EA" w:rsidP="001053EA">
      <w:pPr>
        <w:pStyle w:val="Indent10"/>
        <w:ind w:left="709" w:rightChars="271" w:right="650"/>
        <w:rPr>
          <w:rFonts w:cs="Arial"/>
          <w:i/>
          <w:lang w:val="en-US"/>
        </w:rPr>
      </w:pPr>
    </w:p>
    <w:p w14:paraId="506AE663" w14:textId="7010FE43" w:rsidR="001053EA" w:rsidRPr="00A241F5" w:rsidRDefault="001053EA" w:rsidP="001053EA">
      <w:pPr>
        <w:pStyle w:val="Indent10"/>
        <w:ind w:left="1418" w:rightChars="271" w:right="650" w:hanging="709"/>
        <w:rPr>
          <w:i/>
        </w:rPr>
      </w:pPr>
      <w:r w:rsidRPr="00A241F5">
        <w:rPr>
          <w:i/>
        </w:rPr>
        <w:t xml:space="preserve">(b) </w:t>
      </w:r>
      <w:r w:rsidRPr="00A241F5">
        <w:rPr>
          <w:i/>
        </w:rPr>
        <w:tab/>
      </w:r>
      <w:r w:rsidRPr="00A241F5">
        <w:rPr>
          <w:rFonts w:eastAsia="細明體"/>
          <w:bCs/>
          <w:i/>
          <w:lang w:eastAsia="en-GB"/>
        </w:rPr>
        <w:t xml:space="preserve">if the answer to sub-paragraph (a) is </w:t>
      </w:r>
      <w:r w:rsidR="00C61F4B" w:rsidRPr="00A241F5">
        <w:rPr>
          <w:rFonts w:eastAsia="細明體"/>
          <w:bCs/>
          <w:i/>
          <w:lang w:eastAsia="en-GB"/>
        </w:rPr>
        <w:t>'</w:t>
      </w:r>
      <w:r w:rsidRPr="00A241F5">
        <w:rPr>
          <w:rFonts w:eastAsia="細明體"/>
          <w:bCs/>
          <w:i/>
          <w:lang w:eastAsia="en-GB"/>
        </w:rPr>
        <w:t>yes</w:t>
      </w:r>
      <w:r w:rsidR="00C61F4B" w:rsidRPr="00A241F5">
        <w:rPr>
          <w:rFonts w:eastAsia="細明體"/>
          <w:bCs/>
          <w:i/>
          <w:lang w:eastAsia="en-GB"/>
        </w:rPr>
        <w:t>'</w:t>
      </w:r>
      <w:r w:rsidRPr="00A241F5">
        <w:rPr>
          <w:rFonts w:eastAsia="細明體"/>
          <w:bCs/>
          <w:i/>
          <w:lang w:eastAsia="en-GB"/>
        </w:rPr>
        <w:t xml:space="preserve">, </w:t>
      </w:r>
      <w:r w:rsidRPr="00A241F5">
        <w:rPr>
          <w:i/>
        </w:rPr>
        <w:t>what an appropriate cap should be in these circumstances; and</w:t>
      </w:r>
    </w:p>
    <w:p w14:paraId="30153809" w14:textId="77777777" w:rsidR="001053EA" w:rsidRPr="00A241F5" w:rsidRDefault="001053EA" w:rsidP="001053EA">
      <w:pPr>
        <w:pStyle w:val="Indent10"/>
        <w:ind w:left="709" w:rightChars="271" w:right="650"/>
        <w:rPr>
          <w:rFonts w:cs="Arial"/>
          <w:i/>
          <w:lang w:val="en-US"/>
        </w:rPr>
      </w:pPr>
    </w:p>
    <w:p w14:paraId="39138377" w14:textId="48356852" w:rsidR="001053EA" w:rsidRPr="00A241F5" w:rsidRDefault="001053EA" w:rsidP="00C22562">
      <w:pPr>
        <w:pStyle w:val="Indent10"/>
        <w:ind w:left="1418" w:rightChars="271" w:right="650" w:hanging="709"/>
      </w:pPr>
      <w:r w:rsidRPr="00A241F5">
        <w:rPr>
          <w:rFonts w:eastAsia="細明體"/>
          <w:bCs/>
          <w:i/>
          <w:lang w:eastAsia="en-GB"/>
        </w:rPr>
        <w:t>(c)</w:t>
      </w:r>
      <w:r w:rsidRPr="00A241F5">
        <w:rPr>
          <w:rFonts w:eastAsia="細明體"/>
          <w:bCs/>
          <w:i/>
          <w:lang w:eastAsia="en-GB"/>
        </w:rPr>
        <w:tab/>
        <w:t xml:space="preserve">if the answer to sub-paragraph (a) is </w:t>
      </w:r>
      <w:r w:rsidR="00C61F4B" w:rsidRPr="00A241F5">
        <w:rPr>
          <w:rFonts w:eastAsia="細明體"/>
          <w:bCs/>
          <w:i/>
          <w:lang w:eastAsia="en-GB"/>
        </w:rPr>
        <w:t>'</w:t>
      </w:r>
      <w:r w:rsidRPr="00A241F5">
        <w:rPr>
          <w:rFonts w:eastAsia="細明體"/>
          <w:bCs/>
          <w:i/>
          <w:lang w:eastAsia="en-GB"/>
        </w:rPr>
        <w:t>yes</w:t>
      </w:r>
      <w:r w:rsidR="00C61F4B" w:rsidRPr="00A241F5">
        <w:rPr>
          <w:rFonts w:eastAsia="細明體"/>
          <w:bCs/>
          <w:i/>
          <w:lang w:eastAsia="en-GB"/>
        </w:rPr>
        <w:t>'</w:t>
      </w:r>
      <w:r w:rsidRPr="00A241F5">
        <w:rPr>
          <w:rFonts w:eastAsia="細明體"/>
          <w:bCs/>
          <w:i/>
          <w:lang w:eastAsia="en-GB"/>
        </w:rPr>
        <w:t xml:space="preserve">, </w:t>
      </w:r>
      <w:r w:rsidRPr="00A241F5">
        <w:rPr>
          <w:i/>
        </w:rPr>
        <w:t>whether the relevant regulations should provide that, if the DBA Payment is less than the capped amount of irrecoverable costs, the Lawyer is entitled to retain the capped amount of irrecoverable costs instead of the DBA Payment</w:t>
      </w:r>
      <w:r w:rsidRPr="00A241F5">
        <w:t>.</w:t>
      </w:r>
      <w:r w:rsidR="00C61F4B" w:rsidRPr="00A241F5">
        <w:rPr>
          <w:i/>
        </w:rPr>
        <w:t>"</w:t>
      </w:r>
      <w:r w:rsidRPr="00A241F5">
        <w:rPr>
          <w:rStyle w:val="FootnoteReference"/>
          <w:rFonts w:cs="Arial"/>
          <w:sz w:val="24"/>
        </w:rPr>
        <w:footnoteReference w:id="50"/>
      </w:r>
    </w:p>
    <w:p w14:paraId="3CA75009" w14:textId="77777777" w:rsidR="001053EA" w:rsidRPr="00A241F5" w:rsidRDefault="001053EA" w:rsidP="00C22562">
      <w:pPr>
        <w:pStyle w:val="Indent10"/>
        <w:ind w:left="1418" w:rightChars="271" w:right="650" w:hanging="709"/>
      </w:pPr>
    </w:p>
    <w:p w14:paraId="79B64102" w14:textId="77777777" w:rsidR="001053EA" w:rsidRPr="00A241F5" w:rsidRDefault="001053EA" w:rsidP="00C22562">
      <w:pPr>
        <w:pStyle w:val="Indent10"/>
        <w:ind w:left="1418" w:rightChars="271" w:right="650" w:hanging="709"/>
      </w:pPr>
    </w:p>
    <w:p w14:paraId="03AB5513" w14:textId="09549CFA" w:rsidR="001053EA" w:rsidRPr="00A241F5" w:rsidRDefault="001053EA" w:rsidP="001053EA">
      <w:pPr>
        <w:pStyle w:val="Heading2"/>
        <w:widowControl/>
        <w:tabs>
          <w:tab w:val="clear" w:pos="1418"/>
          <w:tab w:val="left" w:pos="1440"/>
        </w:tabs>
        <w:rPr>
          <w:rFonts w:cs="Arial"/>
          <w:i/>
          <w:sz w:val="24"/>
        </w:rPr>
      </w:pPr>
      <w:r w:rsidRPr="00A241F5">
        <w:rPr>
          <w:rFonts w:cs="Arial"/>
          <w:i/>
          <w:sz w:val="24"/>
        </w:rPr>
        <w:t>Comments from Respondents who supported the basic proposal in Recommendation 10</w:t>
      </w:r>
    </w:p>
    <w:p w14:paraId="5EEB6536" w14:textId="77777777" w:rsidR="001053EA" w:rsidRPr="00A241F5" w:rsidRDefault="001053EA" w:rsidP="001053EA">
      <w:pPr>
        <w:widowControl/>
        <w:tabs>
          <w:tab w:val="clear" w:pos="1418"/>
          <w:tab w:val="left" w:pos="1440"/>
        </w:tabs>
        <w:rPr>
          <w:rFonts w:cs="Arial"/>
        </w:rPr>
      </w:pPr>
    </w:p>
    <w:p w14:paraId="38D1F4F4" w14:textId="775EDB3D"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2</w:t>
      </w:r>
      <w:r w:rsidR="001053EA" w:rsidRPr="00A241F5">
        <w:rPr>
          <w:rFonts w:cs="Arial"/>
        </w:rPr>
        <w:tab/>
        <w:t>A Hybrid DBA allows a Lawyer to charge the client some (typically discounted) fees as the case proceeds,</w:t>
      </w:r>
      <w:r w:rsidR="00A10143" w:rsidRPr="00A241F5">
        <w:rPr>
          <w:rStyle w:val="FootnoteReference"/>
          <w:rFonts w:cs="Arial"/>
          <w:sz w:val="24"/>
          <w:szCs w:val="24"/>
        </w:rPr>
        <w:footnoteReference w:id="51"/>
      </w:r>
      <w:r w:rsidR="001053EA" w:rsidRPr="00A241F5">
        <w:rPr>
          <w:rFonts w:cs="Arial"/>
        </w:rPr>
        <w:t xml:space="preserve"> </w:t>
      </w:r>
      <w:r w:rsidR="00A10143" w:rsidRPr="00A241F5">
        <w:rPr>
          <w:rFonts w:cs="Arial"/>
        </w:rPr>
        <w:t>and</w:t>
      </w:r>
      <w:r w:rsidR="001053EA" w:rsidRPr="00A241F5">
        <w:rPr>
          <w:rFonts w:cs="Arial"/>
        </w:rPr>
        <w:t xml:space="preserve"> a DBA Payment in the event the client obtains a Financial Benefit in the matter. </w:t>
      </w:r>
    </w:p>
    <w:p w14:paraId="79AEEEAA" w14:textId="77777777" w:rsidR="001053EA" w:rsidRPr="00A241F5" w:rsidRDefault="001053EA" w:rsidP="001053EA">
      <w:pPr>
        <w:widowControl/>
        <w:tabs>
          <w:tab w:val="clear" w:pos="1418"/>
          <w:tab w:val="left" w:pos="1440"/>
        </w:tabs>
        <w:rPr>
          <w:rFonts w:cs="Arial"/>
        </w:rPr>
      </w:pPr>
    </w:p>
    <w:p w14:paraId="4706F701" w14:textId="6A65BB41" w:rsidR="001053EA" w:rsidRPr="00A241F5" w:rsidRDefault="00264318" w:rsidP="00BD5776">
      <w:pPr>
        <w:widowControl/>
        <w:rPr>
          <w:rFonts w:cs="Arial"/>
        </w:rPr>
      </w:pPr>
      <w:r w:rsidRPr="00A241F5">
        <w:rPr>
          <w:rFonts w:cs="Arial"/>
        </w:rPr>
        <w:t>11.</w:t>
      </w:r>
      <w:r w:rsidR="001053EA" w:rsidRPr="00A241F5">
        <w:rPr>
          <w:rFonts w:cs="Arial"/>
        </w:rPr>
        <w:t>3</w:t>
      </w:r>
      <w:r w:rsidR="001053EA" w:rsidRPr="00A241F5">
        <w:rPr>
          <w:rFonts w:cs="Arial"/>
        </w:rPr>
        <w:tab/>
        <w:t xml:space="preserve">Of the Respondents who commented specifically on Recommendation 10, all but one Respondent (who opposed the introduction of ORFSs in general as discussed in Chapters </w:t>
      </w:r>
      <w:r w:rsidRPr="00A241F5">
        <w:rPr>
          <w:rFonts w:cs="Arial"/>
        </w:rPr>
        <w:t>2</w:t>
      </w:r>
      <w:r w:rsidR="001053EA" w:rsidRPr="00A241F5">
        <w:rPr>
          <w:rFonts w:cs="Arial"/>
        </w:rPr>
        <w:t xml:space="preserve"> and </w:t>
      </w:r>
      <w:r w:rsidRPr="00A241F5">
        <w:rPr>
          <w:rFonts w:cs="Arial"/>
        </w:rPr>
        <w:t>5</w:t>
      </w:r>
      <w:r w:rsidR="001053EA" w:rsidRPr="00A241F5">
        <w:rPr>
          <w:rFonts w:cs="Arial"/>
        </w:rPr>
        <w:t xml:space="preserve"> above) agreed with the basic proposal that Hong Kong should allow Hybrid DBAs.  </w:t>
      </w:r>
      <w:r w:rsidR="00DD046E" w:rsidRPr="00A241F5">
        <w:rPr>
          <w:rFonts w:cs="Arial"/>
        </w:rPr>
        <w:t xml:space="preserve">This is in line with the majority view in the consultation that Hong Kong should introduce an ORFS regime for Arbitration, and that it should be as broad as possible.  </w:t>
      </w:r>
      <w:r w:rsidR="001053EA" w:rsidRPr="00A241F5">
        <w:rPr>
          <w:rFonts w:cs="Arial"/>
        </w:rPr>
        <w:t xml:space="preserve">Among </w:t>
      </w:r>
      <w:r w:rsidR="00F93EF3" w:rsidRPr="00A241F5">
        <w:rPr>
          <w:rFonts w:cs="Arial"/>
        </w:rPr>
        <w:lastRenderedPageBreak/>
        <w:t>those supporting the basic proposal in Recommendation 10</w:t>
      </w:r>
      <w:r w:rsidR="001053EA" w:rsidRPr="00A241F5">
        <w:rPr>
          <w:rFonts w:cs="Arial"/>
        </w:rPr>
        <w:t>, only one Respondent, a local law firm, commented that the ORFS regime should be limited to certain types of ORFS only.  That particular Respondent</w:t>
      </w:r>
      <w:r w:rsidR="00C61F4B" w:rsidRPr="00A241F5">
        <w:rPr>
          <w:rFonts w:cs="Arial"/>
        </w:rPr>
        <w:t>'</w:t>
      </w:r>
      <w:r w:rsidR="001053EA" w:rsidRPr="00A241F5">
        <w:rPr>
          <w:rFonts w:cs="Arial"/>
        </w:rPr>
        <w:t xml:space="preserve">s preference was for Hybrid DBAs over CFAs or </w:t>
      </w:r>
      <w:r w:rsidR="00C61F4B" w:rsidRPr="00A241F5">
        <w:rPr>
          <w:rFonts w:cs="Arial"/>
        </w:rPr>
        <w:t>"</w:t>
      </w:r>
      <w:r w:rsidR="001053EA" w:rsidRPr="00A241F5">
        <w:rPr>
          <w:rFonts w:cs="Arial"/>
        </w:rPr>
        <w:t>pure</w:t>
      </w:r>
      <w:r w:rsidR="00C61F4B" w:rsidRPr="00A241F5">
        <w:rPr>
          <w:rFonts w:cs="Arial"/>
        </w:rPr>
        <w:t>"</w:t>
      </w:r>
      <w:r w:rsidR="001053EA" w:rsidRPr="00A241F5">
        <w:rPr>
          <w:rFonts w:cs="Arial"/>
        </w:rPr>
        <w:t xml:space="preserve"> DBAs. </w:t>
      </w:r>
    </w:p>
    <w:p w14:paraId="3D650583" w14:textId="1C0CDF5E" w:rsidR="001053EA" w:rsidRPr="00A241F5" w:rsidRDefault="001053EA" w:rsidP="001053EA">
      <w:pPr>
        <w:widowControl/>
        <w:tabs>
          <w:tab w:val="clear" w:pos="1418"/>
          <w:tab w:val="left" w:pos="1440"/>
        </w:tabs>
        <w:rPr>
          <w:rFonts w:cs="Arial"/>
        </w:rPr>
      </w:pPr>
    </w:p>
    <w:p w14:paraId="67914C21" w14:textId="4570590A"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4</w:t>
      </w:r>
      <w:r w:rsidR="001053EA" w:rsidRPr="00A241F5">
        <w:rPr>
          <w:rFonts w:cs="Arial"/>
        </w:rPr>
        <w:tab/>
        <w:t>The response below, from a chamber of commerce, was typical:</w:t>
      </w:r>
    </w:p>
    <w:p w14:paraId="4C226A26" w14:textId="77777777" w:rsidR="001053EA" w:rsidRPr="00A241F5" w:rsidRDefault="001053EA" w:rsidP="001053EA">
      <w:pPr>
        <w:widowControl/>
        <w:tabs>
          <w:tab w:val="clear" w:pos="1418"/>
          <w:tab w:val="left" w:pos="1440"/>
        </w:tabs>
        <w:rPr>
          <w:rFonts w:cs="Arial"/>
        </w:rPr>
      </w:pPr>
    </w:p>
    <w:p w14:paraId="5F4F1DAD" w14:textId="2B6BEC28" w:rsidR="001053EA" w:rsidRPr="00A241F5" w:rsidRDefault="00C61F4B" w:rsidP="001053EA">
      <w:pPr>
        <w:pStyle w:val="BlockText"/>
      </w:pPr>
      <w:r w:rsidRPr="00A241F5">
        <w:t>"</w:t>
      </w:r>
      <w:r w:rsidR="001053EA" w:rsidRPr="00A241F5">
        <w:t>We agree …</w:t>
      </w:r>
      <w:r w:rsidR="006B2524" w:rsidRPr="00A241F5">
        <w:t xml:space="preserve"> </w:t>
      </w:r>
      <w:r w:rsidR="008437A8" w:rsidRPr="00A241F5">
        <w:t>t</w:t>
      </w:r>
      <w:r w:rsidR="001053EA" w:rsidRPr="00A241F5">
        <w:t>he client should have full flexibility to negotiate with its lawyers the most appropriate fee structure to suit its individual circumstances</w:t>
      </w:r>
      <w:r w:rsidR="00923002" w:rsidRPr="00A241F5">
        <w:t>.</w:t>
      </w:r>
      <w:r w:rsidRPr="00A241F5">
        <w:t>"</w:t>
      </w:r>
    </w:p>
    <w:p w14:paraId="793268EF" w14:textId="77777777" w:rsidR="001053EA" w:rsidRPr="00A241F5" w:rsidRDefault="001053EA" w:rsidP="001053EA">
      <w:pPr>
        <w:widowControl/>
        <w:tabs>
          <w:tab w:val="clear" w:pos="1418"/>
          <w:tab w:val="left" w:pos="1440"/>
        </w:tabs>
        <w:rPr>
          <w:rFonts w:cs="Arial"/>
          <w:i/>
        </w:rPr>
      </w:pPr>
    </w:p>
    <w:p w14:paraId="1DF09907" w14:textId="26EE5516"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5</w:t>
      </w:r>
      <w:r w:rsidR="001053EA" w:rsidRPr="00A241F5">
        <w:rPr>
          <w:rFonts w:cs="Arial"/>
        </w:rPr>
        <w:tab/>
        <w:t>A Government department expressed a similar view:</w:t>
      </w:r>
    </w:p>
    <w:p w14:paraId="322B734A" w14:textId="77777777" w:rsidR="001053EA" w:rsidRPr="00A241F5" w:rsidRDefault="001053EA" w:rsidP="001053EA">
      <w:pPr>
        <w:widowControl/>
        <w:tabs>
          <w:tab w:val="clear" w:pos="1418"/>
          <w:tab w:val="left" w:pos="1440"/>
        </w:tabs>
        <w:rPr>
          <w:rFonts w:cs="Arial"/>
        </w:rPr>
      </w:pPr>
    </w:p>
    <w:p w14:paraId="47F2BE3E" w14:textId="2A8DFF2D" w:rsidR="001053EA" w:rsidRPr="00A241F5" w:rsidRDefault="00C61F4B" w:rsidP="001053EA">
      <w:pPr>
        <w:pStyle w:val="BlockText"/>
        <w:rPr>
          <w:rFonts w:cs="Arial"/>
        </w:rPr>
      </w:pPr>
      <w:r w:rsidRPr="00A241F5">
        <w:rPr>
          <w:rFonts w:cs="Arial"/>
        </w:rPr>
        <w:t>"</w:t>
      </w:r>
      <w:r w:rsidR="001053EA" w:rsidRPr="00A241F5">
        <w:rPr>
          <w:rFonts w:cs="Arial"/>
        </w:rPr>
        <w:t xml:space="preserve">Hybrid DBAs are substantively a form of DBAs and we see no strong reason why it should not be allowed based on the principle of freedom of contract.  Allowing hybrid </w:t>
      </w:r>
      <w:r w:rsidR="001053EA" w:rsidRPr="00A241F5">
        <w:t>DBAs</w:t>
      </w:r>
      <w:r w:rsidR="001053EA" w:rsidRPr="00A241F5">
        <w:rPr>
          <w:rFonts w:cs="Arial"/>
        </w:rPr>
        <w:t xml:space="preserve"> would introduce to the proposed local ORFS regime an additional form of arbitration funding arrangement and widen the choice of funding options to arbitration users</w:t>
      </w:r>
      <w:r w:rsidR="00923002" w:rsidRPr="00A241F5">
        <w:rPr>
          <w:rFonts w:cs="Arial"/>
        </w:rPr>
        <w:t>.</w:t>
      </w:r>
      <w:r w:rsidRPr="00A241F5">
        <w:rPr>
          <w:rFonts w:cs="Arial"/>
        </w:rPr>
        <w:t>"</w:t>
      </w:r>
    </w:p>
    <w:p w14:paraId="46791AA1" w14:textId="77777777" w:rsidR="001053EA" w:rsidRPr="00A241F5" w:rsidRDefault="001053EA" w:rsidP="001053EA">
      <w:pPr>
        <w:widowControl/>
        <w:tabs>
          <w:tab w:val="clear" w:pos="1418"/>
          <w:tab w:val="left" w:pos="1440"/>
        </w:tabs>
        <w:rPr>
          <w:rFonts w:cs="Arial"/>
          <w:i/>
        </w:rPr>
      </w:pPr>
    </w:p>
    <w:p w14:paraId="2EFF5E9E" w14:textId="48DD3C44" w:rsidR="001053EA" w:rsidRPr="00A241F5" w:rsidRDefault="00264318" w:rsidP="001053EA">
      <w:pPr>
        <w:widowControl/>
        <w:tabs>
          <w:tab w:val="clear" w:pos="1418"/>
          <w:tab w:val="left" w:pos="1440"/>
        </w:tabs>
        <w:rPr>
          <w:rFonts w:cs="Arial"/>
          <w:i/>
        </w:rPr>
      </w:pPr>
      <w:r w:rsidRPr="00A241F5">
        <w:rPr>
          <w:rFonts w:cs="Arial"/>
        </w:rPr>
        <w:t>11.</w:t>
      </w:r>
      <w:r w:rsidR="001053EA" w:rsidRPr="00A241F5">
        <w:rPr>
          <w:rFonts w:cs="Arial"/>
        </w:rPr>
        <w:t>6</w:t>
      </w:r>
      <w:r w:rsidR="001053EA" w:rsidRPr="00A241F5">
        <w:rPr>
          <w:rFonts w:cs="Arial"/>
        </w:rPr>
        <w:tab/>
        <w:t xml:space="preserve">An arbitral institution noted that a broad regime </w:t>
      </w:r>
      <w:r w:rsidR="00C61F4B" w:rsidRPr="00A241F5">
        <w:rPr>
          <w:rFonts w:cs="Arial"/>
          <w:i/>
        </w:rPr>
        <w:t>"</w:t>
      </w:r>
      <w:r w:rsidR="001053EA" w:rsidRPr="00A241F5">
        <w:rPr>
          <w:rFonts w:cs="Arial"/>
          <w:i/>
        </w:rPr>
        <w:t>is important to enhance Hong Kong</w:t>
      </w:r>
      <w:r w:rsidR="00C61F4B" w:rsidRPr="00A241F5">
        <w:rPr>
          <w:rFonts w:cs="Arial"/>
          <w:i/>
        </w:rPr>
        <w:t>'</w:t>
      </w:r>
      <w:r w:rsidR="001053EA" w:rsidRPr="00A241F5">
        <w:rPr>
          <w:rFonts w:cs="Arial"/>
          <w:i/>
        </w:rPr>
        <w:t>s position as a leading arbitration centre and creates a competitive edge over jurisdictions that prohibit or restrict the scope of ORFSs</w:t>
      </w:r>
      <w:r w:rsidR="00C61F4B" w:rsidRPr="00A241F5">
        <w:rPr>
          <w:rFonts w:cs="Arial"/>
          <w:i/>
        </w:rPr>
        <w:t>"</w:t>
      </w:r>
      <w:r w:rsidR="00923002" w:rsidRPr="00A241F5">
        <w:rPr>
          <w:rFonts w:cs="Arial"/>
        </w:rPr>
        <w:t>.</w:t>
      </w:r>
    </w:p>
    <w:p w14:paraId="15DD9BDB" w14:textId="77777777" w:rsidR="001053EA" w:rsidRPr="00A241F5" w:rsidRDefault="001053EA" w:rsidP="001053EA">
      <w:pPr>
        <w:widowControl/>
        <w:tabs>
          <w:tab w:val="clear" w:pos="1418"/>
          <w:tab w:val="left" w:pos="1440"/>
        </w:tabs>
        <w:rPr>
          <w:rFonts w:cs="Arial"/>
          <w:i/>
        </w:rPr>
      </w:pPr>
    </w:p>
    <w:p w14:paraId="71B0ECD5" w14:textId="47005525"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7</w:t>
      </w:r>
      <w:r w:rsidR="001053EA" w:rsidRPr="00A241F5">
        <w:rPr>
          <w:rFonts w:cs="Arial"/>
        </w:rPr>
        <w:tab/>
        <w:t>All of the international law firms that responded also supported a broad ORFS regime, including Hybrid DBAs.  As one put it:</w:t>
      </w:r>
    </w:p>
    <w:p w14:paraId="2B7AA423" w14:textId="77777777" w:rsidR="001053EA" w:rsidRPr="00A241F5" w:rsidRDefault="001053EA" w:rsidP="001053EA">
      <w:pPr>
        <w:widowControl/>
        <w:tabs>
          <w:tab w:val="clear" w:pos="1418"/>
          <w:tab w:val="left" w:pos="1440"/>
        </w:tabs>
        <w:rPr>
          <w:rFonts w:cs="Arial"/>
        </w:rPr>
      </w:pPr>
    </w:p>
    <w:p w14:paraId="1AF796D4" w14:textId="3B60AFF6" w:rsidR="001053EA" w:rsidRPr="00A241F5" w:rsidRDefault="00C61F4B" w:rsidP="001053EA">
      <w:pPr>
        <w:pStyle w:val="BlockText"/>
        <w:rPr>
          <w:rFonts w:cs="Arial"/>
        </w:rPr>
      </w:pPr>
      <w:r w:rsidRPr="00A241F5">
        <w:rPr>
          <w:rFonts w:cs="Arial"/>
        </w:rPr>
        <w:t>"</w:t>
      </w:r>
      <w:r w:rsidR="001053EA" w:rsidRPr="00A241F5">
        <w:rPr>
          <w:rFonts w:cs="Arial"/>
        </w:rPr>
        <w:t xml:space="preserve">… arbitrating parties should have the freedom to select the type of ORFS, whether it be CFA, DBA </w:t>
      </w:r>
      <w:r w:rsidR="001053EA" w:rsidRPr="00A241F5">
        <w:t>or</w:t>
      </w:r>
      <w:r w:rsidR="001053EA" w:rsidRPr="00A241F5">
        <w:rPr>
          <w:rFonts w:cs="Arial"/>
        </w:rPr>
        <w:t xml:space="preserve"> Hybrid DBA, that best suits their needs</w:t>
      </w:r>
      <w:r w:rsidRPr="00A241F5">
        <w:rPr>
          <w:rFonts w:cs="Arial"/>
        </w:rPr>
        <w:t>"</w:t>
      </w:r>
      <w:r w:rsidR="00923002" w:rsidRPr="00A241F5">
        <w:rPr>
          <w:rFonts w:cs="Arial"/>
        </w:rPr>
        <w:t>.</w:t>
      </w:r>
    </w:p>
    <w:p w14:paraId="2761FAC4" w14:textId="77777777" w:rsidR="001053EA" w:rsidRPr="00A241F5" w:rsidRDefault="001053EA" w:rsidP="001053EA">
      <w:pPr>
        <w:widowControl/>
        <w:tabs>
          <w:tab w:val="clear" w:pos="1418"/>
          <w:tab w:val="left" w:pos="1440"/>
        </w:tabs>
        <w:rPr>
          <w:rFonts w:cs="Arial"/>
        </w:rPr>
      </w:pPr>
    </w:p>
    <w:p w14:paraId="74DDEA12" w14:textId="5BCDADDD"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8</w:t>
      </w:r>
      <w:r w:rsidR="001053EA" w:rsidRPr="00A241F5">
        <w:rPr>
          <w:rFonts w:cs="Arial"/>
        </w:rPr>
        <w:tab/>
        <w:t xml:space="preserve">Several law firms also noted that parties can already agree Hybrid DBAs with litigation funders, after Third Party Funding </w:t>
      </w:r>
      <w:r w:rsidR="00AB5D07" w:rsidRPr="00A241F5">
        <w:rPr>
          <w:rFonts w:cs="Arial"/>
        </w:rPr>
        <w:t xml:space="preserve">of </w:t>
      </w:r>
      <w:r w:rsidR="001053EA" w:rsidRPr="00A241F5">
        <w:rPr>
          <w:rFonts w:cs="Arial"/>
        </w:rPr>
        <w:t>Arbitration</w:t>
      </w:r>
      <w:r w:rsidR="001053EA" w:rsidRPr="00A241F5">
        <w:rPr>
          <w:rStyle w:val="FootnoteReference"/>
          <w:rFonts w:cs="Arial"/>
          <w:sz w:val="24"/>
        </w:rPr>
        <w:footnoteReference w:id="52"/>
      </w:r>
      <w:r w:rsidR="001053EA" w:rsidRPr="00A241F5">
        <w:rPr>
          <w:rFonts w:cs="Arial"/>
        </w:rPr>
        <w:t xml:space="preserve"> was introduced via amendments to the Arbitration Ordinance in 2019.</w:t>
      </w:r>
      <w:r w:rsidR="001053EA" w:rsidRPr="00A241F5">
        <w:rPr>
          <w:rStyle w:val="FootnoteReference"/>
          <w:rFonts w:cs="Arial"/>
          <w:sz w:val="24"/>
        </w:rPr>
        <w:footnoteReference w:id="53"/>
      </w:r>
      <w:r w:rsidR="001053EA" w:rsidRPr="00A241F5">
        <w:rPr>
          <w:rFonts w:cs="Arial"/>
        </w:rPr>
        <w:t xml:space="preserve">  Under such </w:t>
      </w:r>
      <w:r w:rsidR="00C61F4B" w:rsidRPr="00A241F5">
        <w:rPr>
          <w:rFonts w:cs="Arial"/>
        </w:rPr>
        <w:t>"</w:t>
      </w:r>
      <w:r w:rsidR="001053EA" w:rsidRPr="00A241F5">
        <w:rPr>
          <w:rFonts w:cs="Arial"/>
        </w:rPr>
        <w:t>Third Party Funder Hybrid DBAs</w:t>
      </w:r>
      <w:r w:rsidR="00C61F4B" w:rsidRPr="00A241F5">
        <w:rPr>
          <w:rFonts w:cs="Arial"/>
        </w:rPr>
        <w:t>"</w:t>
      </w:r>
      <w:r w:rsidR="001053EA" w:rsidRPr="00A241F5">
        <w:rPr>
          <w:rFonts w:cs="Arial"/>
        </w:rPr>
        <w:t>, the funder pays the Lawyer</w:t>
      </w:r>
      <w:r w:rsidR="00C61F4B" w:rsidRPr="00A241F5">
        <w:rPr>
          <w:rFonts w:cs="Arial"/>
        </w:rPr>
        <w:t>'</w:t>
      </w:r>
      <w:r w:rsidR="001053EA" w:rsidRPr="00A241F5">
        <w:rPr>
          <w:rFonts w:cs="Arial"/>
        </w:rPr>
        <w:t xml:space="preserve">s work in progress as the case progresses, and takes a percentage of the financial benefit obtained by the client (or a multiple of its investment) if the case succeeds.  One international </w:t>
      </w:r>
      <w:r w:rsidR="001A4D76" w:rsidRPr="00A241F5">
        <w:rPr>
          <w:rFonts w:cs="Arial"/>
        </w:rPr>
        <w:t xml:space="preserve">law </w:t>
      </w:r>
      <w:r w:rsidR="001053EA" w:rsidRPr="00A241F5">
        <w:rPr>
          <w:rFonts w:cs="Arial"/>
        </w:rPr>
        <w:t xml:space="preserve">firm commented that </w:t>
      </w:r>
      <w:r w:rsidR="00C61F4B" w:rsidRPr="00A241F5">
        <w:rPr>
          <w:rFonts w:cs="Arial"/>
          <w:i/>
        </w:rPr>
        <w:t>"</w:t>
      </w:r>
      <w:r w:rsidR="001053EA" w:rsidRPr="00A241F5">
        <w:rPr>
          <w:rFonts w:cs="Arial"/>
          <w:i/>
        </w:rPr>
        <w:t>there is no sensible justification for allowing CFAs, pure DBAs and Third Party Funder Hybrid DBAs, but not Hybrid DBAs</w:t>
      </w:r>
      <w:r w:rsidR="00C61F4B" w:rsidRPr="00A241F5">
        <w:rPr>
          <w:rFonts w:cs="Arial"/>
          <w:i/>
        </w:rPr>
        <w:t>"</w:t>
      </w:r>
      <w:r w:rsidR="00923002" w:rsidRPr="00A241F5">
        <w:rPr>
          <w:rFonts w:cs="Arial"/>
        </w:rPr>
        <w:t>.</w:t>
      </w:r>
    </w:p>
    <w:p w14:paraId="0069AF93" w14:textId="77777777" w:rsidR="001053EA" w:rsidRPr="00A241F5" w:rsidRDefault="001053EA" w:rsidP="001053EA">
      <w:pPr>
        <w:widowControl/>
        <w:tabs>
          <w:tab w:val="clear" w:pos="1418"/>
          <w:tab w:val="left" w:pos="1440"/>
        </w:tabs>
        <w:rPr>
          <w:rFonts w:cs="Arial"/>
        </w:rPr>
      </w:pPr>
    </w:p>
    <w:p w14:paraId="4707777D" w14:textId="14891304" w:rsidR="001053EA" w:rsidRPr="00A241F5" w:rsidRDefault="00264318" w:rsidP="0060174F">
      <w:pPr>
        <w:widowControl/>
        <w:tabs>
          <w:tab w:val="clear" w:pos="1418"/>
          <w:tab w:val="left" w:pos="1440"/>
        </w:tabs>
        <w:rPr>
          <w:rFonts w:cs="Arial"/>
        </w:rPr>
      </w:pPr>
      <w:r w:rsidRPr="00A241F5">
        <w:rPr>
          <w:rFonts w:cs="Arial"/>
        </w:rPr>
        <w:lastRenderedPageBreak/>
        <w:t>11.</w:t>
      </w:r>
      <w:r w:rsidR="001053EA" w:rsidRPr="00A241F5">
        <w:rPr>
          <w:rFonts w:cs="Arial"/>
        </w:rPr>
        <w:t>9</w:t>
      </w:r>
      <w:r w:rsidR="001053EA" w:rsidRPr="00A241F5">
        <w:rPr>
          <w:rFonts w:cs="Arial"/>
        </w:rPr>
        <w:tab/>
        <w:t xml:space="preserve">Many Respondents noted that allowing Hybrid DBAs would be beneficial in addressing the cash flow problems that might otherwise face Lawyers in a </w:t>
      </w:r>
      <w:r w:rsidR="00C61F4B" w:rsidRPr="00A241F5">
        <w:rPr>
          <w:rFonts w:cs="Arial"/>
        </w:rPr>
        <w:t>"</w:t>
      </w:r>
      <w:r w:rsidR="001053EA" w:rsidRPr="00A241F5">
        <w:rPr>
          <w:rFonts w:cs="Arial"/>
        </w:rPr>
        <w:t>pure</w:t>
      </w:r>
      <w:r w:rsidR="00C61F4B" w:rsidRPr="00A241F5">
        <w:rPr>
          <w:rFonts w:cs="Arial"/>
        </w:rPr>
        <w:t>"</w:t>
      </w:r>
      <w:r w:rsidR="001053EA" w:rsidRPr="00A241F5">
        <w:rPr>
          <w:rFonts w:cs="Arial"/>
        </w:rPr>
        <w:t xml:space="preserve"> DBA situation, where they are not entitled to charge any fees for the life of the matter.  As a result, it is principally </w:t>
      </w:r>
      <w:r w:rsidR="001A4D76" w:rsidRPr="00A241F5">
        <w:rPr>
          <w:rFonts w:cs="Arial"/>
        </w:rPr>
        <w:t xml:space="preserve">law </w:t>
      </w:r>
      <w:r w:rsidR="001053EA" w:rsidRPr="00A241F5">
        <w:rPr>
          <w:rFonts w:cs="Arial"/>
        </w:rPr>
        <w:t xml:space="preserve">firms with sufficient capital that can afford to offer such </w:t>
      </w:r>
      <w:r w:rsidR="00C61F4B" w:rsidRPr="00A241F5">
        <w:rPr>
          <w:rFonts w:cs="Arial"/>
        </w:rPr>
        <w:t>"</w:t>
      </w:r>
      <w:r w:rsidR="001053EA" w:rsidRPr="00A241F5">
        <w:rPr>
          <w:rFonts w:cs="Arial"/>
        </w:rPr>
        <w:t>pure</w:t>
      </w:r>
      <w:r w:rsidR="00C61F4B" w:rsidRPr="00A241F5">
        <w:rPr>
          <w:rFonts w:cs="Arial"/>
        </w:rPr>
        <w:t>"</w:t>
      </w:r>
      <w:r w:rsidR="001053EA" w:rsidRPr="00A241F5">
        <w:rPr>
          <w:rFonts w:cs="Arial"/>
        </w:rPr>
        <w:t xml:space="preserve"> DBA arrangements for large or long-running cases.  As one Government department noted:</w:t>
      </w:r>
      <w:r w:rsidR="0060174F" w:rsidRPr="00A241F5">
        <w:rPr>
          <w:rFonts w:cs="Arial"/>
        </w:rPr>
        <w:t xml:space="preserve"> </w:t>
      </w:r>
      <w:r w:rsidR="00C61F4B" w:rsidRPr="00A241F5">
        <w:rPr>
          <w:rFonts w:cs="Arial"/>
          <w:i/>
        </w:rPr>
        <w:t>"</w:t>
      </w:r>
      <w:r w:rsidR="001053EA" w:rsidRPr="00A241F5">
        <w:rPr>
          <w:rFonts w:cs="Arial"/>
        </w:rPr>
        <w:t>[</w:t>
      </w:r>
      <w:r w:rsidR="001053EA" w:rsidRPr="00A241F5">
        <w:rPr>
          <w:rFonts w:cs="Arial"/>
          <w:i/>
        </w:rPr>
        <w:t>Hybrid DBAs</w:t>
      </w:r>
      <w:r w:rsidR="001053EA" w:rsidRPr="00A241F5">
        <w:rPr>
          <w:rFonts w:cs="Arial"/>
        </w:rPr>
        <w:t>]</w:t>
      </w:r>
      <w:r w:rsidR="001053EA" w:rsidRPr="00A241F5">
        <w:rPr>
          <w:rFonts w:cs="Arial"/>
          <w:i/>
        </w:rPr>
        <w:t xml:space="preserve"> would also allow greater pricing flexibility and aid the cash flow of lawyers especially in long-running disputes</w:t>
      </w:r>
      <w:r w:rsidR="00923002" w:rsidRPr="00A241F5">
        <w:rPr>
          <w:rFonts w:cs="Arial"/>
        </w:rPr>
        <w:t>.</w:t>
      </w:r>
      <w:r w:rsidR="00C61F4B" w:rsidRPr="00A241F5">
        <w:rPr>
          <w:rFonts w:cs="Arial"/>
          <w:i/>
        </w:rPr>
        <w:t>"</w:t>
      </w:r>
    </w:p>
    <w:p w14:paraId="047FCAEF" w14:textId="77777777" w:rsidR="001053EA" w:rsidRPr="00A241F5" w:rsidRDefault="001053EA" w:rsidP="001053EA">
      <w:pPr>
        <w:widowControl/>
        <w:tabs>
          <w:tab w:val="clear" w:pos="1418"/>
          <w:tab w:val="left" w:pos="1440"/>
        </w:tabs>
        <w:rPr>
          <w:rFonts w:cs="Arial"/>
        </w:rPr>
      </w:pPr>
    </w:p>
    <w:p w14:paraId="3598E21B" w14:textId="3DE83821"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 xml:space="preserve">10 </w:t>
      </w:r>
      <w:r w:rsidR="001053EA" w:rsidRPr="00A241F5">
        <w:rPr>
          <w:rFonts w:cs="Arial"/>
        </w:rPr>
        <w:tab/>
        <w:t>Both the Law Society and the HKBA supported the introduction of Hybrid DBAs.  A</w:t>
      </w:r>
      <w:r w:rsidR="00E12E72" w:rsidRPr="00A241F5">
        <w:rPr>
          <w:rFonts w:cs="Arial"/>
        </w:rPr>
        <w:t xml:space="preserve"> consumer/public interest group</w:t>
      </w:r>
      <w:r w:rsidR="001053EA" w:rsidRPr="00A241F5">
        <w:rPr>
          <w:rFonts w:cs="Arial"/>
        </w:rPr>
        <w:t xml:space="preserve"> concurred:</w:t>
      </w:r>
    </w:p>
    <w:p w14:paraId="4526F0E3" w14:textId="77777777" w:rsidR="001053EA" w:rsidRPr="00A241F5" w:rsidRDefault="001053EA" w:rsidP="001053EA">
      <w:pPr>
        <w:widowControl/>
        <w:tabs>
          <w:tab w:val="clear" w:pos="1418"/>
          <w:tab w:val="left" w:pos="1440"/>
        </w:tabs>
        <w:rPr>
          <w:rFonts w:cs="Arial"/>
        </w:rPr>
      </w:pPr>
    </w:p>
    <w:p w14:paraId="01F40E75" w14:textId="52F3917D" w:rsidR="001053EA" w:rsidRPr="00A241F5" w:rsidRDefault="00C61F4B" w:rsidP="001053EA">
      <w:pPr>
        <w:widowControl/>
        <w:tabs>
          <w:tab w:val="clear" w:pos="1418"/>
          <w:tab w:val="left" w:pos="1440"/>
        </w:tabs>
        <w:ind w:left="720" w:right="720"/>
        <w:rPr>
          <w:rFonts w:cs="Arial"/>
        </w:rPr>
      </w:pPr>
      <w:r w:rsidRPr="00A241F5">
        <w:rPr>
          <w:rFonts w:cs="Arial"/>
          <w:i/>
        </w:rPr>
        <w:t>"</w:t>
      </w:r>
      <w:r w:rsidR="001053EA" w:rsidRPr="00A241F5">
        <w:rPr>
          <w:rFonts w:cs="Arial"/>
          <w:i/>
        </w:rPr>
        <w:t xml:space="preserve">The </w:t>
      </w:r>
      <w:r w:rsidR="001053EA" w:rsidRPr="00A241F5">
        <w:rPr>
          <w:rFonts w:cs="Arial"/>
        </w:rPr>
        <w:t>[</w:t>
      </w:r>
      <w:r w:rsidR="00E12E72" w:rsidRPr="00A241F5">
        <w:rPr>
          <w:rFonts w:cs="Arial"/>
          <w:i/>
        </w:rPr>
        <w:t>consumer/public interest group</w:t>
      </w:r>
      <w:r w:rsidR="001053EA" w:rsidRPr="00A241F5">
        <w:rPr>
          <w:rFonts w:cs="Arial"/>
        </w:rPr>
        <w:t>]</w:t>
      </w:r>
      <w:r w:rsidR="001053EA" w:rsidRPr="00A241F5">
        <w:rPr>
          <w:rFonts w:cs="Arial"/>
          <w:i/>
        </w:rPr>
        <w:t xml:space="preserve"> agrees that Hybrid DBAs should be permitted, and that it should be possible for a lawyer to charge the client as the case proceeds, under a discounted retainer.  It ensures that, for long-running matters, a solicitor can keep some money coming in, making the case more viable to take on</w:t>
      </w:r>
      <w:r w:rsidR="00923002" w:rsidRPr="00A241F5">
        <w:rPr>
          <w:rFonts w:cs="Arial"/>
          <w:i/>
        </w:rPr>
        <w:t>.</w:t>
      </w:r>
      <w:r w:rsidRPr="00A241F5">
        <w:rPr>
          <w:rFonts w:cs="Arial"/>
          <w:i/>
        </w:rPr>
        <w:t>"</w:t>
      </w:r>
    </w:p>
    <w:p w14:paraId="0ADB57C1" w14:textId="77777777" w:rsidR="001053EA" w:rsidRPr="00A241F5" w:rsidRDefault="001053EA" w:rsidP="001053EA">
      <w:pPr>
        <w:widowControl/>
        <w:tabs>
          <w:tab w:val="clear" w:pos="1418"/>
          <w:tab w:val="left" w:pos="1440"/>
        </w:tabs>
        <w:rPr>
          <w:rFonts w:cs="Arial"/>
        </w:rPr>
      </w:pPr>
    </w:p>
    <w:p w14:paraId="1BC231E7" w14:textId="0F98EAEC"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11</w:t>
      </w:r>
      <w:r w:rsidR="001053EA" w:rsidRPr="00A241F5">
        <w:rPr>
          <w:rFonts w:cs="Arial"/>
        </w:rPr>
        <w:tab/>
        <w:t>In our view, this is a major advantage of allowing Hybrid DBAs, and would permit a much larger number of Hong Kong law firms to offer a range of ORFSs to their clients, and thus increase the options available to clients.</w:t>
      </w:r>
    </w:p>
    <w:p w14:paraId="04012A87" w14:textId="2BB61110" w:rsidR="001053EA" w:rsidRPr="00A241F5" w:rsidRDefault="001053EA" w:rsidP="00264318">
      <w:pPr>
        <w:rPr>
          <w:lang w:val="en-HK"/>
        </w:rPr>
      </w:pPr>
    </w:p>
    <w:p w14:paraId="02B959EC" w14:textId="77777777" w:rsidR="00264318" w:rsidRPr="00A241F5" w:rsidRDefault="00264318" w:rsidP="00264318">
      <w:pPr>
        <w:rPr>
          <w:lang w:val="en-HK"/>
        </w:rPr>
      </w:pPr>
    </w:p>
    <w:p w14:paraId="3BC92970" w14:textId="02BD361E" w:rsidR="001053EA" w:rsidRPr="00A241F5" w:rsidRDefault="001053EA" w:rsidP="001053EA">
      <w:pPr>
        <w:pStyle w:val="Heading3"/>
      </w:pPr>
      <w:r w:rsidRPr="00A241F5">
        <w:t>Comments from the Respondent who opposed the basic proposal in Recommendation 10</w:t>
      </w:r>
    </w:p>
    <w:p w14:paraId="2F478C36" w14:textId="77777777" w:rsidR="001053EA" w:rsidRPr="00A241F5" w:rsidRDefault="001053EA" w:rsidP="001053EA">
      <w:pPr>
        <w:keepNext/>
        <w:keepLines/>
        <w:widowControl/>
        <w:tabs>
          <w:tab w:val="clear" w:pos="1418"/>
          <w:tab w:val="left" w:pos="1440"/>
        </w:tabs>
        <w:rPr>
          <w:rFonts w:cs="Arial"/>
        </w:rPr>
      </w:pPr>
    </w:p>
    <w:p w14:paraId="66DABF98" w14:textId="2AB47436"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12</w:t>
      </w:r>
      <w:r w:rsidR="001053EA" w:rsidRPr="00A241F5">
        <w:rPr>
          <w:rFonts w:cs="Arial"/>
        </w:rPr>
        <w:tab/>
        <w:t xml:space="preserve">Only one Respondent disagreed with introducing Hybrid DBAs.  This same Respondent, a local law firm, objected to introducing any form of ORFS for Arbitration, for the reasons set out in Chapters </w:t>
      </w:r>
      <w:r w:rsidRPr="00A241F5">
        <w:rPr>
          <w:rFonts w:cs="Arial"/>
        </w:rPr>
        <w:t>2</w:t>
      </w:r>
      <w:r w:rsidR="001053EA" w:rsidRPr="00A241F5">
        <w:rPr>
          <w:rFonts w:cs="Arial"/>
        </w:rPr>
        <w:t xml:space="preserve"> and </w:t>
      </w:r>
      <w:r w:rsidRPr="00A241F5">
        <w:rPr>
          <w:rFonts w:cs="Arial"/>
        </w:rPr>
        <w:t>5</w:t>
      </w:r>
      <w:r w:rsidR="001053EA" w:rsidRPr="00A241F5">
        <w:rPr>
          <w:rFonts w:cs="Arial"/>
        </w:rPr>
        <w:t>.  None of its objections relates specifically to Hybrid DBAs.</w:t>
      </w:r>
    </w:p>
    <w:p w14:paraId="70F50B19" w14:textId="77777777" w:rsidR="001053EA" w:rsidRPr="00A241F5" w:rsidRDefault="001053EA" w:rsidP="001053EA">
      <w:pPr>
        <w:widowControl/>
        <w:tabs>
          <w:tab w:val="clear" w:pos="1418"/>
          <w:tab w:val="left" w:pos="1440"/>
        </w:tabs>
        <w:rPr>
          <w:rFonts w:eastAsiaTheme="minorEastAsia" w:cs="Arial"/>
          <w:lang w:val="en-HK"/>
        </w:rPr>
      </w:pPr>
    </w:p>
    <w:p w14:paraId="03B7B8F8" w14:textId="77777777" w:rsidR="001053EA" w:rsidRPr="00A241F5" w:rsidRDefault="001053EA" w:rsidP="001053EA">
      <w:pPr>
        <w:widowControl/>
        <w:tabs>
          <w:tab w:val="clear" w:pos="1418"/>
          <w:tab w:val="left" w:pos="1440"/>
        </w:tabs>
        <w:rPr>
          <w:rFonts w:eastAsiaTheme="minorEastAsia" w:cs="Arial"/>
          <w:lang w:val="en-HK"/>
        </w:rPr>
      </w:pPr>
    </w:p>
    <w:p w14:paraId="3A3FB160" w14:textId="77777777" w:rsidR="001053EA" w:rsidRPr="00A241F5" w:rsidRDefault="001053EA" w:rsidP="00F762B2">
      <w:pPr>
        <w:pStyle w:val="Heading3"/>
      </w:pPr>
      <w:r w:rsidRPr="00A241F5">
        <w:t>Our analysis and response</w:t>
      </w:r>
    </w:p>
    <w:p w14:paraId="38847AF4" w14:textId="77777777" w:rsidR="001053EA" w:rsidRPr="00A241F5" w:rsidRDefault="001053EA" w:rsidP="001053EA"/>
    <w:p w14:paraId="4D6DBCA1" w14:textId="7392F3D7" w:rsidR="001053EA" w:rsidRPr="00A241F5" w:rsidRDefault="00264318" w:rsidP="001053EA">
      <w:pPr>
        <w:widowControl/>
        <w:tabs>
          <w:tab w:val="clear" w:pos="1418"/>
          <w:tab w:val="left" w:pos="1440"/>
        </w:tabs>
      </w:pPr>
      <w:r w:rsidRPr="00A241F5">
        <w:rPr>
          <w:rFonts w:cs="Arial"/>
        </w:rPr>
        <w:t>11.</w:t>
      </w:r>
      <w:r w:rsidR="001053EA" w:rsidRPr="00A241F5">
        <w:rPr>
          <w:rFonts w:cs="Arial"/>
        </w:rPr>
        <w:t>13</w:t>
      </w:r>
      <w:r w:rsidR="001053EA" w:rsidRPr="00A241F5">
        <w:rPr>
          <w:rFonts w:hint="eastAsia"/>
        </w:rPr>
        <w:tab/>
      </w:r>
      <w:r w:rsidR="001053EA" w:rsidRPr="00A241F5">
        <w:t xml:space="preserve">It is clear that the majority of Respondents favoured Hong Kong introducing an ORFS regime for Arbitration that is as broad, and flexible, as possible.  In this context, we note that Respondents overwhelmingly supported permitting Hybrid DBAs, along with other forms of ORFS, in order to maximise the choices available to clients and Lawyers when it comes to selecting the best fee structure for each case. </w:t>
      </w:r>
    </w:p>
    <w:p w14:paraId="05EA4C1A" w14:textId="77777777" w:rsidR="001053EA" w:rsidRPr="00A241F5" w:rsidRDefault="001053EA" w:rsidP="001053EA">
      <w:pPr>
        <w:widowControl/>
        <w:tabs>
          <w:tab w:val="clear" w:pos="1418"/>
          <w:tab w:val="left" w:pos="1440"/>
        </w:tabs>
      </w:pPr>
    </w:p>
    <w:p w14:paraId="5FE25ADA" w14:textId="64C87038" w:rsidR="001053EA" w:rsidRPr="00A241F5" w:rsidRDefault="00264318" w:rsidP="001053EA">
      <w:pPr>
        <w:widowControl/>
        <w:tabs>
          <w:tab w:val="left" w:pos="1560"/>
        </w:tabs>
      </w:pPr>
      <w:r w:rsidRPr="00A241F5">
        <w:t>11.</w:t>
      </w:r>
      <w:r w:rsidR="001053EA" w:rsidRPr="00A241F5">
        <w:t>14</w:t>
      </w:r>
      <w:r w:rsidR="001053EA" w:rsidRPr="00A241F5">
        <w:tab/>
        <w:t xml:space="preserve">Like the majority of Respondents, we are of the view that Hong Kong would benefit from a broad, flexible ORFS regime for Arbitration.  Against this background, we agree that there is no reason to exclude Hybrid DBAs if, as we recommend, Hong Kong permits CFAs and DBAs in their </w:t>
      </w:r>
      <w:r w:rsidR="00C61F4B" w:rsidRPr="00A241F5">
        <w:t>"</w:t>
      </w:r>
      <w:r w:rsidR="001053EA" w:rsidRPr="00A241F5">
        <w:t>pure</w:t>
      </w:r>
      <w:r w:rsidR="00C61F4B" w:rsidRPr="00A241F5">
        <w:t>"</w:t>
      </w:r>
      <w:r w:rsidR="001053EA" w:rsidRPr="00A241F5">
        <w:t xml:space="preserve"> forms. </w:t>
      </w:r>
    </w:p>
    <w:p w14:paraId="09C44CB1" w14:textId="77777777" w:rsidR="001053EA" w:rsidRPr="00A241F5" w:rsidRDefault="001053EA" w:rsidP="001053EA">
      <w:pPr>
        <w:widowControl/>
        <w:tabs>
          <w:tab w:val="left" w:pos="1560"/>
        </w:tabs>
      </w:pPr>
    </w:p>
    <w:p w14:paraId="4ABEE091" w14:textId="0AD0F735" w:rsidR="001053EA" w:rsidRPr="00A241F5" w:rsidRDefault="00264318" w:rsidP="001053EA">
      <w:pPr>
        <w:widowControl/>
        <w:tabs>
          <w:tab w:val="left" w:pos="1560"/>
        </w:tabs>
      </w:pPr>
      <w:r w:rsidRPr="00A241F5">
        <w:t>11.</w:t>
      </w:r>
      <w:r w:rsidR="001053EA" w:rsidRPr="00A241F5">
        <w:t>15</w:t>
      </w:r>
      <w:r w:rsidR="001053EA" w:rsidRPr="00A241F5">
        <w:tab/>
        <w:t xml:space="preserve">We agree with those who submitted that permitting Hybrid DBAs would aid cash flow, particularly for long-running matters, by enabling Lawyers </w:t>
      </w:r>
      <w:r w:rsidR="001053EA" w:rsidRPr="00A241F5">
        <w:lastRenderedPageBreak/>
        <w:t>to keep some money coming in during the life of the dispute.  Given that Lawyers are already able to enter essentially the same arrangement with Third Party Funders, we see no logical reason to prevent them from agreeing such arrangements with their clients.  Indeed, allowing Hybrid DBAs will allow more Lawyers to offer ORFS arrangements for Arbitration to their clients, thus increasing the scope of the ORFS regime for Arbitration and enhancing access to justice.</w:t>
      </w:r>
    </w:p>
    <w:p w14:paraId="17B9F258" w14:textId="77777777" w:rsidR="001053EA" w:rsidRPr="00A241F5" w:rsidRDefault="001053EA" w:rsidP="001053EA">
      <w:pPr>
        <w:widowControl/>
        <w:tabs>
          <w:tab w:val="left" w:pos="1560"/>
        </w:tabs>
      </w:pPr>
    </w:p>
    <w:p w14:paraId="5392E160" w14:textId="67DB1335" w:rsidR="001053EA" w:rsidRPr="00A241F5" w:rsidRDefault="00264318" w:rsidP="001053EA">
      <w:pPr>
        <w:widowControl/>
        <w:tabs>
          <w:tab w:val="left" w:pos="1560"/>
        </w:tabs>
      </w:pPr>
      <w:r w:rsidRPr="00A241F5">
        <w:t>11.</w:t>
      </w:r>
      <w:r w:rsidR="001053EA" w:rsidRPr="00A241F5">
        <w:t>16</w:t>
      </w:r>
      <w:r w:rsidR="001053EA" w:rsidRPr="00A241F5">
        <w:tab/>
        <w:t>We are also persuaded by the compelling arguments put forward by Lord Justice Jackson when recommending that England and Wales permit Hybrid DBAs, including:</w:t>
      </w:r>
    </w:p>
    <w:p w14:paraId="44DCFDAF" w14:textId="77777777" w:rsidR="001053EA" w:rsidRPr="00A241F5" w:rsidRDefault="001053EA" w:rsidP="001053EA">
      <w:pPr>
        <w:widowControl/>
        <w:tabs>
          <w:tab w:val="left" w:pos="1560"/>
        </w:tabs>
      </w:pPr>
    </w:p>
    <w:p w14:paraId="6CFD0C4C" w14:textId="77777777" w:rsidR="001053EA" w:rsidRPr="00A241F5" w:rsidRDefault="001053EA" w:rsidP="001053EA">
      <w:pPr>
        <w:pStyle w:val="Indent10"/>
        <w:keepNext/>
        <w:keepLines/>
        <w:rPr>
          <w:lang w:val="en-US"/>
        </w:rPr>
      </w:pPr>
      <w:r w:rsidRPr="00A241F5">
        <w:rPr>
          <w:rFonts w:cs="Arial"/>
        </w:rPr>
        <w:t>(a)</w:t>
      </w:r>
      <w:r w:rsidRPr="00A241F5">
        <w:rPr>
          <w:rFonts w:cs="Arial"/>
        </w:rPr>
        <w:tab/>
        <w:t xml:space="preserve">Hybrid </w:t>
      </w:r>
      <w:r w:rsidRPr="00A241F5">
        <w:rPr>
          <w:lang w:val="en-US"/>
        </w:rPr>
        <w:t>DBA funding is particularly suited to long-running, high-risk commercial litigation, where some funding as the case proceeds would make the case more viable to take on;</w:t>
      </w:r>
    </w:p>
    <w:p w14:paraId="42CDA4C3" w14:textId="77777777" w:rsidR="001053EA" w:rsidRPr="00A241F5" w:rsidRDefault="001053EA" w:rsidP="001053EA">
      <w:pPr>
        <w:pStyle w:val="Indent10"/>
        <w:rPr>
          <w:lang w:val="en-US"/>
        </w:rPr>
      </w:pPr>
    </w:p>
    <w:p w14:paraId="6636AF12" w14:textId="0EB87B74" w:rsidR="001053EA" w:rsidRPr="00A241F5" w:rsidRDefault="001053EA" w:rsidP="001053EA">
      <w:pPr>
        <w:pStyle w:val="Indent10"/>
        <w:rPr>
          <w:lang w:val="en-US"/>
        </w:rPr>
      </w:pPr>
      <w:r w:rsidRPr="00A241F5">
        <w:rPr>
          <w:lang w:val="en-US"/>
        </w:rPr>
        <w:t>(b)</w:t>
      </w:r>
      <w:r w:rsidRPr="00A241F5">
        <w:rPr>
          <w:lang w:val="en-US"/>
        </w:rPr>
        <w:tab/>
        <w:t>the defendant/respondent is not generally affected whether the claimant</w:t>
      </w:r>
      <w:r w:rsidR="00C61F4B" w:rsidRPr="00A241F5">
        <w:rPr>
          <w:lang w:val="en-US"/>
        </w:rPr>
        <w:t>'</w:t>
      </w:r>
      <w:r w:rsidRPr="00A241F5">
        <w:rPr>
          <w:lang w:val="en-US"/>
        </w:rPr>
        <w:t>s case is funded by a sole DBA, a Hybrid DBA or via a CFA.  Hence, how the claimant chooses to fund its litigation is its own concern;</w:t>
      </w:r>
      <w:r w:rsidRPr="00A241F5">
        <w:rPr>
          <w:rStyle w:val="FootnoteReference"/>
          <w:sz w:val="24"/>
          <w:lang w:val="en-US"/>
        </w:rPr>
        <w:footnoteReference w:id="54"/>
      </w:r>
    </w:p>
    <w:p w14:paraId="5AE72466" w14:textId="77777777" w:rsidR="001053EA" w:rsidRPr="00A241F5" w:rsidRDefault="001053EA" w:rsidP="001053EA">
      <w:pPr>
        <w:pStyle w:val="Indent10"/>
        <w:rPr>
          <w:lang w:val="en-US"/>
        </w:rPr>
      </w:pPr>
    </w:p>
    <w:p w14:paraId="706C353E" w14:textId="77777777" w:rsidR="001053EA" w:rsidRPr="00A241F5" w:rsidRDefault="001053EA" w:rsidP="001053EA">
      <w:pPr>
        <w:pStyle w:val="Indent10"/>
        <w:rPr>
          <w:lang w:val="en-US"/>
        </w:rPr>
      </w:pPr>
      <w:r w:rsidRPr="00A241F5">
        <w:rPr>
          <w:lang w:val="en-US"/>
        </w:rPr>
        <w:t>(c)</w:t>
      </w:r>
      <w:r w:rsidRPr="00A241F5">
        <w:rPr>
          <w:lang w:val="en-US"/>
        </w:rPr>
        <w:tab/>
        <w:t>Hybrid DBAs are permitted in other jurisdictions, including in Canada, and have not caused any problems.  On the contrary, the effect on the Canadian regime has been to increase access to justice;</w:t>
      </w:r>
    </w:p>
    <w:p w14:paraId="024383B6" w14:textId="77777777" w:rsidR="001053EA" w:rsidRPr="00A241F5" w:rsidRDefault="001053EA" w:rsidP="001053EA">
      <w:pPr>
        <w:pStyle w:val="Indent10"/>
        <w:rPr>
          <w:lang w:val="en-US"/>
        </w:rPr>
      </w:pPr>
    </w:p>
    <w:p w14:paraId="73209E14" w14:textId="77777777" w:rsidR="001053EA" w:rsidRPr="00A241F5" w:rsidRDefault="001053EA" w:rsidP="001053EA">
      <w:pPr>
        <w:pStyle w:val="Indent10"/>
        <w:rPr>
          <w:lang w:val="en-US"/>
        </w:rPr>
      </w:pPr>
      <w:r w:rsidRPr="00A241F5">
        <w:rPr>
          <w:lang w:val="en-US"/>
        </w:rPr>
        <w:t>(d)</w:t>
      </w:r>
      <w:r w:rsidRPr="00A241F5">
        <w:rPr>
          <w:lang w:val="en-US"/>
        </w:rPr>
        <w:tab/>
        <w:t>permitting Hybrid DBAs would similarly enhance access to justice.  In short, the more funding options open to the claimant, the better; and</w:t>
      </w:r>
    </w:p>
    <w:p w14:paraId="455D519D" w14:textId="77777777" w:rsidR="001053EA" w:rsidRPr="00A241F5" w:rsidRDefault="001053EA" w:rsidP="001053EA">
      <w:pPr>
        <w:pStyle w:val="Indent10"/>
        <w:rPr>
          <w:lang w:val="en-US"/>
        </w:rPr>
      </w:pPr>
    </w:p>
    <w:p w14:paraId="2810D79E" w14:textId="4E07303B" w:rsidR="001053EA" w:rsidRPr="00A241F5" w:rsidRDefault="001053EA" w:rsidP="00BE0A49">
      <w:pPr>
        <w:pStyle w:val="Indent10"/>
        <w:widowControl/>
        <w:tabs>
          <w:tab w:val="clear" w:pos="1418"/>
          <w:tab w:val="left" w:pos="1440"/>
        </w:tabs>
        <w:rPr>
          <w:rFonts w:cs="Arial"/>
          <w:lang w:val="en-HK"/>
        </w:rPr>
      </w:pPr>
      <w:r w:rsidRPr="00A241F5">
        <w:rPr>
          <w:lang w:val="en-US"/>
        </w:rPr>
        <w:t>(e)</w:t>
      </w:r>
      <w:r w:rsidRPr="00A241F5">
        <w:rPr>
          <w:lang w:val="en-US"/>
        </w:rPr>
        <w:tab/>
        <w:t xml:space="preserve">Hybrid DBAs are very unlikely to encourage frivolous and speculative litigation, because the lawyer is unlikely to </w:t>
      </w:r>
      <w:r w:rsidR="00C61F4B" w:rsidRPr="00A241F5">
        <w:rPr>
          <w:lang w:val="en-US"/>
        </w:rPr>
        <w:t>"</w:t>
      </w:r>
      <w:r w:rsidRPr="00A241F5">
        <w:rPr>
          <w:lang w:val="en-US"/>
        </w:rPr>
        <w:t>invest</w:t>
      </w:r>
      <w:r w:rsidR="00C61F4B" w:rsidRPr="00A241F5">
        <w:rPr>
          <w:lang w:val="en-US"/>
        </w:rPr>
        <w:t>"</w:t>
      </w:r>
      <w:r w:rsidRPr="00A241F5">
        <w:rPr>
          <w:lang w:val="en-US"/>
        </w:rPr>
        <w:t xml:space="preserve"> in the case if he or she considers the case to be weak.</w:t>
      </w:r>
      <w:r w:rsidRPr="00A241F5">
        <w:rPr>
          <w:rStyle w:val="FootnoteReference"/>
          <w:sz w:val="24"/>
        </w:rPr>
        <w:footnoteReference w:id="55"/>
      </w:r>
      <w:r w:rsidRPr="00A241F5">
        <w:rPr>
          <w:rFonts w:cs="Arial"/>
          <w:lang w:val="en-HK"/>
        </w:rPr>
        <w:t xml:space="preserve"> </w:t>
      </w:r>
    </w:p>
    <w:p w14:paraId="292C8B3C" w14:textId="77777777" w:rsidR="001053EA" w:rsidRPr="00A241F5" w:rsidRDefault="001053EA" w:rsidP="001053EA">
      <w:pPr>
        <w:widowControl/>
        <w:tabs>
          <w:tab w:val="left" w:pos="1560"/>
        </w:tabs>
      </w:pPr>
    </w:p>
    <w:p w14:paraId="2CE65789" w14:textId="475556D2" w:rsidR="001053EA" w:rsidRPr="00A241F5" w:rsidRDefault="00264318" w:rsidP="001053EA">
      <w:pPr>
        <w:widowControl/>
        <w:tabs>
          <w:tab w:val="left" w:pos="1560"/>
        </w:tabs>
      </w:pPr>
      <w:r w:rsidRPr="00A241F5">
        <w:rPr>
          <w:rFonts w:cs="Arial"/>
        </w:rPr>
        <w:t>11.</w:t>
      </w:r>
      <w:r w:rsidR="001053EA" w:rsidRPr="00A241F5">
        <w:rPr>
          <w:rFonts w:cs="Arial"/>
        </w:rPr>
        <w:t>17</w:t>
      </w:r>
      <w:r w:rsidR="001053EA" w:rsidRPr="00A241F5">
        <w:tab/>
        <w:t xml:space="preserve">Having reviewed the range of submissions received on the basic proposal in Recommendation 10, and observed that almost all of those who expressed a view supported it, we agree that Hybrid DBAs should be permitted. </w:t>
      </w:r>
    </w:p>
    <w:p w14:paraId="5E490737" w14:textId="77777777" w:rsidR="001053EA" w:rsidRPr="00A241F5" w:rsidRDefault="001053EA" w:rsidP="001053EA">
      <w:pPr>
        <w:widowControl/>
        <w:tabs>
          <w:tab w:val="left" w:pos="1560"/>
        </w:tabs>
      </w:pPr>
    </w:p>
    <w:p w14:paraId="605DF004" w14:textId="77777777" w:rsidR="001053EA" w:rsidRPr="00A241F5" w:rsidRDefault="001053EA" w:rsidP="001053EA">
      <w:pPr>
        <w:widowControl/>
        <w:tabs>
          <w:tab w:val="left" w:pos="1560"/>
        </w:tabs>
      </w:pPr>
    </w:p>
    <w:p w14:paraId="0ECDB0DC" w14:textId="725C18A1" w:rsidR="001053EA" w:rsidRPr="00A241F5" w:rsidRDefault="001053EA" w:rsidP="001053EA">
      <w:pPr>
        <w:pStyle w:val="Heading2"/>
        <w:widowControl/>
        <w:tabs>
          <w:tab w:val="clear" w:pos="1418"/>
          <w:tab w:val="left" w:pos="1440"/>
        </w:tabs>
        <w:rPr>
          <w:rFonts w:cs="Arial"/>
        </w:rPr>
      </w:pPr>
      <w:r w:rsidRPr="00A241F5">
        <w:rPr>
          <w:rFonts w:cs="Arial"/>
        </w:rPr>
        <w:t>Responses to the Sub-committee</w:t>
      </w:r>
      <w:r w:rsidR="00C61F4B" w:rsidRPr="00A241F5">
        <w:rPr>
          <w:rFonts w:cs="Arial"/>
        </w:rPr>
        <w:t>'</w:t>
      </w:r>
      <w:r w:rsidRPr="00A241F5">
        <w:rPr>
          <w:rFonts w:cs="Arial"/>
        </w:rPr>
        <w:t>s invitation for submissions under Recommendation 10(a), (b) and (c)</w:t>
      </w:r>
    </w:p>
    <w:p w14:paraId="04068E84" w14:textId="77777777" w:rsidR="001053EA" w:rsidRPr="00A241F5" w:rsidRDefault="001053EA" w:rsidP="001053EA">
      <w:pPr>
        <w:widowControl/>
        <w:tabs>
          <w:tab w:val="clear" w:pos="1418"/>
          <w:tab w:val="left" w:pos="1440"/>
        </w:tabs>
        <w:rPr>
          <w:rFonts w:cs="Arial"/>
        </w:rPr>
      </w:pPr>
    </w:p>
    <w:p w14:paraId="0A95FFF9" w14:textId="73290FA6"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 xml:space="preserve">18 </w:t>
      </w:r>
      <w:r w:rsidR="001053EA" w:rsidRPr="00A241F5">
        <w:rPr>
          <w:rFonts w:cs="Arial"/>
        </w:rPr>
        <w:tab/>
        <w:t>Although almost every Respondent who commented on Recommendation 10 endorsed Hybrid DBAs, responses were fewer, and more mixed, to the invitation for submissions under Recommendation 10 (a) – (c).  These address:</w:t>
      </w:r>
    </w:p>
    <w:p w14:paraId="3789B8C4" w14:textId="77777777" w:rsidR="001053EA" w:rsidRPr="00A241F5" w:rsidRDefault="001053EA" w:rsidP="001053EA">
      <w:pPr>
        <w:widowControl/>
        <w:tabs>
          <w:tab w:val="clear" w:pos="1418"/>
          <w:tab w:val="left" w:pos="1440"/>
        </w:tabs>
        <w:jc w:val="left"/>
        <w:rPr>
          <w:rFonts w:cs="Arial"/>
        </w:rPr>
      </w:pPr>
    </w:p>
    <w:p w14:paraId="398211B8" w14:textId="77777777" w:rsidR="001053EA" w:rsidRPr="00A241F5" w:rsidRDefault="001053EA" w:rsidP="001053EA">
      <w:pPr>
        <w:pStyle w:val="Indent10"/>
        <w:keepNext/>
        <w:keepLines/>
      </w:pPr>
      <w:r w:rsidRPr="00A241F5">
        <w:t>(a)</w:t>
      </w:r>
      <w:r w:rsidRPr="00A241F5">
        <w:tab/>
        <w:t>whether the Lawyer should be permitted to retain only a proportion of the costs incurred if the case does not succeed;</w:t>
      </w:r>
    </w:p>
    <w:p w14:paraId="4DEE8381" w14:textId="77777777" w:rsidR="001053EA" w:rsidRPr="00A241F5" w:rsidRDefault="001053EA" w:rsidP="00BE0A49"/>
    <w:p w14:paraId="5237C687" w14:textId="77777777" w:rsidR="001053EA" w:rsidRPr="00A241F5" w:rsidRDefault="001053EA" w:rsidP="001053EA">
      <w:pPr>
        <w:pStyle w:val="Indent10"/>
        <w:tabs>
          <w:tab w:val="clear" w:pos="1418"/>
        </w:tabs>
      </w:pPr>
      <w:r w:rsidRPr="00A241F5">
        <w:t>(b)</w:t>
      </w:r>
      <w:r w:rsidRPr="00A241F5">
        <w:tab/>
        <w:t>if so, what is an appropriate cap on such costs; and</w:t>
      </w:r>
    </w:p>
    <w:p w14:paraId="40C7FAA4" w14:textId="77777777" w:rsidR="001053EA" w:rsidRPr="00A241F5" w:rsidRDefault="001053EA" w:rsidP="001053EA">
      <w:pPr>
        <w:pStyle w:val="Indent10"/>
      </w:pPr>
    </w:p>
    <w:p w14:paraId="52E73800" w14:textId="77777777" w:rsidR="001053EA" w:rsidRPr="00A241F5" w:rsidRDefault="001053EA" w:rsidP="001053EA">
      <w:pPr>
        <w:pStyle w:val="Indent10"/>
        <w:widowControl/>
        <w:tabs>
          <w:tab w:val="clear" w:pos="1418"/>
        </w:tabs>
      </w:pPr>
      <w:r w:rsidRPr="00A241F5">
        <w:t xml:space="preserve">(c) </w:t>
      </w:r>
      <w:r w:rsidRPr="00A241F5">
        <w:tab/>
        <w:t>whether, if the DBA Payment is less than the capped amount of irrecoverable costs, the Lawyer should be entitled to retain the capped amount of irrecoverable costs instead of the DBA Payment.</w:t>
      </w:r>
      <w:r w:rsidRPr="00A241F5">
        <w:rPr>
          <w:rStyle w:val="FootnoteReference"/>
          <w:rFonts w:cs="Arial"/>
          <w:sz w:val="24"/>
        </w:rPr>
        <w:footnoteReference w:id="56"/>
      </w:r>
    </w:p>
    <w:p w14:paraId="0B5C2A5A" w14:textId="77777777" w:rsidR="001053EA" w:rsidRPr="00A241F5" w:rsidRDefault="001053EA" w:rsidP="001053EA">
      <w:pPr>
        <w:widowControl/>
        <w:tabs>
          <w:tab w:val="clear" w:pos="1418"/>
          <w:tab w:val="left" w:pos="1440"/>
        </w:tabs>
        <w:ind w:left="720"/>
        <w:jc w:val="left"/>
        <w:rPr>
          <w:rFonts w:cs="Arial"/>
        </w:rPr>
      </w:pPr>
    </w:p>
    <w:p w14:paraId="69D163B5" w14:textId="77777777" w:rsidR="001053EA" w:rsidRPr="00A241F5" w:rsidRDefault="001053EA" w:rsidP="001053EA">
      <w:pPr>
        <w:widowControl/>
        <w:tabs>
          <w:tab w:val="clear" w:pos="1418"/>
          <w:tab w:val="left" w:pos="1440"/>
        </w:tabs>
        <w:rPr>
          <w:rFonts w:cs="Arial"/>
        </w:rPr>
      </w:pPr>
    </w:p>
    <w:p w14:paraId="20EB0C9E" w14:textId="6D02352C" w:rsidR="001053EA" w:rsidRPr="00A241F5" w:rsidRDefault="001053EA" w:rsidP="001053EA">
      <w:pPr>
        <w:widowControl/>
        <w:tabs>
          <w:tab w:val="clear" w:pos="1418"/>
          <w:tab w:val="left" w:pos="1440"/>
        </w:tabs>
        <w:rPr>
          <w:rFonts w:cs="Arial"/>
          <w:b/>
          <w:i/>
        </w:rPr>
      </w:pPr>
      <w:r w:rsidRPr="00A241F5">
        <w:rPr>
          <w:rFonts w:cs="Arial"/>
          <w:b/>
          <w:i/>
        </w:rPr>
        <w:t>Comments from Respondents who supported Recommendation 10(a)</w:t>
      </w:r>
    </w:p>
    <w:p w14:paraId="744FD885" w14:textId="77777777" w:rsidR="001053EA" w:rsidRPr="00A241F5" w:rsidRDefault="001053EA" w:rsidP="001053EA">
      <w:pPr>
        <w:widowControl/>
        <w:tabs>
          <w:tab w:val="clear" w:pos="1418"/>
          <w:tab w:val="left" w:pos="1440"/>
        </w:tabs>
        <w:rPr>
          <w:rFonts w:cs="Arial"/>
        </w:rPr>
      </w:pPr>
    </w:p>
    <w:p w14:paraId="54ED66AA" w14:textId="3696F2CF"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19</w:t>
      </w:r>
      <w:r w:rsidR="001053EA" w:rsidRPr="00A241F5">
        <w:rPr>
          <w:rFonts w:cs="Arial"/>
        </w:rPr>
        <w:tab/>
        <w:t>Eleven Respondents expressed their views on Recommendation 10 (a) – (c).</w:t>
      </w:r>
      <w:r w:rsidR="003A4CBD" w:rsidRPr="00A241F5">
        <w:rPr>
          <w:rFonts w:cs="Arial"/>
        </w:rPr>
        <w:t xml:space="preserve"> </w:t>
      </w:r>
      <w:r w:rsidR="001053EA" w:rsidRPr="00A241F5">
        <w:rPr>
          <w:rFonts w:cs="Arial"/>
        </w:rPr>
        <w:t xml:space="preserve"> Six of them expressed support for Recommendation 10 (a); that if the case is unsuccessful, the Lawyer should be permitted to retain only a proportion of the costs he or she has incurred in pursuing it. </w:t>
      </w:r>
    </w:p>
    <w:p w14:paraId="32887AA0" w14:textId="77777777" w:rsidR="001053EA" w:rsidRPr="00A241F5" w:rsidRDefault="001053EA" w:rsidP="001053EA">
      <w:pPr>
        <w:widowControl/>
        <w:tabs>
          <w:tab w:val="clear" w:pos="1418"/>
          <w:tab w:val="left" w:pos="1440"/>
        </w:tabs>
        <w:rPr>
          <w:rFonts w:cs="Arial"/>
        </w:rPr>
      </w:pPr>
    </w:p>
    <w:p w14:paraId="38D5110F" w14:textId="3598B6A1"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20</w:t>
      </w:r>
      <w:r w:rsidR="001053EA" w:rsidRPr="00A241F5">
        <w:rPr>
          <w:rFonts w:cs="Arial"/>
        </w:rPr>
        <w:tab/>
        <w:t>In support of this view, one chamber of commerce explained:</w:t>
      </w:r>
    </w:p>
    <w:p w14:paraId="60FC4A7C" w14:textId="77777777" w:rsidR="001053EA" w:rsidRPr="00A241F5" w:rsidRDefault="001053EA" w:rsidP="001053EA">
      <w:pPr>
        <w:widowControl/>
        <w:tabs>
          <w:tab w:val="clear" w:pos="1418"/>
          <w:tab w:val="left" w:pos="1440"/>
        </w:tabs>
        <w:rPr>
          <w:rFonts w:cs="Arial"/>
        </w:rPr>
      </w:pPr>
    </w:p>
    <w:p w14:paraId="49C24F50" w14:textId="32524221" w:rsidR="001053EA" w:rsidRPr="00A241F5" w:rsidRDefault="00C61F4B" w:rsidP="001053EA">
      <w:pPr>
        <w:widowControl/>
        <w:tabs>
          <w:tab w:val="clear" w:pos="1418"/>
          <w:tab w:val="left" w:pos="1440"/>
        </w:tabs>
        <w:ind w:left="720" w:right="720"/>
        <w:rPr>
          <w:rFonts w:cs="Arial"/>
        </w:rPr>
      </w:pPr>
      <w:r w:rsidRPr="00A241F5">
        <w:rPr>
          <w:rFonts w:cs="Arial"/>
          <w:i/>
        </w:rPr>
        <w:t>"</w:t>
      </w:r>
      <w:r w:rsidR="001053EA" w:rsidRPr="00A241F5">
        <w:rPr>
          <w:rFonts w:cs="Arial"/>
          <w:i/>
        </w:rPr>
        <w:t>One of the key benefits of ORFSs is that they incentivise successful outcomes by rewarding the lawyer for success.  This objective would be defeated if the lawyer can recover all of the legal costs even if the claim is unsuccessful</w:t>
      </w:r>
      <w:r w:rsidR="00923002" w:rsidRPr="00A241F5">
        <w:rPr>
          <w:rFonts w:cs="Arial"/>
          <w:i/>
        </w:rPr>
        <w:t>.</w:t>
      </w:r>
      <w:r w:rsidRPr="00A241F5">
        <w:rPr>
          <w:rFonts w:cs="Arial"/>
          <w:i/>
        </w:rPr>
        <w:t>"</w:t>
      </w:r>
    </w:p>
    <w:p w14:paraId="3E6988DA" w14:textId="77777777" w:rsidR="001053EA" w:rsidRPr="00A241F5" w:rsidRDefault="001053EA" w:rsidP="001053EA">
      <w:pPr>
        <w:widowControl/>
        <w:tabs>
          <w:tab w:val="clear" w:pos="1418"/>
          <w:tab w:val="left" w:pos="1440"/>
        </w:tabs>
        <w:rPr>
          <w:rFonts w:cs="Arial"/>
        </w:rPr>
      </w:pPr>
    </w:p>
    <w:p w14:paraId="71B3F666" w14:textId="7C93DDC9"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21</w:t>
      </w:r>
      <w:r w:rsidR="001053EA" w:rsidRPr="00A241F5">
        <w:rPr>
          <w:rFonts w:cs="Arial"/>
        </w:rPr>
        <w:tab/>
        <w:t xml:space="preserve">The Law Society noted that limiting such costs </w:t>
      </w:r>
      <w:r w:rsidR="00C61F4B" w:rsidRPr="00A241F5">
        <w:rPr>
          <w:rFonts w:cs="Arial"/>
          <w:i/>
        </w:rPr>
        <w:t>"</w:t>
      </w:r>
      <w:r w:rsidR="001053EA" w:rsidRPr="00A241F5">
        <w:rPr>
          <w:rFonts w:cs="Arial"/>
          <w:i/>
        </w:rPr>
        <w:t>would help enhancing access to justice but at the same time strikes a balance on the costs exposure of the Lawyers</w:t>
      </w:r>
      <w:r w:rsidR="00C044A3" w:rsidRPr="00A241F5">
        <w:rPr>
          <w:rFonts w:cs="Arial"/>
          <w:i/>
        </w:rPr>
        <w:t>"</w:t>
      </w:r>
      <w:r w:rsidR="00923002" w:rsidRPr="00A241F5">
        <w:rPr>
          <w:rFonts w:cs="Arial"/>
        </w:rPr>
        <w:t>.</w:t>
      </w:r>
    </w:p>
    <w:p w14:paraId="200093C7" w14:textId="77777777" w:rsidR="001053EA" w:rsidRPr="00A241F5" w:rsidRDefault="001053EA" w:rsidP="001053EA">
      <w:pPr>
        <w:widowControl/>
        <w:tabs>
          <w:tab w:val="clear" w:pos="1418"/>
          <w:tab w:val="left" w:pos="1440"/>
        </w:tabs>
        <w:rPr>
          <w:rFonts w:cs="Arial"/>
        </w:rPr>
      </w:pPr>
    </w:p>
    <w:p w14:paraId="51320259" w14:textId="77777777" w:rsidR="001053EA" w:rsidRPr="00A241F5" w:rsidRDefault="001053EA" w:rsidP="001053EA">
      <w:pPr>
        <w:widowControl/>
        <w:tabs>
          <w:tab w:val="clear" w:pos="1418"/>
          <w:tab w:val="left" w:pos="1440"/>
        </w:tabs>
        <w:rPr>
          <w:rFonts w:cs="Arial"/>
        </w:rPr>
      </w:pPr>
    </w:p>
    <w:p w14:paraId="0690EDFF" w14:textId="77777777" w:rsidR="001053EA" w:rsidRPr="00A241F5" w:rsidRDefault="001053EA" w:rsidP="001053EA">
      <w:pPr>
        <w:widowControl/>
        <w:tabs>
          <w:tab w:val="clear" w:pos="1418"/>
          <w:tab w:val="left" w:pos="1440"/>
        </w:tabs>
        <w:rPr>
          <w:rFonts w:cs="Arial"/>
          <w:b/>
          <w:i/>
        </w:rPr>
      </w:pPr>
      <w:r w:rsidRPr="00A241F5">
        <w:rPr>
          <w:rFonts w:cs="Arial"/>
          <w:b/>
          <w:i/>
        </w:rPr>
        <w:t>Comments from Respondents who opposed Recommendation 10(a)</w:t>
      </w:r>
    </w:p>
    <w:p w14:paraId="01070511" w14:textId="77777777" w:rsidR="001053EA" w:rsidRPr="00A241F5" w:rsidRDefault="001053EA" w:rsidP="001053EA">
      <w:pPr>
        <w:widowControl/>
        <w:tabs>
          <w:tab w:val="clear" w:pos="1418"/>
          <w:tab w:val="left" w:pos="1440"/>
        </w:tabs>
        <w:rPr>
          <w:rFonts w:cs="Arial"/>
        </w:rPr>
      </w:pPr>
    </w:p>
    <w:p w14:paraId="0559FDD9" w14:textId="52BFA30E"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22</w:t>
      </w:r>
      <w:r w:rsidR="001053EA" w:rsidRPr="00A241F5">
        <w:rPr>
          <w:rFonts w:cs="Arial"/>
        </w:rPr>
        <w:tab/>
        <w:t xml:space="preserve">The other five Respondents, including large law firms, an arbitrator/barrister and a litigation funder, preferred not to regulate how much a Lawyer can retain if the case is unsuccessful, but to leave this for negotiation by individual Lawyers and their clients on a case-by-case basis.  Two Respondents (who submitted identical responses), commented that </w:t>
      </w:r>
      <w:r w:rsidR="00C61F4B" w:rsidRPr="00A241F5">
        <w:rPr>
          <w:rFonts w:cs="Arial"/>
          <w:i/>
        </w:rPr>
        <w:t>"</w:t>
      </w:r>
      <w:r w:rsidR="001053EA" w:rsidRPr="00A241F5">
        <w:rPr>
          <w:rFonts w:cs="Arial"/>
          <w:i/>
        </w:rPr>
        <w:t>it would be far too complicated to put a cap on what portion of the payments the lawyers are allowed to retain</w:t>
      </w:r>
      <w:r w:rsidR="00C61F4B" w:rsidRPr="00A241F5">
        <w:rPr>
          <w:rFonts w:cs="Arial"/>
          <w:i/>
        </w:rPr>
        <w:t>"</w:t>
      </w:r>
      <w:r w:rsidR="001053EA" w:rsidRPr="00A241F5">
        <w:rPr>
          <w:rFonts w:cs="Arial"/>
        </w:rPr>
        <w:t>.</w:t>
      </w:r>
    </w:p>
    <w:p w14:paraId="686C28CD" w14:textId="77777777" w:rsidR="001053EA" w:rsidRPr="00A241F5" w:rsidRDefault="001053EA" w:rsidP="001053EA">
      <w:pPr>
        <w:widowControl/>
        <w:tabs>
          <w:tab w:val="clear" w:pos="1418"/>
          <w:tab w:val="left" w:pos="1440"/>
        </w:tabs>
        <w:rPr>
          <w:rFonts w:cs="Arial"/>
          <w:b/>
        </w:rPr>
      </w:pPr>
    </w:p>
    <w:p w14:paraId="186623F0" w14:textId="77777777" w:rsidR="001053EA" w:rsidRPr="00A241F5" w:rsidRDefault="001053EA" w:rsidP="001053EA">
      <w:pPr>
        <w:widowControl/>
        <w:tabs>
          <w:tab w:val="clear" w:pos="1418"/>
          <w:tab w:val="left" w:pos="1440"/>
        </w:tabs>
        <w:rPr>
          <w:rFonts w:cs="Arial"/>
          <w:b/>
        </w:rPr>
      </w:pPr>
    </w:p>
    <w:p w14:paraId="217D7226" w14:textId="77777777" w:rsidR="001053EA" w:rsidRPr="00A241F5" w:rsidRDefault="001053EA" w:rsidP="001053EA">
      <w:pPr>
        <w:widowControl/>
        <w:tabs>
          <w:tab w:val="clear" w:pos="1418"/>
          <w:tab w:val="left" w:pos="1440"/>
        </w:tabs>
        <w:rPr>
          <w:rFonts w:cs="Arial"/>
          <w:b/>
          <w:i/>
        </w:rPr>
      </w:pPr>
      <w:r w:rsidRPr="00A241F5">
        <w:rPr>
          <w:rFonts w:cs="Arial"/>
          <w:b/>
          <w:i/>
        </w:rPr>
        <w:t>Our analysis and response</w:t>
      </w:r>
    </w:p>
    <w:p w14:paraId="6490EBFA" w14:textId="77777777" w:rsidR="001053EA" w:rsidRPr="00A241F5" w:rsidRDefault="001053EA" w:rsidP="001053EA">
      <w:pPr>
        <w:widowControl/>
        <w:tabs>
          <w:tab w:val="clear" w:pos="1418"/>
          <w:tab w:val="left" w:pos="1440"/>
        </w:tabs>
        <w:rPr>
          <w:rFonts w:cs="Arial"/>
          <w:b/>
          <w:i/>
        </w:rPr>
      </w:pPr>
    </w:p>
    <w:p w14:paraId="26B9BD4C" w14:textId="7B752407"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23</w:t>
      </w:r>
      <w:r w:rsidR="001053EA" w:rsidRPr="00A241F5">
        <w:rPr>
          <w:rFonts w:cs="Arial"/>
        </w:rPr>
        <w:tab/>
        <w:t xml:space="preserve">We note that responses to Recommendation 10(a) were almost evenly divided.  However, having carefully considered the arguments for and against this proposal, we are persuaded that the benefits of allowing Lawyers to retain only a proportion of their costs incurred in pursuing an unsuccessful </w:t>
      </w:r>
      <w:r w:rsidR="001053EA" w:rsidRPr="00A241F5">
        <w:rPr>
          <w:rFonts w:cs="Arial"/>
        </w:rPr>
        <w:lastRenderedPageBreak/>
        <w:t xml:space="preserve">claim (where the client does not obtain any Financial Benefit) outweigh any undesirable implications of restricting their freedom to negotiate terms with their clients.  </w:t>
      </w:r>
    </w:p>
    <w:p w14:paraId="3E9FE088" w14:textId="77777777" w:rsidR="001053EA" w:rsidRPr="00A241F5" w:rsidRDefault="001053EA" w:rsidP="001053EA">
      <w:pPr>
        <w:widowControl/>
        <w:tabs>
          <w:tab w:val="clear" w:pos="1418"/>
          <w:tab w:val="left" w:pos="1440"/>
        </w:tabs>
        <w:rPr>
          <w:rFonts w:cs="Arial"/>
        </w:rPr>
      </w:pPr>
    </w:p>
    <w:p w14:paraId="167585AB" w14:textId="5BD1D22E"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24</w:t>
      </w:r>
      <w:r w:rsidR="001053EA" w:rsidRPr="00A241F5">
        <w:rPr>
          <w:rFonts w:cs="Arial"/>
        </w:rPr>
        <w:tab/>
        <w:t>Without such limitation, Lawyers could persuade their clients to make a large DBA Payment (much larger than the costs actually incurred) in the event the client obtains a Financial Benefit in the matter, but to pay the full amount of costs incurred in the event the client fails to obtain a Financial Benefit in the matter.  This is unfair to the client, who typically agrees to pay more (via a DBA Payment) in exchange for the Lawyer providing funding during the life of the matter, and – importantly – sharing the risk of failure.  If the Lawyer will be paid his full costs even where the case is unsuccessful, the risk-sharing element is missing.</w:t>
      </w:r>
    </w:p>
    <w:p w14:paraId="3595B6CE" w14:textId="77777777" w:rsidR="001053EA" w:rsidRPr="00A241F5" w:rsidRDefault="001053EA" w:rsidP="001053EA">
      <w:pPr>
        <w:widowControl/>
        <w:tabs>
          <w:tab w:val="clear" w:pos="1418"/>
          <w:tab w:val="left" w:pos="1440"/>
        </w:tabs>
        <w:rPr>
          <w:rFonts w:cs="Arial"/>
        </w:rPr>
      </w:pPr>
    </w:p>
    <w:p w14:paraId="4B92D3D4" w14:textId="2650CF5A"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25</w:t>
      </w:r>
      <w:r w:rsidR="001053EA" w:rsidRPr="00A241F5">
        <w:rPr>
          <w:rFonts w:cs="Arial"/>
        </w:rPr>
        <w:tab/>
        <w:t>In reaching this conclusion, we note that the Respondents have generally expressed overwhelming support for including appropriate safeguards in any ORFS regime for Arbitration Hong Kong adopts.  In our view, such safeguards are particularly important at the beginning of any new regime, to protect users of the system who are likely to be unfamiliar with its workings and the potential for unscrupulous Lawyers to use the regime to charge excessively high fees.</w:t>
      </w:r>
    </w:p>
    <w:p w14:paraId="5AD5416F" w14:textId="77777777" w:rsidR="001053EA" w:rsidRPr="00A241F5" w:rsidRDefault="001053EA" w:rsidP="001053EA">
      <w:pPr>
        <w:widowControl/>
        <w:tabs>
          <w:tab w:val="clear" w:pos="1418"/>
          <w:tab w:val="left" w:pos="1440"/>
        </w:tabs>
        <w:rPr>
          <w:rFonts w:cs="Arial"/>
          <w:b/>
        </w:rPr>
      </w:pPr>
    </w:p>
    <w:p w14:paraId="423C1BDC" w14:textId="77777777" w:rsidR="001053EA" w:rsidRPr="00A241F5" w:rsidRDefault="001053EA" w:rsidP="001053EA">
      <w:pPr>
        <w:widowControl/>
        <w:tabs>
          <w:tab w:val="clear" w:pos="1418"/>
          <w:tab w:val="left" w:pos="1440"/>
        </w:tabs>
        <w:rPr>
          <w:rFonts w:cs="Arial"/>
          <w:b/>
        </w:rPr>
      </w:pPr>
    </w:p>
    <w:p w14:paraId="1705AD47" w14:textId="2723EF78" w:rsidR="001053EA" w:rsidRPr="00A241F5" w:rsidRDefault="001053EA" w:rsidP="001053EA">
      <w:pPr>
        <w:widowControl/>
        <w:tabs>
          <w:tab w:val="clear" w:pos="1418"/>
          <w:tab w:val="left" w:pos="1440"/>
        </w:tabs>
        <w:rPr>
          <w:rFonts w:cs="Arial"/>
          <w:b/>
          <w:i/>
        </w:rPr>
      </w:pPr>
      <w:r w:rsidRPr="00A241F5">
        <w:rPr>
          <w:rFonts w:cs="Arial"/>
          <w:b/>
          <w:i/>
        </w:rPr>
        <w:t>Comments from Respondents on Recommendation 10(b)</w:t>
      </w:r>
    </w:p>
    <w:p w14:paraId="4FD534EA" w14:textId="77777777" w:rsidR="001053EA" w:rsidRPr="00A241F5" w:rsidRDefault="001053EA" w:rsidP="001053EA">
      <w:pPr>
        <w:widowControl/>
        <w:tabs>
          <w:tab w:val="clear" w:pos="1418"/>
          <w:tab w:val="left" w:pos="1440"/>
        </w:tabs>
        <w:rPr>
          <w:rFonts w:cs="Arial"/>
        </w:rPr>
      </w:pPr>
    </w:p>
    <w:p w14:paraId="415BD0B8" w14:textId="28290A1E"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26</w:t>
      </w:r>
      <w:r w:rsidR="001053EA" w:rsidRPr="00A241F5">
        <w:rPr>
          <w:rFonts w:cs="Arial"/>
        </w:rPr>
        <w:tab/>
        <w:t>Having concluded that it is appropriate to limit the proportion of costs a Lawyer can retain if the case does not succeed (ie the client receives no Financial Benefit from its case), we have considered the Respondents</w:t>
      </w:r>
      <w:r w:rsidR="00C61F4B" w:rsidRPr="00A241F5">
        <w:rPr>
          <w:rFonts w:cs="Arial"/>
        </w:rPr>
        <w:t>'</w:t>
      </w:r>
      <w:r w:rsidR="001053EA" w:rsidRPr="00A241F5">
        <w:rPr>
          <w:rFonts w:cs="Arial"/>
        </w:rPr>
        <w:t xml:space="preserve"> views on the appropriate level of limitation.</w:t>
      </w:r>
    </w:p>
    <w:p w14:paraId="7A630944" w14:textId="77777777" w:rsidR="001053EA" w:rsidRPr="00A241F5" w:rsidRDefault="001053EA" w:rsidP="001053EA">
      <w:pPr>
        <w:widowControl/>
        <w:tabs>
          <w:tab w:val="clear" w:pos="1418"/>
          <w:tab w:val="left" w:pos="1440"/>
        </w:tabs>
        <w:rPr>
          <w:rFonts w:cs="Arial"/>
        </w:rPr>
      </w:pPr>
    </w:p>
    <w:p w14:paraId="44678185" w14:textId="5809FC79"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27</w:t>
      </w:r>
      <w:r w:rsidR="001053EA" w:rsidRPr="00A241F5">
        <w:rPr>
          <w:rFonts w:cs="Arial"/>
        </w:rPr>
        <w:tab/>
        <w:t xml:space="preserve">Out of the six Respondents that supported Recommendation 10(a), five of them suggested that </w:t>
      </w:r>
      <w:r w:rsidR="001053EA" w:rsidRPr="00A241F5">
        <w:rPr>
          <w:rFonts w:cs="Arial"/>
          <w:b/>
        </w:rPr>
        <w:t>30%</w:t>
      </w:r>
      <w:r w:rsidR="001053EA" w:rsidRPr="00A241F5">
        <w:rPr>
          <w:rFonts w:cs="Arial"/>
        </w:rPr>
        <w:t xml:space="preserve"> was the appropriate cap.  This is the same cap that was proposed in the English 2019 DBA Reform Project.</w:t>
      </w:r>
      <w:r w:rsidR="001053EA" w:rsidRPr="00A241F5">
        <w:rPr>
          <w:rStyle w:val="FootnoteReference"/>
          <w:rFonts w:cs="Arial"/>
          <w:sz w:val="24"/>
        </w:rPr>
        <w:footnoteReference w:id="57"/>
      </w:r>
      <w:r w:rsidR="001053EA" w:rsidRPr="00A241F5">
        <w:rPr>
          <w:rFonts w:cs="Arial"/>
        </w:rPr>
        <w:t xml:space="preserve">  The remaining Respondent, an arbitral institution, suggested a </w:t>
      </w:r>
      <w:r w:rsidR="001053EA" w:rsidRPr="00A241F5">
        <w:rPr>
          <w:rFonts w:cs="Arial"/>
          <w:b/>
        </w:rPr>
        <w:t>50%</w:t>
      </w:r>
      <w:r w:rsidR="001053EA" w:rsidRPr="00A241F5">
        <w:rPr>
          <w:rFonts w:cs="Arial"/>
        </w:rPr>
        <w:t xml:space="preserve"> cap.  None of these Respondents provided reasons for their proposals.</w:t>
      </w:r>
    </w:p>
    <w:p w14:paraId="51E0A30F" w14:textId="77777777" w:rsidR="001053EA" w:rsidRPr="00A241F5" w:rsidRDefault="001053EA" w:rsidP="001053EA">
      <w:pPr>
        <w:widowControl/>
        <w:tabs>
          <w:tab w:val="clear" w:pos="1418"/>
          <w:tab w:val="left" w:pos="1440"/>
        </w:tabs>
        <w:rPr>
          <w:rFonts w:cs="Arial"/>
        </w:rPr>
      </w:pPr>
    </w:p>
    <w:p w14:paraId="31DC44D3" w14:textId="77777777" w:rsidR="001053EA" w:rsidRPr="00A241F5" w:rsidRDefault="001053EA" w:rsidP="001053EA">
      <w:pPr>
        <w:widowControl/>
        <w:tabs>
          <w:tab w:val="clear" w:pos="1418"/>
          <w:tab w:val="left" w:pos="1440"/>
        </w:tabs>
        <w:rPr>
          <w:rFonts w:cs="Arial"/>
        </w:rPr>
      </w:pPr>
    </w:p>
    <w:p w14:paraId="6A492C57" w14:textId="77777777" w:rsidR="001053EA" w:rsidRPr="00A241F5" w:rsidRDefault="001053EA" w:rsidP="001053EA">
      <w:pPr>
        <w:widowControl/>
        <w:tabs>
          <w:tab w:val="clear" w:pos="1418"/>
          <w:tab w:val="left" w:pos="1440"/>
        </w:tabs>
        <w:rPr>
          <w:rFonts w:cs="Arial"/>
          <w:b/>
          <w:i/>
        </w:rPr>
      </w:pPr>
      <w:r w:rsidRPr="00A241F5">
        <w:rPr>
          <w:rFonts w:cs="Arial"/>
          <w:b/>
          <w:i/>
        </w:rPr>
        <w:t>Our analysis and response</w:t>
      </w:r>
    </w:p>
    <w:p w14:paraId="1436EFB5" w14:textId="77777777" w:rsidR="001053EA" w:rsidRPr="00A241F5" w:rsidRDefault="001053EA" w:rsidP="001053EA">
      <w:pPr>
        <w:widowControl/>
        <w:tabs>
          <w:tab w:val="clear" w:pos="1418"/>
          <w:tab w:val="left" w:pos="1440"/>
        </w:tabs>
        <w:rPr>
          <w:rFonts w:cs="Arial"/>
        </w:rPr>
      </w:pPr>
    </w:p>
    <w:p w14:paraId="1A96AE06" w14:textId="5496E432"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28</w:t>
      </w:r>
      <w:r w:rsidR="001053EA" w:rsidRPr="00A241F5">
        <w:rPr>
          <w:rFonts w:cs="Arial"/>
        </w:rPr>
        <w:tab/>
        <w:t xml:space="preserve">Respondents were almost evenly divided between those who supported capping such costs and those who favoured no cap at all.  We note further the general support of Respondents for a broad, flexible ORFS regime for Arbitration in Hong Kong.  Finally, we are mindful of Final Recommendation 7, in which we propose a cap of 50% on </w:t>
      </w:r>
      <w:r w:rsidR="00C61F4B" w:rsidRPr="00A241F5">
        <w:rPr>
          <w:rFonts w:cs="Arial"/>
        </w:rPr>
        <w:t>"</w:t>
      </w:r>
      <w:r w:rsidR="001053EA" w:rsidRPr="00A241F5">
        <w:rPr>
          <w:rFonts w:cs="Arial"/>
        </w:rPr>
        <w:t>pure</w:t>
      </w:r>
      <w:r w:rsidR="00C61F4B" w:rsidRPr="00A241F5">
        <w:rPr>
          <w:rFonts w:cs="Arial"/>
        </w:rPr>
        <w:t>"</w:t>
      </w:r>
      <w:r w:rsidR="001053EA" w:rsidRPr="00A241F5">
        <w:rPr>
          <w:rFonts w:cs="Arial"/>
        </w:rPr>
        <w:t xml:space="preserve"> DBA Payments. </w:t>
      </w:r>
    </w:p>
    <w:p w14:paraId="7D8C5BE4" w14:textId="77777777" w:rsidR="001053EA" w:rsidRPr="00A241F5" w:rsidRDefault="001053EA" w:rsidP="001053EA">
      <w:pPr>
        <w:widowControl/>
        <w:tabs>
          <w:tab w:val="clear" w:pos="1418"/>
          <w:tab w:val="left" w:pos="1440"/>
        </w:tabs>
        <w:rPr>
          <w:rFonts w:cs="Arial"/>
        </w:rPr>
      </w:pPr>
    </w:p>
    <w:p w14:paraId="0CAE4413" w14:textId="12E55A7D" w:rsidR="001053EA" w:rsidRPr="00A241F5" w:rsidRDefault="00264318" w:rsidP="001053EA">
      <w:pPr>
        <w:widowControl/>
        <w:tabs>
          <w:tab w:val="clear" w:pos="1418"/>
          <w:tab w:val="left" w:pos="1440"/>
        </w:tabs>
        <w:rPr>
          <w:rFonts w:cs="Arial"/>
          <w:i/>
        </w:rPr>
      </w:pPr>
      <w:r w:rsidRPr="00A241F5">
        <w:rPr>
          <w:rFonts w:cs="Arial"/>
        </w:rPr>
        <w:t>11.</w:t>
      </w:r>
      <w:r w:rsidR="001053EA" w:rsidRPr="00A241F5">
        <w:rPr>
          <w:rFonts w:cs="Arial"/>
        </w:rPr>
        <w:t>29</w:t>
      </w:r>
      <w:r w:rsidR="001053EA" w:rsidRPr="00A241F5">
        <w:rPr>
          <w:rFonts w:cs="Arial"/>
        </w:rPr>
        <w:tab/>
        <w:t xml:space="preserve">In light of the above, we recommend capping at </w:t>
      </w:r>
      <w:r w:rsidR="001053EA" w:rsidRPr="00A241F5">
        <w:rPr>
          <w:rFonts w:cs="Arial"/>
          <w:b/>
        </w:rPr>
        <w:t xml:space="preserve">50% </w:t>
      </w:r>
      <w:r w:rsidR="001053EA" w:rsidRPr="00A241F5">
        <w:rPr>
          <w:rFonts w:cs="Arial"/>
        </w:rPr>
        <w:t xml:space="preserve">the costs that a Lawyer can retain if the case is unsuccessful (such that no Financial Benefit is obtained).  In our view, this is the appropriate level to prevent abuse </w:t>
      </w:r>
      <w:r w:rsidR="001053EA" w:rsidRPr="00A241F5">
        <w:rPr>
          <w:rFonts w:cs="Arial"/>
        </w:rPr>
        <w:lastRenderedPageBreak/>
        <w:t xml:space="preserve">of the system while retaining for Lawyers a sufficient degree of flexibility to negotiate a fee arrangement that is suitable for the circumstances of the case. </w:t>
      </w:r>
    </w:p>
    <w:p w14:paraId="14764554" w14:textId="77777777" w:rsidR="001053EA" w:rsidRPr="00A241F5" w:rsidRDefault="001053EA" w:rsidP="001053EA">
      <w:pPr>
        <w:widowControl/>
        <w:tabs>
          <w:tab w:val="clear" w:pos="1418"/>
          <w:tab w:val="left" w:pos="1440"/>
        </w:tabs>
        <w:rPr>
          <w:rFonts w:cs="Arial"/>
        </w:rPr>
      </w:pPr>
    </w:p>
    <w:p w14:paraId="184E5261" w14:textId="4EA66C1A"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30</w:t>
      </w:r>
      <w:r w:rsidR="001053EA" w:rsidRPr="00A241F5">
        <w:rPr>
          <w:rFonts w:cs="Arial"/>
        </w:rPr>
        <w:tab/>
        <w:t>We note finally that 50% would be a maximum, and that it remains open to clients and Lawyers to agree that the Lawyer will retain less.</w:t>
      </w:r>
    </w:p>
    <w:p w14:paraId="0FBB02D2" w14:textId="77777777" w:rsidR="001053EA" w:rsidRPr="00A241F5" w:rsidRDefault="001053EA" w:rsidP="001053EA">
      <w:pPr>
        <w:widowControl/>
        <w:tabs>
          <w:tab w:val="clear" w:pos="1418"/>
          <w:tab w:val="left" w:pos="1440"/>
        </w:tabs>
        <w:rPr>
          <w:rFonts w:cs="Arial"/>
          <w:sz w:val="28"/>
        </w:rPr>
      </w:pPr>
    </w:p>
    <w:p w14:paraId="1467F2E1" w14:textId="77777777" w:rsidR="001053EA" w:rsidRPr="00A241F5" w:rsidRDefault="001053EA" w:rsidP="001053EA">
      <w:pPr>
        <w:widowControl/>
        <w:tabs>
          <w:tab w:val="clear" w:pos="1418"/>
          <w:tab w:val="left" w:pos="1440"/>
        </w:tabs>
        <w:rPr>
          <w:rFonts w:cs="Arial"/>
          <w:sz w:val="28"/>
        </w:rPr>
      </w:pPr>
    </w:p>
    <w:p w14:paraId="72DD6B3D" w14:textId="4856E295" w:rsidR="001053EA" w:rsidRPr="00A241F5" w:rsidRDefault="001053EA" w:rsidP="001053EA">
      <w:pPr>
        <w:keepNext/>
        <w:widowControl/>
        <w:tabs>
          <w:tab w:val="clear" w:pos="1418"/>
          <w:tab w:val="left" w:pos="1440"/>
        </w:tabs>
        <w:rPr>
          <w:rFonts w:cs="Arial"/>
          <w:b/>
          <w:i/>
        </w:rPr>
      </w:pPr>
      <w:r w:rsidRPr="00A241F5">
        <w:rPr>
          <w:rFonts w:cs="Arial"/>
          <w:b/>
          <w:i/>
        </w:rPr>
        <w:t>Comments from Respondents on Recommendation 10(c)</w:t>
      </w:r>
    </w:p>
    <w:p w14:paraId="33680AA2" w14:textId="77777777" w:rsidR="001053EA" w:rsidRPr="00A241F5" w:rsidRDefault="001053EA" w:rsidP="001053EA">
      <w:pPr>
        <w:keepNext/>
        <w:widowControl/>
        <w:tabs>
          <w:tab w:val="clear" w:pos="1418"/>
          <w:tab w:val="left" w:pos="1440"/>
        </w:tabs>
        <w:rPr>
          <w:rFonts w:cs="Arial"/>
          <w:i/>
        </w:rPr>
      </w:pPr>
    </w:p>
    <w:p w14:paraId="396CABEA" w14:textId="4B028E01" w:rsidR="001053EA" w:rsidRPr="00A241F5" w:rsidRDefault="00264318" w:rsidP="001053EA">
      <w:pPr>
        <w:widowControl/>
        <w:tabs>
          <w:tab w:val="clear" w:pos="1418"/>
          <w:tab w:val="left" w:pos="1440"/>
        </w:tabs>
        <w:rPr>
          <w:rFonts w:cs="Arial"/>
          <w:b/>
          <w:i/>
          <w:sz w:val="28"/>
        </w:rPr>
      </w:pPr>
      <w:r w:rsidRPr="00A241F5">
        <w:rPr>
          <w:rFonts w:cs="Arial"/>
        </w:rPr>
        <w:t>11.</w:t>
      </w:r>
      <w:r w:rsidR="001053EA" w:rsidRPr="00A241F5">
        <w:rPr>
          <w:rFonts w:cs="Arial"/>
        </w:rPr>
        <w:t>31</w:t>
      </w:r>
      <w:r w:rsidR="001053EA" w:rsidRPr="00A241F5">
        <w:rPr>
          <w:rFonts w:cs="Arial"/>
        </w:rPr>
        <w:tab/>
        <w:t>As the Sub-committee noted in the Consultation Paper, the 2019 DBA Reform Project proposals in England and Wales risk creating an anomalous situation, in which a Lawyer could recover more of his fees if the client receives no financial benefit from its case, than if the client receives only a small financial benefit.</w:t>
      </w:r>
      <w:r w:rsidR="001053EA" w:rsidRPr="00A241F5">
        <w:rPr>
          <w:rStyle w:val="FootnoteReference"/>
          <w:rFonts w:cs="Arial"/>
          <w:sz w:val="24"/>
        </w:rPr>
        <w:footnoteReference w:id="58"/>
      </w:r>
      <w:r w:rsidR="001053EA" w:rsidRPr="00A241F5">
        <w:rPr>
          <w:rFonts w:cs="Arial"/>
        </w:rPr>
        <w:t xml:space="preserve">  </w:t>
      </w:r>
    </w:p>
    <w:p w14:paraId="190BF94A" w14:textId="77777777" w:rsidR="001053EA" w:rsidRPr="00A241F5" w:rsidRDefault="001053EA" w:rsidP="001053EA">
      <w:pPr>
        <w:widowControl/>
        <w:tabs>
          <w:tab w:val="left" w:pos="1695"/>
        </w:tabs>
        <w:rPr>
          <w:rFonts w:cs="Arial"/>
        </w:rPr>
      </w:pPr>
    </w:p>
    <w:p w14:paraId="7B675815" w14:textId="6A95878E" w:rsidR="001053EA" w:rsidRPr="00A241F5" w:rsidRDefault="00264318" w:rsidP="001053EA">
      <w:pPr>
        <w:widowControl/>
        <w:tabs>
          <w:tab w:val="left" w:pos="1695"/>
        </w:tabs>
        <w:rPr>
          <w:rFonts w:cs="Arial"/>
        </w:rPr>
      </w:pPr>
      <w:r w:rsidRPr="00A241F5">
        <w:rPr>
          <w:rFonts w:cs="Arial"/>
        </w:rPr>
        <w:t>11.</w:t>
      </w:r>
      <w:r w:rsidR="001053EA" w:rsidRPr="00A241F5">
        <w:rPr>
          <w:rFonts w:cs="Arial"/>
        </w:rPr>
        <w:t>32</w:t>
      </w:r>
      <w:r w:rsidR="001053EA" w:rsidRPr="00A241F5">
        <w:rPr>
          <w:rFonts w:cs="Arial"/>
        </w:rPr>
        <w:tab/>
        <w:t>The Sub-committee recommended that any Hybrid DBA regime in Hong Kong should be structured to avoid such situation, and invited submissions as to whether any relevant regulations should provide that, if the DBA Payment is less than the capped amount of irrecoverable costs, the Lawyer is entitled to retain the capped amount of irrecoverable costs instead of the DBA Payment.</w:t>
      </w:r>
    </w:p>
    <w:p w14:paraId="46AB136B" w14:textId="77777777" w:rsidR="001053EA" w:rsidRPr="00A241F5" w:rsidRDefault="001053EA" w:rsidP="001053EA">
      <w:pPr>
        <w:keepNext/>
        <w:widowControl/>
        <w:tabs>
          <w:tab w:val="clear" w:pos="1418"/>
          <w:tab w:val="left" w:pos="1440"/>
        </w:tabs>
        <w:rPr>
          <w:rFonts w:cs="Arial"/>
        </w:rPr>
      </w:pPr>
    </w:p>
    <w:p w14:paraId="2C14B807" w14:textId="2422BA26"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33</w:t>
      </w:r>
      <w:r w:rsidR="001053EA" w:rsidRPr="00A241F5">
        <w:rPr>
          <w:rFonts w:cs="Arial"/>
        </w:rPr>
        <w:tab/>
        <w:t xml:space="preserve">The majority of Respondents who commented on Recommendation 10(c) agreed that, if the DBA Payment is less than the capped amount of irrecoverable costs, the Lawyer should be entitled to retain the capped amount of irrecoverable costs instead of the DBA Payment. </w:t>
      </w:r>
    </w:p>
    <w:p w14:paraId="31E4BB50" w14:textId="77777777" w:rsidR="001053EA" w:rsidRPr="00A241F5" w:rsidRDefault="001053EA" w:rsidP="001053EA">
      <w:pPr>
        <w:widowControl/>
        <w:tabs>
          <w:tab w:val="clear" w:pos="1418"/>
          <w:tab w:val="left" w:pos="1440"/>
        </w:tabs>
        <w:rPr>
          <w:rFonts w:cs="Arial"/>
        </w:rPr>
      </w:pPr>
    </w:p>
    <w:p w14:paraId="2EF2AC94" w14:textId="7A38CF9C"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34</w:t>
      </w:r>
      <w:r w:rsidR="001053EA" w:rsidRPr="00A241F5">
        <w:rPr>
          <w:rFonts w:cs="Arial"/>
        </w:rPr>
        <w:tab/>
        <w:t>The Law Society explained:</w:t>
      </w:r>
    </w:p>
    <w:p w14:paraId="2ED36C4E" w14:textId="77777777" w:rsidR="001053EA" w:rsidRPr="00A241F5" w:rsidRDefault="001053EA" w:rsidP="001053EA">
      <w:pPr>
        <w:widowControl/>
        <w:tabs>
          <w:tab w:val="clear" w:pos="1418"/>
          <w:tab w:val="left" w:pos="1440"/>
        </w:tabs>
        <w:rPr>
          <w:rFonts w:cs="Arial"/>
        </w:rPr>
      </w:pPr>
    </w:p>
    <w:p w14:paraId="7FEEAB32" w14:textId="74CDFE1B" w:rsidR="001053EA" w:rsidRPr="00A241F5" w:rsidRDefault="00C61F4B" w:rsidP="00C22562">
      <w:pPr>
        <w:widowControl/>
        <w:tabs>
          <w:tab w:val="clear" w:pos="1418"/>
          <w:tab w:val="left" w:pos="1440"/>
        </w:tabs>
        <w:ind w:left="810" w:rightChars="271" w:right="650"/>
        <w:rPr>
          <w:rFonts w:cs="Arial"/>
        </w:rPr>
      </w:pPr>
      <w:r w:rsidRPr="00A241F5">
        <w:rPr>
          <w:rFonts w:cs="Arial"/>
          <w:i/>
        </w:rPr>
        <w:t>"</w:t>
      </w:r>
      <w:r w:rsidR="001053EA" w:rsidRPr="00A241F5">
        <w:rPr>
          <w:rFonts w:cs="Arial"/>
          <w:i/>
        </w:rPr>
        <w:t xml:space="preserve">This would help avoiding the </w:t>
      </w:r>
      <w:r w:rsidRPr="00A241F5">
        <w:rPr>
          <w:rFonts w:cs="Arial"/>
          <w:i/>
        </w:rPr>
        <w:t>'</w:t>
      </w:r>
      <w:r w:rsidR="001053EA" w:rsidRPr="00A241F5">
        <w:rPr>
          <w:rFonts w:cs="Arial"/>
          <w:i/>
        </w:rPr>
        <w:t>anomaly situation</w:t>
      </w:r>
      <w:r w:rsidRPr="00A241F5">
        <w:rPr>
          <w:rFonts w:cs="Arial"/>
          <w:i/>
        </w:rPr>
        <w:t>'</w:t>
      </w:r>
      <w:r w:rsidR="001053EA" w:rsidRPr="00A241F5">
        <w:rPr>
          <w:rFonts w:cs="Arial"/>
          <w:i/>
        </w:rPr>
        <w:t xml:space="preserve"> identified in the Consultation Paper (para 5.54), i.e. the solicitor would financially be better off if the client lost its case outright (where the 30% payment would be retained) than won a small sum (where the recovered costs, if much less than the time expended, and the DBA Payment might be lower than that)</w:t>
      </w:r>
      <w:r w:rsidR="00923002" w:rsidRPr="00A241F5">
        <w:rPr>
          <w:rFonts w:cs="Arial"/>
          <w:i/>
        </w:rPr>
        <w:t>.</w:t>
      </w:r>
      <w:r w:rsidRPr="00A241F5">
        <w:rPr>
          <w:rFonts w:cs="Arial"/>
          <w:i/>
        </w:rPr>
        <w:t>"</w:t>
      </w:r>
    </w:p>
    <w:p w14:paraId="022AAC95" w14:textId="77777777" w:rsidR="001053EA" w:rsidRPr="00A241F5" w:rsidRDefault="001053EA" w:rsidP="001053EA">
      <w:pPr>
        <w:widowControl/>
        <w:tabs>
          <w:tab w:val="left" w:pos="1580"/>
        </w:tabs>
        <w:rPr>
          <w:rFonts w:cs="Arial"/>
        </w:rPr>
      </w:pPr>
    </w:p>
    <w:p w14:paraId="3A2B76B8" w14:textId="77777777" w:rsidR="001053EA" w:rsidRPr="00A241F5" w:rsidRDefault="001053EA" w:rsidP="001053EA">
      <w:pPr>
        <w:widowControl/>
        <w:tabs>
          <w:tab w:val="left" w:pos="1580"/>
        </w:tabs>
        <w:rPr>
          <w:rFonts w:cs="Arial"/>
        </w:rPr>
      </w:pPr>
    </w:p>
    <w:p w14:paraId="3076393A" w14:textId="77777777" w:rsidR="001053EA" w:rsidRPr="00A241F5" w:rsidRDefault="001053EA" w:rsidP="001053EA">
      <w:pPr>
        <w:widowControl/>
        <w:tabs>
          <w:tab w:val="left" w:pos="1580"/>
        </w:tabs>
        <w:rPr>
          <w:rFonts w:cs="Arial"/>
          <w:b/>
        </w:rPr>
      </w:pPr>
      <w:r w:rsidRPr="00A241F5">
        <w:rPr>
          <w:rFonts w:cs="Arial"/>
          <w:b/>
          <w:i/>
        </w:rPr>
        <w:t>Our analysis and response</w:t>
      </w:r>
    </w:p>
    <w:p w14:paraId="427E4262" w14:textId="77777777" w:rsidR="001053EA" w:rsidRPr="00A241F5" w:rsidRDefault="001053EA" w:rsidP="001053EA">
      <w:pPr>
        <w:widowControl/>
        <w:tabs>
          <w:tab w:val="clear" w:pos="1418"/>
          <w:tab w:val="left" w:pos="1440"/>
        </w:tabs>
        <w:rPr>
          <w:rFonts w:cs="Arial"/>
          <w:sz w:val="28"/>
        </w:rPr>
      </w:pPr>
    </w:p>
    <w:p w14:paraId="00C57B0E" w14:textId="3AEC8737" w:rsidR="001053EA" w:rsidRPr="00A241F5" w:rsidRDefault="00264318" w:rsidP="001053EA">
      <w:pPr>
        <w:widowControl/>
        <w:tabs>
          <w:tab w:val="clear" w:pos="1418"/>
          <w:tab w:val="left" w:pos="1440"/>
        </w:tabs>
        <w:rPr>
          <w:rFonts w:cs="Arial"/>
        </w:rPr>
      </w:pPr>
      <w:r w:rsidRPr="00A241F5">
        <w:rPr>
          <w:rFonts w:cs="Arial"/>
        </w:rPr>
        <w:t>11</w:t>
      </w:r>
      <w:r w:rsidR="001053EA" w:rsidRPr="00A241F5">
        <w:rPr>
          <w:rFonts w:cs="Arial"/>
        </w:rPr>
        <w:t>.35</w:t>
      </w:r>
      <w:r w:rsidR="001053EA" w:rsidRPr="00A241F5">
        <w:rPr>
          <w:rFonts w:cs="Arial"/>
        </w:rPr>
        <w:tab/>
        <w:t>In order to avoid the anomalous situation set out above, we recommend introducing a regulation to provide that, if a DBA Payment</w:t>
      </w:r>
      <w:r w:rsidR="003634A7" w:rsidRPr="00A241F5">
        <w:rPr>
          <w:rFonts w:cs="Arial"/>
        </w:rPr>
        <w:t xml:space="preserve"> plus the recoverable costs</w:t>
      </w:r>
      <w:r w:rsidR="001053EA" w:rsidRPr="00A241F5">
        <w:rPr>
          <w:rFonts w:cs="Arial"/>
        </w:rPr>
        <w:t xml:space="preserve"> is less than the capped amount of irrecoverable costs</w:t>
      </w:r>
      <w:r w:rsidR="003634A7" w:rsidRPr="00A241F5">
        <w:rPr>
          <w:rFonts w:cs="Arial"/>
        </w:rPr>
        <w:t xml:space="preserve"> (which is 50% of the irrecoverable costs incurred in pursuing the unsuccessful claim as discussed in paragraph 11.29 above)</w:t>
      </w:r>
      <w:r w:rsidR="001053EA" w:rsidRPr="00A241F5">
        <w:rPr>
          <w:rFonts w:cs="Arial"/>
        </w:rPr>
        <w:t>,</w:t>
      </w:r>
      <w:r w:rsidR="003634A7" w:rsidRPr="00A241F5">
        <w:rPr>
          <w:rFonts w:cs="Arial"/>
        </w:rPr>
        <w:t xml:space="preserve"> </w:t>
      </w:r>
      <w:r w:rsidR="001053EA" w:rsidRPr="00A241F5">
        <w:rPr>
          <w:rFonts w:cs="Arial"/>
        </w:rPr>
        <w:t>the Lawyer shall be entitled to retain the capped amount of irrecoverable costs instead of the DBA Payment</w:t>
      </w:r>
      <w:r w:rsidR="00B601FA" w:rsidRPr="00A241F5">
        <w:rPr>
          <w:rFonts w:cs="Arial"/>
        </w:rPr>
        <w:t xml:space="preserve"> </w:t>
      </w:r>
      <w:r w:rsidR="0020774A" w:rsidRPr="00A241F5">
        <w:rPr>
          <w:rFonts w:cs="Arial"/>
        </w:rPr>
        <w:t>plus</w:t>
      </w:r>
      <w:r w:rsidR="00B601FA" w:rsidRPr="00A241F5">
        <w:rPr>
          <w:rFonts w:cs="Arial"/>
        </w:rPr>
        <w:t xml:space="preserve"> the recoverable costs</w:t>
      </w:r>
      <w:r w:rsidR="001053EA" w:rsidRPr="00A241F5">
        <w:rPr>
          <w:rFonts w:cs="Arial"/>
        </w:rPr>
        <w:t>.</w:t>
      </w:r>
    </w:p>
    <w:p w14:paraId="62833F1F" w14:textId="11FC2A45" w:rsidR="00DE7E6F" w:rsidRPr="00A241F5" w:rsidRDefault="00DE7E6F" w:rsidP="001053EA">
      <w:pPr>
        <w:widowControl/>
        <w:tabs>
          <w:tab w:val="clear" w:pos="1418"/>
          <w:tab w:val="left" w:pos="1440"/>
        </w:tabs>
        <w:rPr>
          <w:rFonts w:cs="Arial"/>
        </w:rPr>
      </w:pPr>
    </w:p>
    <w:p w14:paraId="11EE5DB4" w14:textId="77777777" w:rsidR="00DE7E6F" w:rsidRPr="00A241F5" w:rsidRDefault="00DE7E6F" w:rsidP="001053EA">
      <w:pPr>
        <w:widowControl/>
        <w:tabs>
          <w:tab w:val="clear" w:pos="1418"/>
          <w:tab w:val="left" w:pos="1440"/>
        </w:tabs>
        <w:rPr>
          <w:rFonts w:cs="Arial"/>
        </w:rPr>
      </w:pPr>
    </w:p>
    <w:p w14:paraId="59790999" w14:textId="77777777" w:rsidR="001053EA" w:rsidRPr="00A241F5" w:rsidRDefault="001053EA" w:rsidP="001053EA">
      <w:pPr>
        <w:pStyle w:val="Recommendationindent1"/>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t>Final Recommendation 10</w:t>
      </w:r>
    </w:p>
    <w:p w14:paraId="137217BD" w14:textId="77777777" w:rsidR="001053EA" w:rsidRPr="00A241F5" w:rsidRDefault="001053EA" w:rsidP="001053EA">
      <w:pPr>
        <w:pStyle w:val="Recommendationindent1"/>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pPr>
    </w:p>
    <w:p w14:paraId="1B056961" w14:textId="77777777" w:rsidR="001053EA" w:rsidRPr="00A241F5" w:rsidRDefault="001053EA" w:rsidP="001053EA">
      <w:pPr>
        <w:pStyle w:val="Recommendationindent1"/>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pPr>
      <w:r w:rsidRPr="00A241F5">
        <w:t>We recommend that:</w:t>
      </w:r>
      <w:r w:rsidRPr="00A241F5">
        <w:tab/>
      </w:r>
    </w:p>
    <w:p w14:paraId="39A87F29" w14:textId="77777777" w:rsidR="001053EA" w:rsidRPr="00A241F5" w:rsidRDefault="001053EA" w:rsidP="001053EA">
      <w:pPr>
        <w:pStyle w:val="Recommendationindent1"/>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pPr>
    </w:p>
    <w:p w14:paraId="10232855" w14:textId="77777777" w:rsidR="001053EA" w:rsidRPr="00A241F5" w:rsidRDefault="001053EA" w:rsidP="001053EA">
      <w:pPr>
        <w:pStyle w:val="Recommendationindent1"/>
        <w:pBdr>
          <w:top w:val="single" w:sz="4" w:space="8" w:color="auto"/>
          <w:left w:val="single" w:sz="4" w:space="8" w:color="auto"/>
          <w:bottom w:val="single" w:sz="4" w:space="8" w:color="auto"/>
          <w:right w:val="single" w:sz="4" w:space="8" w:color="auto"/>
        </w:pBdr>
        <w:tabs>
          <w:tab w:val="clear" w:pos="1418"/>
        </w:tabs>
        <w:autoSpaceDE w:val="0"/>
        <w:autoSpaceDN w:val="0"/>
        <w:ind w:left="1440" w:right="720"/>
        <w:textAlignment w:val="baseline"/>
      </w:pPr>
      <w:r w:rsidRPr="00A241F5">
        <w:t>(a)</w:t>
      </w:r>
      <w:r w:rsidRPr="00A241F5">
        <w:tab/>
        <w:t>Prohibitions on the use of Hybrid DBAs in Arbitration by Lawyers should be lifted, so that Lawyers may choose to enter into Hybrid DBAs for Arbitration.</w:t>
      </w:r>
    </w:p>
    <w:p w14:paraId="2FCEEF97" w14:textId="77777777" w:rsidR="001053EA" w:rsidRPr="00A241F5" w:rsidRDefault="001053EA" w:rsidP="001053EA">
      <w:pPr>
        <w:pStyle w:val="Recommendationindent1"/>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pPr>
    </w:p>
    <w:p w14:paraId="30CA3BDD" w14:textId="77777777" w:rsidR="001053EA" w:rsidRPr="00A241F5" w:rsidRDefault="001053EA" w:rsidP="001053EA">
      <w:pPr>
        <w:pStyle w:val="Recommendationindent1"/>
        <w:pBdr>
          <w:top w:val="single" w:sz="4" w:space="8" w:color="auto"/>
          <w:left w:val="single" w:sz="4" w:space="8" w:color="auto"/>
          <w:bottom w:val="single" w:sz="4" w:space="8" w:color="auto"/>
          <w:right w:val="single" w:sz="4" w:space="8" w:color="auto"/>
        </w:pBdr>
        <w:autoSpaceDE w:val="0"/>
        <w:autoSpaceDN w:val="0"/>
        <w:ind w:left="1440" w:right="720"/>
        <w:textAlignment w:val="baseline"/>
      </w:pPr>
      <w:r w:rsidRPr="00A241F5">
        <w:t>(b)</w:t>
      </w:r>
      <w:r w:rsidRPr="00A241F5">
        <w:tab/>
        <w:t>In the event that a case under a Hybrid DBA is unsuccessful (such that no Financial Benefit is obtained),</w:t>
      </w:r>
    </w:p>
    <w:p w14:paraId="5967561D" w14:textId="77777777" w:rsidR="001053EA" w:rsidRPr="00A241F5" w:rsidRDefault="001053EA" w:rsidP="001053EA">
      <w:pPr>
        <w:pStyle w:val="Recommendationindent1"/>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pPr>
    </w:p>
    <w:p w14:paraId="6C5F85A7" w14:textId="2D142152" w:rsidR="001053EA" w:rsidRPr="00A241F5" w:rsidRDefault="001053EA" w:rsidP="001053EA">
      <w:pPr>
        <w:pStyle w:val="Recommendationindent1"/>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pPr>
      <w:r w:rsidRPr="00A241F5">
        <w:tab/>
        <w:t>(i)</w:t>
      </w:r>
      <w:r w:rsidRPr="00A241F5">
        <w:tab/>
        <w:t xml:space="preserve">the Lawyer should be permitted to retain only a proportion of the </w:t>
      </w:r>
      <w:r w:rsidR="0073058E" w:rsidRPr="00A241F5">
        <w:t>"benchmark"</w:t>
      </w:r>
      <w:r w:rsidR="00E624E9" w:rsidRPr="00A241F5">
        <w:t xml:space="preserve"> </w:t>
      </w:r>
      <w:r w:rsidRPr="00A241F5">
        <w:t>costs he or she has incurred in pursuing the unsuccessful claim;</w:t>
      </w:r>
      <w:r w:rsidR="008C2E15" w:rsidRPr="00A241F5">
        <w:t xml:space="preserve"> and</w:t>
      </w:r>
    </w:p>
    <w:p w14:paraId="27973FD2" w14:textId="77777777" w:rsidR="001053EA" w:rsidRPr="00A241F5" w:rsidRDefault="001053EA" w:rsidP="001053EA">
      <w:pPr>
        <w:pStyle w:val="Recommendationindent1"/>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pPr>
    </w:p>
    <w:p w14:paraId="70782158" w14:textId="63085F7A" w:rsidR="001053EA" w:rsidRPr="00A241F5" w:rsidRDefault="001053EA" w:rsidP="001053EA">
      <w:pPr>
        <w:pStyle w:val="Recommendationindent1"/>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pPr>
      <w:r w:rsidRPr="00A241F5">
        <w:tab/>
        <w:t xml:space="preserve">(ii) </w:t>
      </w:r>
      <w:r w:rsidRPr="00A241F5">
        <w:tab/>
        <w:t>that proportion should be capped at 50% of the irrecoverable costs incurred in pursuing the unsuccessful claim</w:t>
      </w:r>
      <w:r w:rsidR="008C2E15" w:rsidRPr="00A241F5">
        <w:t>.</w:t>
      </w:r>
    </w:p>
    <w:p w14:paraId="4BA426CD" w14:textId="13A0E738" w:rsidR="001053EA" w:rsidRPr="00A241F5" w:rsidRDefault="001053EA" w:rsidP="00567192">
      <w:pPr>
        <w:pStyle w:val="Recommendationindent1"/>
        <w:pBdr>
          <w:top w:val="single" w:sz="4" w:space="8" w:color="auto"/>
          <w:left w:val="single" w:sz="4" w:space="8" w:color="auto"/>
          <w:bottom w:val="single" w:sz="4" w:space="8" w:color="auto"/>
          <w:right w:val="single" w:sz="4" w:space="8" w:color="auto"/>
        </w:pBdr>
        <w:tabs>
          <w:tab w:val="clear" w:pos="1418"/>
        </w:tabs>
        <w:autoSpaceDE w:val="0"/>
        <w:autoSpaceDN w:val="0"/>
        <w:ind w:left="2160" w:right="720" w:hanging="1440"/>
        <w:textAlignment w:val="baseline"/>
      </w:pPr>
    </w:p>
    <w:p w14:paraId="73716DCC" w14:textId="2838A737" w:rsidR="001053EA" w:rsidRPr="00A241F5" w:rsidRDefault="00567192" w:rsidP="00602083">
      <w:pPr>
        <w:pStyle w:val="Recommendationindent1"/>
        <w:pBdr>
          <w:top w:val="single" w:sz="4" w:space="8" w:color="auto"/>
          <w:left w:val="single" w:sz="4" w:space="8" w:color="auto"/>
          <w:bottom w:val="single" w:sz="4" w:space="8" w:color="auto"/>
          <w:right w:val="single" w:sz="4" w:space="8" w:color="auto"/>
        </w:pBdr>
        <w:tabs>
          <w:tab w:val="clear" w:pos="1418"/>
        </w:tabs>
        <w:autoSpaceDE w:val="0"/>
        <w:autoSpaceDN w:val="0"/>
        <w:ind w:left="1440" w:right="720"/>
        <w:textAlignment w:val="baseline"/>
      </w:pPr>
      <w:r w:rsidRPr="00A241F5">
        <w:t>(c)</w:t>
      </w:r>
      <w:r w:rsidRPr="00A241F5">
        <w:tab/>
        <w:t xml:space="preserve">The relevant regulations should provide that, if the DBA Payment </w:t>
      </w:r>
      <w:r w:rsidR="003634A7" w:rsidRPr="00A241F5">
        <w:t>plus</w:t>
      </w:r>
      <w:r w:rsidR="0073058E" w:rsidRPr="00A241F5">
        <w:t xml:space="preserve"> the recoverable costs </w:t>
      </w:r>
      <w:r w:rsidRPr="00A241F5">
        <w:t>for a Hybrid DBA (in a successful scenario) is less than the capped amount of irrecoverable costs</w:t>
      </w:r>
      <w:r w:rsidR="003634A7" w:rsidRPr="00A241F5">
        <w:t xml:space="preserve"> (which is 50% of the irrecoverable costs incurred in pursuing the unsuccessful claim)</w:t>
      </w:r>
      <w:r w:rsidRPr="00A241F5">
        <w:t>, the Lawyer is entitled to retain the capped amount of irrecoverable costs instead of the DBA Payment</w:t>
      </w:r>
      <w:r w:rsidR="00B601FA" w:rsidRPr="00A241F5">
        <w:t xml:space="preserve"> </w:t>
      </w:r>
      <w:r w:rsidR="0020774A" w:rsidRPr="00A241F5">
        <w:t>plus</w:t>
      </w:r>
      <w:r w:rsidR="00B601FA" w:rsidRPr="00A241F5">
        <w:t xml:space="preserve"> the recoverable costs</w:t>
      </w:r>
      <w:r w:rsidRPr="00A241F5">
        <w:t>.</w:t>
      </w:r>
    </w:p>
    <w:p w14:paraId="618E1774" w14:textId="77777777" w:rsidR="001053EA" w:rsidRPr="00A241F5" w:rsidRDefault="001053EA" w:rsidP="001053EA"/>
    <w:p w14:paraId="2326B028" w14:textId="77777777" w:rsidR="001053EA" w:rsidRPr="00A241F5" w:rsidRDefault="001053EA" w:rsidP="001053EA">
      <w:pPr>
        <w:sectPr w:rsidR="001053EA" w:rsidRPr="00A241F5" w:rsidSect="00303CFD">
          <w:footnotePr>
            <w:numRestart w:val="eachSect"/>
          </w:footnotePr>
          <w:pgSz w:w="11906" w:h="16838" w:code="9"/>
          <w:pgMar w:top="1440" w:right="1800" w:bottom="1440" w:left="1800" w:header="720" w:footer="720" w:gutter="0"/>
          <w:cols w:space="425"/>
          <w:docGrid w:linePitch="360"/>
        </w:sectPr>
      </w:pPr>
    </w:p>
    <w:p w14:paraId="1E40C168" w14:textId="19657C77" w:rsidR="001053EA" w:rsidRPr="00A241F5" w:rsidRDefault="001053EA" w:rsidP="003A4CBD">
      <w:pPr>
        <w:pStyle w:val="Heading1"/>
      </w:pPr>
      <w:r w:rsidRPr="00A241F5">
        <w:lastRenderedPageBreak/>
        <w:t>Chapter 1</w:t>
      </w:r>
      <w:bookmarkStart w:id="24" w:name="Chapter12"/>
      <w:bookmarkEnd w:id="24"/>
      <w:r w:rsidR="00070C53" w:rsidRPr="00A241F5">
        <w:t>2</w:t>
      </w:r>
    </w:p>
    <w:p w14:paraId="35486236" w14:textId="77777777" w:rsidR="001053EA" w:rsidRPr="00A241F5" w:rsidRDefault="001053EA" w:rsidP="003A4CBD"/>
    <w:p w14:paraId="718F3A98" w14:textId="77777777" w:rsidR="001053EA" w:rsidRPr="00A241F5" w:rsidRDefault="001053EA" w:rsidP="003A4CBD">
      <w:pPr>
        <w:pStyle w:val="Heading1"/>
      </w:pPr>
      <w:r w:rsidRPr="00A241F5">
        <w:t>Clear and simple legislation and regulation</w:t>
      </w:r>
    </w:p>
    <w:p w14:paraId="1EC7DFF1" w14:textId="5DEC7048" w:rsidR="001053EA" w:rsidRPr="00A241F5" w:rsidRDefault="001053EA" w:rsidP="001053EA">
      <w:pPr>
        <w:rPr>
          <w:rFonts w:cs="Arial"/>
        </w:rPr>
      </w:pPr>
      <w:r w:rsidRPr="00A241F5">
        <w:rPr>
          <w:rFonts w:cs="Arial"/>
        </w:rPr>
        <w:t>_________________________________________________</w:t>
      </w:r>
      <w:r w:rsidR="00B25145" w:rsidRPr="00A241F5">
        <w:rPr>
          <w:rFonts w:cs="Arial"/>
        </w:rPr>
        <w:t>______</w:t>
      </w:r>
    </w:p>
    <w:p w14:paraId="74E6EACD" w14:textId="77777777" w:rsidR="001053EA" w:rsidRPr="00A241F5" w:rsidRDefault="001053EA" w:rsidP="001053EA">
      <w:pPr>
        <w:rPr>
          <w:rFonts w:cs="Arial"/>
        </w:rPr>
      </w:pPr>
    </w:p>
    <w:p w14:paraId="59CABAE6" w14:textId="77777777" w:rsidR="001053EA" w:rsidRPr="00A241F5" w:rsidRDefault="001053EA" w:rsidP="001053EA">
      <w:pPr>
        <w:rPr>
          <w:rFonts w:cs="Arial"/>
          <w:b/>
        </w:rPr>
      </w:pPr>
    </w:p>
    <w:p w14:paraId="5170F048" w14:textId="77777777" w:rsidR="001053EA" w:rsidRPr="00A241F5" w:rsidRDefault="001053EA" w:rsidP="001053EA">
      <w:pPr>
        <w:rPr>
          <w:rFonts w:cs="Arial"/>
          <w:b/>
        </w:rPr>
      </w:pPr>
    </w:p>
    <w:p w14:paraId="74BED51E" w14:textId="39984DB1" w:rsidR="001053EA" w:rsidRPr="00A241F5" w:rsidRDefault="001053EA" w:rsidP="001053EA">
      <w:pPr>
        <w:jc w:val="left"/>
        <w:rPr>
          <w:rFonts w:cs="Arial"/>
          <w:b/>
          <w:sz w:val="28"/>
        </w:rPr>
      </w:pPr>
      <w:r w:rsidRPr="00A241F5">
        <w:rPr>
          <w:rFonts w:cs="Arial"/>
          <w:b/>
          <w:sz w:val="28"/>
        </w:rPr>
        <w:t>Responses to the Sub-committee</w:t>
      </w:r>
      <w:r w:rsidR="00C61F4B" w:rsidRPr="00A241F5">
        <w:rPr>
          <w:rFonts w:cs="Arial"/>
          <w:b/>
          <w:sz w:val="28"/>
        </w:rPr>
        <w:t>'</w:t>
      </w:r>
      <w:r w:rsidRPr="00A241F5">
        <w:rPr>
          <w:rFonts w:cs="Arial"/>
          <w:b/>
          <w:sz w:val="28"/>
        </w:rPr>
        <w:t>s Recommendation 11</w:t>
      </w:r>
    </w:p>
    <w:p w14:paraId="5802CD5E" w14:textId="77777777" w:rsidR="001053EA" w:rsidRPr="00A241F5" w:rsidRDefault="001053EA" w:rsidP="001053EA">
      <w:pPr>
        <w:rPr>
          <w:rFonts w:cs="Arial"/>
          <w:b/>
        </w:rPr>
      </w:pPr>
    </w:p>
    <w:p w14:paraId="7E8D7785" w14:textId="3E516C2F" w:rsidR="001053EA" w:rsidRPr="00A241F5" w:rsidRDefault="003A4CBD" w:rsidP="001053EA">
      <w:pPr>
        <w:widowControl/>
        <w:tabs>
          <w:tab w:val="clear" w:pos="1418"/>
          <w:tab w:val="left" w:pos="1440"/>
        </w:tabs>
        <w:rPr>
          <w:rFonts w:cs="Arial"/>
        </w:rPr>
      </w:pPr>
      <w:r w:rsidRPr="00A241F5">
        <w:rPr>
          <w:rFonts w:cs="Arial"/>
        </w:rPr>
        <w:t>12.</w:t>
      </w:r>
      <w:r w:rsidR="001053EA" w:rsidRPr="00A241F5">
        <w:rPr>
          <w:rFonts w:cs="Arial"/>
        </w:rPr>
        <w:t>1</w:t>
      </w:r>
      <w:r w:rsidR="001053EA" w:rsidRPr="00A241F5">
        <w:rPr>
          <w:rFonts w:cs="Arial"/>
        </w:rPr>
        <w:tab/>
        <w:t>This Chapter discusses the responses regarding Recommendation 11 in the Consultation Paper:</w:t>
      </w:r>
    </w:p>
    <w:p w14:paraId="142F2A7F" w14:textId="77777777" w:rsidR="001053EA" w:rsidRPr="00A241F5" w:rsidRDefault="001053EA" w:rsidP="00C22562">
      <w:pPr>
        <w:widowControl/>
        <w:tabs>
          <w:tab w:val="clear" w:pos="1418"/>
          <w:tab w:val="left" w:pos="1440"/>
        </w:tabs>
        <w:ind w:left="720"/>
        <w:rPr>
          <w:rFonts w:cs="Arial"/>
          <w:i/>
        </w:rPr>
      </w:pPr>
    </w:p>
    <w:p w14:paraId="707E034E" w14:textId="07CA6D78" w:rsidR="001053EA" w:rsidRPr="00A241F5" w:rsidRDefault="00C61F4B" w:rsidP="00C126CF">
      <w:pPr>
        <w:widowControl/>
        <w:tabs>
          <w:tab w:val="clear" w:pos="1418"/>
          <w:tab w:val="left" w:pos="1440"/>
        </w:tabs>
        <w:ind w:left="720" w:right="720"/>
        <w:rPr>
          <w:rFonts w:eastAsia="DengXian" w:cs="Arial"/>
          <w:lang w:eastAsia="zh-CN"/>
        </w:rPr>
      </w:pPr>
      <w:r w:rsidRPr="00A241F5">
        <w:rPr>
          <w:rFonts w:cs="Arial"/>
          <w:i/>
        </w:rPr>
        <w:t>"</w:t>
      </w:r>
      <w:r w:rsidR="001053EA" w:rsidRPr="00A241F5">
        <w:rPr>
          <w:rFonts w:cs="Arial"/>
          <w:i/>
        </w:rPr>
        <w:t>The Sub-committee recommends that appropriate amendments in clear and simple terms be made to</w:t>
      </w:r>
      <w:r w:rsidR="001053EA" w:rsidRPr="00A241F5">
        <w:rPr>
          <w:rFonts w:cs="Arial"/>
        </w:rPr>
        <w:t>:</w:t>
      </w:r>
      <w:r w:rsidR="001053EA" w:rsidRPr="00A241F5">
        <w:rPr>
          <w:rFonts w:eastAsia="DengXian" w:cs="Arial"/>
          <w:lang w:eastAsia="zh-CN"/>
        </w:rPr>
        <w:t xml:space="preserve"> </w:t>
      </w:r>
    </w:p>
    <w:p w14:paraId="2D51B7E1" w14:textId="77777777" w:rsidR="001053EA" w:rsidRPr="00A241F5" w:rsidRDefault="001053EA" w:rsidP="00C126CF">
      <w:pPr>
        <w:widowControl/>
        <w:tabs>
          <w:tab w:val="clear" w:pos="1418"/>
          <w:tab w:val="left" w:pos="1440"/>
        </w:tabs>
        <w:ind w:left="720" w:right="720"/>
        <w:rPr>
          <w:rFonts w:eastAsia="DengXian" w:cs="Arial"/>
          <w:lang w:eastAsia="zh-CN"/>
        </w:rPr>
      </w:pPr>
    </w:p>
    <w:p w14:paraId="330805FC" w14:textId="7EE16E87" w:rsidR="001053EA" w:rsidRPr="00A241F5" w:rsidRDefault="001053EA" w:rsidP="00C126CF">
      <w:pPr>
        <w:pStyle w:val="ListParagraph"/>
        <w:widowControl/>
        <w:numPr>
          <w:ilvl w:val="0"/>
          <w:numId w:val="23"/>
        </w:numPr>
        <w:tabs>
          <w:tab w:val="clear" w:pos="1418"/>
          <w:tab w:val="left" w:pos="1440"/>
        </w:tabs>
        <w:ind w:leftChars="0" w:left="1429" w:right="720" w:hanging="709"/>
        <w:rPr>
          <w:rFonts w:cs="Arial"/>
          <w:i/>
        </w:rPr>
      </w:pPr>
      <w:r w:rsidRPr="00A241F5">
        <w:rPr>
          <w:rFonts w:cs="Arial"/>
          <w:i/>
        </w:rPr>
        <w:t>the Arbitration Ordinance;</w:t>
      </w:r>
    </w:p>
    <w:p w14:paraId="55DA66D1" w14:textId="77777777" w:rsidR="001053EA" w:rsidRPr="00A241F5" w:rsidRDefault="001053EA" w:rsidP="00C126CF">
      <w:pPr>
        <w:widowControl/>
        <w:tabs>
          <w:tab w:val="clear" w:pos="1418"/>
          <w:tab w:val="left" w:pos="1440"/>
        </w:tabs>
        <w:ind w:left="1429" w:right="720" w:hanging="709"/>
        <w:rPr>
          <w:rFonts w:eastAsia="DengXian" w:cs="Arial"/>
          <w:i/>
          <w:lang w:eastAsia="zh-CN"/>
        </w:rPr>
      </w:pPr>
      <w:r w:rsidRPr="00A241F5">
        <w:rPr>
          <w:rFonts w:eastAsia="DengXian" w:cs="Arial"/>
          <w:i/>
          <w:lang w:eastAsia="zh-CN"/>
        </w:rPr>
        <w:t xml:space="preserve"> </w:t>
      </w:r>
    </w:p>
    <w:p w14:paraId="36A74AB3" w14:textId="295A2D80" w:rsidR="001053EA" w:rsidRPr="00A241F5" w:rsidRDefault="001053EA" w:rsidP="00C126CF">
      <w:pPr>
        <w:pStyle w:val="ListParagraph"/>
        <w:widowControl/>
        <w:numPr>
          <w:ilvl w:val="0"/>
          <w:numId w:val="23"/>
        </w:numPr>
        <w:tabs>
          <w:tab w:val="clear" w:pos="1418"/>
          <w:tab w:val="left" w:pos="1440"/>
        </w:tabs>
        <w:ind w:leftChars="0" w:left="1429" w:right="720" w:hanging="709"/>
        <w:rPr>
          <w:rFonts w:eastAsia="DengXian" w:cs="Arial"/>
          <w:i/>
          <w:lang w:eastAsia="zh-CN"/>
        </w:rPr>
      </w:pPr>
      <w:r w:rsidRPr="00A241F5">
        <w:rPr>
          <w:rFonts w:cs="Arial"/>
          <w:i/>
        </w:rPr>
        <w:t>the Legal Practitioners Ordinance;</w:t>
      </w:r>
      <w:r w:rsidRPr="00A241F5">
        <w:rPr>
          <w:rFonts w:eastAsia="DengXian" w:cs="Arial"/>
          <w:i/>
          <w:lang w:eastAsia="zh-CN"/>
        </w:rPr>
        <w:t xml:space="preserve"> </w:t>
      </w:r>
    </w:p>
    <w:p w14:paraId="4AE988A6" w14:textId="77777777" w:rsidR="001053EA" w:rsidRPr="00A241F5" w:rsidRDefault="001053EA" w:rsidP="00C126CF">
      <w:pPr>
        <w:widowControl/>
        <w:tabs>
          <w:tab w:val="clear" w:pos="1418"/>
          <w:tab w:val="left" w:pos="1440"/>
        </w:tabs>
        <w:ind w:left="1429" w:right="720" w:hanging="709"/>
        <w:rPr>
          <w:rFonts w:eastAsia="DengXian" w:cs="Arial"/>
          <w:i/>
          <w:lang w:eastAsia="zh-CN"/>
        </w:rPr>
      </w:pPr>
    </w:p>
    <w:p w14:paraId="7C2C170D" w14:textId="6BB77B23" w:rsidR="001053EA" w:rsidRPr="00A241F5" w:rsidRDefault="001053EA" w:rsidP="00C126CF">
      <w:pPr>
        <w:pStyle w:val="ListParagraph"/>
        <w:widowControl/>
        <w:numPr>
          <w:ilvl w:val="0"/>
          <w:numId w:val="23"/>
        </w:numPr>
        <w:tabs>
          <w:tab w:val="clear" w:pos="1418"/>
          <w:tab w:val="left" w:pos="1440"/>
        </w:tabs>
        <w:ind w:leftChars="0" w:left="1429" w:right="720" w:hanging="709"/>
        <w:rPr>
          <w:rFonts w:cs="Arial"/>
          <w:i/>
        </w:rPr>
      </w:pPr>
      <w:r w:rsidRPr="00A241F5">
        <w:rPr>
          <w:rFonts w:cs="Arial"/>
          <w:i/>
        </w:rPr>
        <w:t>The Hong Kong Solicitors</w:t>
      </w:r>
      <w:r w:rsidR="00C61F4B" w:rsidRPr="00A241F5">
        <w:rPr>
          <w:rFonts w:cs="Arial"/>
          <w:i/>
        </w:rPr>
        <w:t>'</w:t>
      </w:r>
      <w:r w:rsidRPr="00A241F5">
        <w:rPr>
          <w:rFonts w:cs="Arial"/>
          <w:i/>
        </w:rPr>
        <w:t xml:space="preserve"> Guide to Professional Conduct;</w:t>
      </w:r>
    </w:p>
    <w:p w14:paraId="427D4A41" w14:textId="77777777" w:rsidR="001053EA" w:rsidRPr="00A241F5" w:rsidRDefault="001053EA" w:rsidP="00C126CF">
      <w:pPr>
        <w:widowControl/>
        <w:tabs>
          <w:tab w:val="clear" w:pos="1418"/>
          <w:tab w:val="left" w:pos="1440"/>
        </w:tabs>
        <w:ind w:left="1429" w:right="720" w:hanging="709"/>
        <w:rPr>
          <w:rFonts w:eastAsia="DengXian" w:cs="Arial"/>
          <w:i/>
          <w:lang w:eastAsia="zh-CN"/>
        </w:rPr>
      </w:pPr>
      <w:r w:rsidRPr="00A241F5">
        <w:rPr>
          <w:rFonts w:eastAsia="DengXian" w:cs="Arial"/>
          <w:i/>
          <w:lang w:eastAsia="zh-CN"/>
        </w:rPr>
        <w:t xml:space="preserve"> </w:t>
      </w:r>
    </w:p>
    <w:p w14:paraId="5B967541" w14:textId="5343EBAD" w:rsidR="001053EA" w:rsidRPr="00A241F5" w:rsidRDefault="001053EA" w:rsidP="00C126CF">
      <w:pPr>
        <w:pStyle w:val="ListParagraph"/>
        <w:widowControl/>
        <w:numPr>
          <w:ilvl w:val="0"/>
          <w:numId w:val="23"/>
        </w:numPr>
        <w:tabs>
          <w:tab w:val="clear" w:pos="1418"/>
          <w:tab w:val="left" w:pos="1440"/>
        </w:tabs>
        <w:ind w:leftChars="0" w:left="1429" w:right="720" w:hanging="709"/>
        <w:rPr>
          <w:rFonts w:cs="Arial"/>
          <w:i/>
        </w:rPr>
      </w:pPr>
      <w:r w:rsidRPr="00A241F5">
        <w:rPr>
          <w:rFonts w:cs="Arial"/>
          <w:i/>
        </w:rPr>
        <w:t>the HKBA Code of Conduct; and</w:t>
      </w:r>
    </w:p>
    <w:p w14:paraId="361D300E" w14:textId="77777777" w:rsidR="001053EA" w:rsidRPr="00A241F5" w:rsidRDefault="001053EA" w:rsidP="00C126CF">
      <w:pPr>
        <w:widowControl/>
        <w:tabs>
          <w:tab w:val="clear" w:pos="1418"/>
          <w:tab w:val="left" w:pos="1440"/>
        </w:tabs>
        <w:ind w:left="1429" w:right="720" w:hanging="709"/>
        <w:rPr>
          <w:rFonts w:eastAsia="DengXian" w:cs="Arial"/>
          <w:i/>
          <w:lang w:eastAsia="zh-CN"/>
        </w:rPr>
      </w:pPr>
      <w:r w:rsidRPr="00A241F5">
        <w:rPr>
          <w:rFonts w:eastAsia="DengXian" w:cs="Arial"/>
          <w:i/>
          <w:lang w:eastAsia="zh-CN"/>
        </w:rPr>
        <w:t xml:space="preserve"> </w:t>
      </w:r>
    </w:p>
    <w:p w14:paraId="18C96314" w14:textId="14091BE3" w:rsidR="001053EA" w:rsidRPr="00A241F5" w:rsidRDefault="001053EA" w:rsidP="00C126CF">
      <w:pPr>
        <w:pStyle w:val="ListParagraph"/>
        <w:widowControl/>
        <w:numPr>
          <w:ilvl w:val="0"/>
          <w:numId w:val="23"/>
        </w:numPr>
        <w:tabs>
          <w:tab w:val="clear" w:pos="1418"/>
          <w:tab w:val="left" w:pos="1440"/>
        </w:tabs>
        <w:ind w:leftChars="0" w:left="1429" w:right="720" w:hanging="709"/>
        <w:rPr>
          <w:rFonts w:cs="Arial"/>
          <w:i/>
        </w:rPr>
      </w:pPr>
      <w:r w:rsidRPr="00A241F5">
        <w:rPr>
          <w:rFonts w:cs="Arial"/>
          <w:i/>
        </w:rPr>
        <w:t xml:space="preserve">any other applicable legislation or regulation </w:t>
      </w:r>
    </w:p>
    <w:p w14:paraId="00EAAF84" w14:textId="77777777" w:rsidR="001053EA" w:rsidRPr="00A241F5" w:rsidRDefault="001053EA" w:rsidP="00C126CF">
      <w:pPr>
        <w:pStyle w:val="ListParagraph"/>
        <w:ind w:right="720"/>
        <w:rPr>
          <w:rFonts w:cs="Arial"/>
          <w:i/>
        </w:rPr>
      </w:pPr>
    </w:p>
    <w:p w14:paraId="465C05BD" w14:textId="7DB0556F" w:rsidR="001053EA" w:rsidRPr="00A241F5" w:rsidRDefault="001053EA" w:rsidP="00C126CF">
      <w:pPr>
        <w:widowControl/>
        <w:tabs>
          <w:tab w:val="clear" w:pos="1418"/>
          <w:tab w:val="left" w:pos="1440"/>
        </w:tabs>
        <w:ind w:left="720" w:right="720"/>
        <w:rPr>
          <w:rFonts w:cs="Arial"/>
        </w:rPr>
      </w:pPr>
      <w:r w:rsidRPr="00A241F5">
        <w:rPr>
          <w:rFonts w:cs="Arial"/>
          <w:i/>
        </w:rPr>
        <w:t>to provide (as applicable) that CFAs and/or DBAs and/or Hybrid DBAs are permitted under Hong Kong law for Arbitration</w:t>
      </w:r>
      <w:r w:rsidRPr="00A241F5">
        <w:rPr>
          <w:rFonts w:cs="Arial"/>
        </w:rPr>
        <w:t>.</w:t>
      </w:r>
      <w:r w:rsidR="00C61F4B" w:rsidRPr="00A241F5">
        <w:rPr>
          <w:rFonts w:cs="Arial"/>
          <w:i/>
        </w:rPr>
        <w:t>"</w:t>
      </w:r>
      <w:r w:rsidRPr="00A241F5">
        <w:rPr>
          <w:rStyle w:val="FootnoteReference"/>
          <w:rFonts w:cs="Arial"/>
          <w:sz w:val="24"/>
        </w:rPr>
        <w:footnoteReference w:id="59"/>
      </w:r>
    </w:p>
    <w:p w14:paraId="5354F2A3" w14:textId="77777777" w:rsidR="001053EA" w:rsidRPr="00A241F5" w:rsidRDefault="001053EA" w:rsidP="001053EA">
      <w:pPr>
        <w:rPr>
          <w:rFonts w:cs="Arial"/>
          <w:b/>
        </w:rPr>
      </w:pPr>
    </w:p>
    <w:p w14:paraId="7CED2762" w14:textId="77777777" w:rsidR="001053EA" w:rsidRPr="00A241F5" w:rsidRDefault="001053EA" w:rsidP="001053EA">
      <w:pPr>
        <w:rPr>
          <w:rFonts w:cs="Arial"/>
          <w:b/>
        </w:rPr>
      </w:pPr>
    </w:p>
    <w:p w14:paraId="310CE871" w14:textId="3C7F9687" w:rsidR="001053EA" w:rsidRPr="00A241F5" w:rsidRDefault="001053EA" w:rsidP="001053EA">
      <w:pPr>
        <w:rPr>
          <w:rFonts w:cs="Arial"/>
          <w:b/>
          <w:i/>
        </w:rPr>
      </w:pPr>
      <w:r w:rsidRPr="00A241F5">
        <w:rPr>
          <w:rFonts w:cs="Arial"/>
          <w:b/>
          <w:i/>
        </w:rPr>
        <w:t>Comments from Respondents who supported Recommendation 11</w:t>
      </w:r>
    </w:p>
    <w:p w14:paraId="573E0B0B" w14:textId="77777777" w:rsidR="001053EA" w:rsidRPr="00A241F5" w:rsidRDefault="001053EA" w:rsidP="001053EA">
      <w:pPr>
        <w:rPr>
          <w:rFonts w:cs="Arial"/>
          <w:b/>
        </w:rPr>
      </w:pPr>
    </w:p>
    <w:p w14:paraId="023A9697" w14:textId="305C1A69" w:rsidR="001053EA" w:rsidRPr="00A241F5" w:rsidRDefault="003A4CBD" w:rsidP="001053EA">
      <w:pPr>
        <w:widowControl/>
        <w:tabs>
          <w:tab w:val="clear" w:pos="1418"/>
          <w:tab w:val="left" w:pos="1440"/>
        </w:tabs>
        <w:rPr>
          <w:rFonts w:cs="Arial"/>
          <w:b/>
          <w:i/>
        </w:rPr>
      </w:pPr>
      <w:r w:rsidRPr="00A241F5">
        <w:rPr>
          <w:rFonts w:cs="Arial"/>
        </w:rPr>
        <w:t>12.</w:t>
      </w:r>
      <w:r w:rsidR="001053EA" w:rsidRPr="00A241F5">
        <w:rPr>
          <w:rFonts w:cs="Arial"/>
        </w:rPr>
        <w:t>2</w:t>
      </w:r>
      <w:r w:rsidR="001053EA" w:rsidRPr="00A241F5">
        <w:rPr>
          <w:rFonts w:cs="Arial"/>
        </w:rPr>
        <w:tab/>
        <w:t xml:space="preserve">Those who commented on the form of legislative amendment to permit the use of ORFS for Arbitration by Lawyers in Hong Kong generally agreed that it should be in clear and simple terms.  For example, a chamber of commerce suggested that any legislative amendments should be </w:t>
      </w:r>
      <w:r w:rsidR="00C61F4B" w:rsidRPr="00A241F5">
        <w:rPr>
          <w:rFonts w:cs="Arial"/>
          <w:i/>
        </w:rPr>
        <w:t>"</w:t>
      </w:r>
      <w:r w:rsidR="001053EA" w:rsidRPr="00A241F5">
        <w:rPr>
          <w:rFonts w:cs="Arial"/>
          <w:i/>
        </w:rPr>
        <w:t>as simple and clear as possible, so that all relevant stakeholders, especially businesses, have a clear understanding of the new regime</w:t>
      </w:r>
      <w:r w:rsidR="00C61F4B" w:rsidRPr="00A241F5">
        <w:rPr>
          <w:rFonts w:cs="Arial"/>
          <w:i/>
        </w:rPr>
        <w:t>"</w:t>
      </w:r>
      <w:r w:rsidR="00923002" w:rsidRPr="00A241F5">
        <w:rPr>
          <w:rFonts w:cs="Arial"/>
        </w:rPr>
        <w:t>.</w:t>
      </w:r>
    </w:p>
    <w:p w14:paraId="1CAFE06C" w14:textId="77777777" w:rsidR="001053EA" w:rsidRPr="00A241F5" w:rsidRDefault="001053EA" w:rsidP="001053EA">
      <w:pPr>
        <w:widowControl/>
        <w:tabs>
          <w:tab w:val="clear" w:pos="1418"/>
          <w:tab w:val="left" w:pos="1440"/>
        </w:tabs>
        <w:rPr>
          <w:rFonts w:cs="Arial"/>
          <w:b/>
          <w:i/>
        </w:rPr>
      </w:pPr>
    </w:p>
    <w:p w14:paraId="2241403E" w14:textId="178FFEA4" w:rsidR="001053EA" w:rsidRPr="00A241F5" w:rsidRDefault="003A4CBD" w:rsidP="001053EA">
      <w:pPr>
        <w:widowControl/>
        <w:tabs>
          <w:tab w:val="clear" w:pos="1418"/>
          <w:tab w:val="left" w:pos="1440"/>
        </w:tabs>
        <w:rPr>
          <w:rFonts w:eastAsia="DengXian" w:cs="Arial"/>
          <w:lang w:eastAsia="zh-CN"/>
        </w:rPr>
      </w:pPr>
      <w:r w:rsidRPr="00A241F5">
        <w:rPr>
          <w:rFonts w:eastAsia="DengXian" w:cs="Arial"/>
          <w:lang w:eastAsia="zh-CN"/>
        </w:rPr>
        <w:t>12.</w:t>
      </w:r>
      <w:r w:rsidR="001053EA" w:rsidRPr="00A241F5">
        <w:rPr>
          <w:rFonts w:eastAsia="DengXian" w:cs="Arial"/>
          <w:lang w:eastAsia="zh-CN"/>
        </w:rPr>
        <w:t>3</w:t>
      </w:r>
      <w:r w:rsidR="001053EA" w:rsidRPr="00A241F5">
        <w:rPr>
          <w:rFonts w:eastAsia="DengXian" w:cs="Arial"/>
          <w:lang w:eastAsia="zh-CN"/>
        </w:rPr>
        <w:tab/>
        <w:t xml:space="preserve">A law firm agreed, noting that </w:t>
      </w:r>
      <w:r w:rsidR="00C61F4B" w:rsidRPr="00A241F5">
        <w:rPr>
          <w:rFonts w:eastAsia="DengXian" w:cs="Arial"/>
          <w:i/>
          <w:lang w:eastAsia="zh-CN"/>
        </w:rPr>
        <w:t>"</w:t>
      </w:r>
      <w:r w:rsidR="001053EA" w:rsidRPr="00A241F5">
        <w:rPr>
          <w:rFonts w:eastAsia="DengXian" w:cs="Arial"/>
          <w:lang w:eastAsia="zh-CN"/>
        </w:rPr>
        <w:t>[</w:t>
      </w:r>
      <w:r w:rsidR="001053EA" w:rsidRPr="00A241F5">
        <w:rPr>
          <w:rFonts w:eastAsia="DengXian" w:cs="Arial"/>
          <w:i/>
          <w:lang w:eastAsia="zh-CN"/>
        </w:rPr>
        <w:t>w</w:t>
      </w:r>
      <w:r w:rsidR="001053EA" w:rsidRPr="00A241F5">
        <w:rPr>
          <w:rFonts w:eastAsia="DengXian" w:cs="Arial"/>
          <w:lang w:eastAsia="zh-CN"/>
        </w:rPr>
        <w:t>]</w:t>
      </w:r>
      <w:r w:rsidR="001053EA" w:rsidRPr="00A241F5">
        <w:rPr>
          <w:rFonts w:eastAsia="DengXian" w:cs="Arial"/>
          <w:i/>
          <w:lang w:eastAsia="zh-CN"/>
        </w:rPr>
        <w:t>ithout clear and simple amendments being made to all applicable legislation and professional rules, Hong Kong is unlikely to reap the benefit of any liberalization of the rules on ORFSs</w:t>
      </w:r>
      <w:r w:rsidR="00C61F4B" w:rsidRPr="00A241F5">
        <w:rPr>
          <w:rFonts w:eastAsia="DengXian" w:cs="Arial"/>
          <w:i/>
          <w:lang w:eastAsia="zh-CN"/>
        </w:rPr>
        <w:t>"</w:t>
      </w:r>
      <w:r w:rsidR="00923002" w:rsidRPr="00A241F5">
        <w:rPr>
          <w:rFonts w:eastAsia="DengXian" w:cs="Arial"/>
          <w:lang w:eastAsia="zh-CN"/>
        </w:rPr>
        <w:t>.</w:t>
      </w:r>
      <w:r w:rsidR="001053EA" w:rsidRPr="00A241F5">
        <w:rPr>
          <w:rFonts w:eastAsia="DengXian" w:cs="Arial"/>
          <w:lang w:eastAsia="zh-CN"/>
        </w:rPr>
        <w:t xml:space="preserve">  </w:t>
      </w:r>
    </w:p>
    <w:p w14:paraId="3C4A4D0F" w14:textId="77777777" w:rsidR="001053EA" w:rsidRPr="00A241F5" w:rsidRDefault="001053EA" w:rsidP="001053EA">
      <w:pPr>
        <w:widowControl/>
        <w:tabs>
          <w:tab w:val="clear" w:pos="1418"/>
          <w:tab w:val="left" w:pos="1440"/>
        </w:tabs>
        <w:rPr>
          <w:rFonts w:eastAsia="DengXian" w:cs="Arial"/>
          <w:lang w:eastAsia="zh-CN"/>
        </w:rPr>
      </w:pPr>
    </w:p>
    <w:p w14:paraId="097B1DAE" w14:textId="73735CE1" w:rsidR="001053EA" w:rsidRPr="00A241F5" w:rsidRDefault="003A4CBD" w:rsidP="001053EA">
      <w:pPr>
        <w:widowControl/>
        <w:tabs>
          <w:tab w:val="clear" w:pos="1418"/>
          <w:tab w:val="left" w:pos="1440"/>
        </w:tabs>
        <w:rPr>
          <w:rFonts w:eastAsia="DengXian" w:cs="Arial"/>
          <w:lang w:eastAsia="zh-CN"/>
        </w:rPr>
      </w:pPr>
      <w:r w:rsidRPr="00A241F5">
        <w:rPr>
          <w:rFonts w:eastAsia="DengXian" w:cs="Arial"/>
          <w:lang w:eastAsia="zh-CN"/>
        </w:rPr>
        <w:t>12.</w:t>
      </w:r>
      <w:r w:rsidR="001053EA" w:rsidRPr="00A241F5">
        <w:rPr>
          <w:rFonts w:eastAsia="DengXian" w:cs="Arial"/>
          <w:lang w:eastAsia="zh-CN"/>
        </w:rPr>
        <w:t>4</w:t>
      </w:r>
      <w:r w:rsidR="001053EA" w:rsidRPr="00A241F5">
        <w:rPr>
          <w:rFonts w:eastAsia="DengXian" w:cs="Arial"/>
          <w:lang w:eastAsia="zh-CN"/>
        </w:rPr>
        <w:tab/>
        <w:t xml:space="preserve">Likewise, the Law Society also supported the recommendation, suggesting that the Sub-committee may consider the common law torts and offences of champerty and maintenance in the context of the </w:t>
      </w:r>
      <w:r w:rsidR="00C133BA" w:rsidRPr="00A241F5">
        <w:rPr>
          <w:rFonts w:eastAsia="DengXian" w:cs="Arial"/>
          <w:lang w:eastAsia="zh-CN"/>
        </w:rPr>
        <w:t>R</w:t>
      </w:r>
      <w:r w:rsidR="001053EA" w:rsidRPr="00A241F5">
        <w:rPr>
          <w:rFonts w:eastAsia="DengXian" w:cs="Arial"/>
          <w:lang w:eastAsia="zh-CN"/>
        </w:rPr>
        <w:t>ecommendations in the Consultation Paper.</w:t>
      </w:r>
    </w:p>
    <w:p w14:paraId="2C2C05DE" w14:textId="77777777" w:rsidR="001053EA" w:rsidRPr="00A241F5" w:rsidRDefault="001053EA" w:rsidP="001053EA">
      <w:pPr>
        <w:widowControl/>
        <w:tabs>
          <w:tab w:val="clear" w:pos="1418"/>
          <w:tab w:val="left" w:pos="1440"/>
        </w:tabs>
        <w:rPr>
          <w:rFonts w:eastAsia="DengXian" w:cs="Arial"/>
          <w:lang w:eastAsia="zh-CN"/>
        </w:rPr>
      </w:pPr>
    </w:p>
    <w:p w14:paraId="2FE9E333" w14:textId="7292D152" w:rsidR="001053EA" w:rsidRPr="00A241F5" w:rsidRDefault="00596671" w:rsidP="001053EA">
      <w:pPr>
        <w:widowControl/>
        <w:tabs>
          <w:tab w:val="clear" w:pos="1418"/>
          <w:tab w:val="left" w:pos="1440"/>
        </w:tabs>
        <w:rPr>
          <w:rFonts w:eastAsia="DengXian" w:cs="Arial"/>
          <w:lang w:eastAsia="zh-CN"/>
        </w:rPr>
      </w:pPr>
      <w:r w:rsidRPr="00A241F5">
        <w:rPr>
          <w:rFonts w:eastAsia="DengXian" w:cs="Arial"/>
          <w:lang w:eastAsia="zh-CN"/>
        </w:rPr>
        <w:t>12.5</w:t>
      </w:r>
      <w:r w:rsidR="001053EA" w:rsidRPr="00A241F5">
        <w:rPr>
          <w:rFonts w:eastAsia="DengXian" w:cs="Arial"/>
          <w:lang w:eastAsia="zh-CN"/>
        </w:rPr>
        <w:tab/>
        <w:t xml:space="preserve">The HKBA agreed with Recommendation 11.  The HKBA gave detailed comments and suggestions on the specific safeguards suggested.  These are discussed in the context of Recommendation 12 in Chapter </w:t>
      </w:r>
      <w:r w:rsidR="001B1088" w:rsidRPr="00A241F5">
        <w:rPr>
          <w:rFonts w:eastAsia="DengXian" w:cs="Arial"/>
          <w:lang w:eastAsia="zh-CN"/>
        </w:rPr>
        <w:t>13</w:t>
      </w:r>
      <w:r w:rsidR="001053EA" w:rsidRPr="00A241F5">
        <w:rPr>
          <w:rFonts w:eastAsia="DengXian" w:cs="Arial"/>
          <w:lang w:eastAsia="zh-CN"/>
        </w:rPr>
        <w:t xml:space="preserve"> of this Report.  The HKBA also agreed that, if ORFSs were introduced, the barristers</w:t>
      </w:r>
      <w:r w:rsidR="00C61F4B" w:rsidRPr="00A241F5">
        <w:rPr>
          <w:rFonts w:eastAsia="DengXian" w:cs="Arial"/>
          <w:lang w:eastAsia="zh-CN"/>
        </w:rPr>
        <w:t>'</w:t>
      </w:r>
      <w:r w:rsidR="001053EA" w:rsidRPr="00A241F5">
        <w:rPr>
          <w:rFonts w:eastAsia="DengXian" w:cs="Arial"/>
          <w:lang w:eastAsia="zh-CN"/>
        </w:rPr>
        <w:t xml:space="preserve"> </w:t>
      </w:r>
      <w:r w:rsidR="00C61F4B" w:rsidRPr="00A241F5">
        <w:rPr>
          <w:rFonts w:eastAsia="DengXian" w:cs="Arial"/>
          <w:lang w:eastAsia="zh-CN"/>
        </w:rPr>
        <w:t>"</w:t>
      </w:r>
      <w:r w:rsidR="001053EA" w:rsidRPr="00A241F5">
        <w:rPr>
          <w:rFonts w:eastAsia="DengXian" w:cs="Arial"/>
          <w:lang w:eastAsia="zh-CN"/>
        </w:rPr>
        <w:t>cab-rank</w:t>
      </w:r>
      <w:r w:rsidR="00C61F4B" w:rsidRPr="00A241F5">
        <w:rPr>
          <w:rFonts w:eastAsia="DengXian" w:cs="Arial"/>
          <w:lang w:eastAsia="zh-CN"/>
        </w:rPr>
        <w:t>"</w:t>
      </w:r>
      <w:r w:rsidR="001053EA" w:rsidRPr="00A241F5">
        <w:rPr>
          <w:rFonts w:eastAsia="DengXian" w:cs="Arial"/>
          <w:lang w:eastAsia="zh-CN"/>
        </w:rPr>
        <w:t xml:space="preserve"> rule may need to be amended to provide that a barrister may decline instructions if such </w:t>
      </w:r>
      <w:r w:rsidR="00C61F4B" w:rsidRPr="00A241F5">
        <w:rPr>
          <w:rFonts w:eastAsia="DengXian" w:cs="Arial"/>
          <w:i/>
          <w:lang w:eastAsia="zh-CN"/>
        </w:rPr>
        <w:t>"</w:t>
      </w:r>
      <w:r w:rsidR="001053EA" w:rsidRPr="00A241F5">
        <w:rPr>
          <w:rFonts w:eastAsia="DengXian" w:cs="Arial"/>
          <w:i/>
          <w:lang w:eastAsia="zh-CN"/>
        </w:rPr>
        <w:t xml:space="preserve">instructions are on the basis that </w:t>
      </w:r>
      <w:r w:rsidR="001053EA" w:rsidRPr="006B02F7">
        <w:rPr>
          <w:rFonts w:eastAsia="DengXian" w:cs="Arial"/>
          <w:i/>
          <w:lang w:eastAsia="zh-CN"/>
        </w:rPr>
        <w:t>[</w:t>
      </w:r>
      <w:r w:rsidR="001053EA" w:rsidRPr="00A241F5">
        <w:rPr>
          <w:rFonts w:eastAsia="DengXian" w:cs="Arial"/>
          <w:i/>
          <w:lang w:eastAsia="zh-CN"/>
        </w:rPr>
        <w:t>they would</w:t>
      </w:r>
      <w:r w:rsidR="001053EA" w:rsidRPr="006B02F7">
        <w:rPr>
          <w:rFonts w:eastAsia="DengXian" w:cs="Arial"/>
          <w:i/>
          <w:lang w:eastAsia="zh-CN"/>
        </w:rPr>
        <w:t>]</w:t>
      </w:r>
      <w:r w:rsidR="001053EA" w:rsidRPr="00A241F5">
        <w:rPr>
          <w:rFonts w:eastAsia="DengXian" w:cs="Arial"/>
          <w:i/>
          <w:lang w:eastAsia="zh-CN"/>
        </w:rPr>
        <w:t xml:space="preserve"> do the work under a conditional fee agreement or damages based agreement</w:t>
      </w:r>
      <w:r w:rsidR="00C61F4B" w:rsidRPr="00A241F5">
        <w:rPr>
          <w:rFonts w:eastAsia="DengXian" w:cs="Arial"/>
          <w:i/>
          <w:lang w:eastAsia="zh-CN"/>
        </w:rPr>
        <w:t>"</w:t>
      </w:r>
      <w:r w:rsidR="001053EA" w:rsidRPr="00A241F5">
        <w:rPr>
          <w:rFonts w:eastAsia="DengXian" w:cs="Arial"/>
          <w:lang w:eastAsia="zh-CN"/>
        </w:rPr>
        <w:t>.  This is consistent with the English Bar Standards Board Handbook,</w:t>
      </w:r>
      <w:r w:rsidR="001053EA" w:rsidRPr="00A241F5">
        <w:rPr>
          <w:rStyle w:val="FootnoteReference"/>
          <w:rFonts w:eastAsia="DengXian" w:cs="Arial"/>
          <w:sz w:val="24"/>
          <w:lang w:eastAsia="zh-CN"/>
        </w:rPr>
        <w:footnoteReference w:id="60"/>
      </w:r>
      <w:r w:rsidR="001053EA" w:rsidRPr="00A241F5">
        <w:rPr>
          <w:rFonts w:eastAsia="DengXian" w:cs="Arial"/>
          <w:lang w:eastAsia="zh-CN"/>
        </w:rPr>
        <w:t xml:space="preserve"> where a similar exception is set out.   </w:t>
      </w:r>
    </w:p>
    <w:p w14:paraId="3ABDF54B" w14:textId="77777777" w:rsidR="001053EA" w:rsidRPr="00A241F5" w:rsidRDefault="001053EA" w:rsidP="001053EA">
      <w:pPr>
        <w:widowControl/>
        <w:tabs>
          <w:tab w:val="clear" w:pos="1418"/>
          <w:tab w:val="left" w:pos="1440"/>
        </w:tabs>
        <w:rPr>
          <w:rFonts w:eastAsia="DengXian" w:cs="Arial"/>
          <w:lang w:eastAsia="zh-CN"/>
        </w:rPr>
      </w:pPr>
    </w:p>
    <w:p w14:paraId="247808F4" w14:textId="27C66520" w:rsidR="001053EA" w:rsidRPr="00A241F5" w:rsidRDefault="00596671" w:rsidP="001053EA">
      <w:pPr>
        <w:widowControl/>
        <w:tabs>
          <w:tab w:val="clear" w:pos="1418"/>
          <w:tab w:val="left" w:pos="1440"/>
        </w:tabs>
        <w:rPr>
          <w:rFonts w:eastAsia="DengXian" w:cs="Arial"/>
          <w:lang w:eastAsia="zh-CN"/>
        </w:rPr>
      </w:pPr>
      <w:r w:rsidRPr="00A241F5">
        <w:rPr>
          <w:rFonts w:eastAsia="DengXian" w:cs="Arial"/>
          <w:lang w:eastAsia="zh-CN"/>
        </w:rPr>
        <w:t>12.6</w:t>
      </w:r>
      <w:r w:rsidR="001053EA" w:rsidRPr="00A241F5">
        <w:rPr>
          <w:rFonts w:eastAsia="DengXian" w:cs="Arial"/>
          <w:lang w:eastAsia="zh-CN"/>
        </w:rPr>
        <w:tab/>
        <w:t xml:space="preserve">Other Respondents acknowledged the need </w:t>
      </w:r>
      <w:r w:rsidR="00C61F4B" w:rsidRPr="00A241F5">
        <w:rPr>
          <w:rFonts w:eastAsia="DengXian" w:cs="Arial"/>
          <w:i/>
          <w:lang w:eastAsia="zh-CN"/>
        </w:rPr>
        <w:t>"</w:t>
      </w:r>
      <w:r w:rsidR="001053EA" w:rsidRPr="00A241F5">
        <w:rPr>
          <w:rFonts w:eastAsia="DengXian" w:cs="Arial"/>
          <w:i/>
          <w:lang w:eastAsia="zh-CN"/>
        </w:rPr>
        <w:t>as to clear, simple and operable amendments to the relevant Ordinances and Codes of Conduct</w:t>
      </w:r>
      <w:r w:rsidR="00C61F4B" w:rsidRPr="00A241F5">
        <w:rPr>
          <w:rFonts w:eastAsia="DengXian" w:cs="Arial"/>
          <w:i/>
          <w:lang w:eastAsia="zh-CN"/>
        </w:rPr>
        <w:t>"</w:t>
      </w:r>
      <w:r w:rsidR="00923002" w:rsidRPr="00A241F5">
        <w:rPr>
          <w:rFonts w:eastAsia="DengXian" w:cs="Arial"/>
          <w:lang w:eastAsia="zh-CN"/>
        </w:rPr>
        <w:t>.</w:t>
      </w:r>
    </w:p>
    <w:p w14:paraId="2BFC2FCA" w14:textId="77777777" w:rsidR="001053EA" w:rsidRPr="00A241F5" w:rsidRDefault="001053EA" w:rsidP="001053EA">
      <w:pPr>
        <w:widowControl/>
        <w:tabs>
          <w:tab w:val="clear" w:pos="1418"/>
          <w:tab w:val="left" w:pos="1440"/>
        </w:tabs>
        <w:rPr>
          <w:rFonts w:eastAsia="DengXian" w:cs="Arial"/>
          <w:lang w:eastAsia="zh-CN"/>
        </w:rPr>
      </w:pPr>
    </w:p>
    <w:p w14:paraId="04C2263D" w14:textId="085ECF85" w:rsidR="001053EA" w:rsidRPr="00A241F5" w:rsidRDefault="00596671" w:rsidP="001053EA">
      <w:pPr>
        <w:widowControl/>
        <w:tabs>
          <w:tab w:val="clear" w:pos="1418"/>
          <w:tab w:val="left" w:pos="1440"/>
        </w:tabs>
        <w:rPr>
          <w:rFonts w:eastAsia="DengXian" w:cs="Arial"/>
          <w:lang w:eastAsia="zh-CN"/>
        </w:rPr>
      </w:pPr>
      <w:r w:rsidRPr="00A241F5">
        <w:rPr>
          <w:rFonts w:eastAsia="DengXian" w:cs="Arial"/>
          <w:lang w:eastAsia="zh-CN"/>
        </w:rPr>
        <w:t>12.7</w:t>
      </w:r>
      <w:r w:rsidR="001053EA" w:rsidRPr="00A241F5">
        <w:rPr>
          <w:rFonts w:eastAsia="DengXian" w:cs="Arial"/>
          <w:lang w:eastAsia="zh-CN"/>
        </w:rPr>
        <w:tab/>
        <w:t>One of the Respondents, the Consumer Council, made it clear that it supported the recommendation to provide consumers with a variety of flexible fee arrangement choices under ORFSs, provided that:</w:t>
      </w:r>
    </w:p>
    <w:p w14:paraId="27419B13" w14:textId="77777777" w:rsidR="001053EA" w:rsidRPr="00A241F5" w:rsidRDefault="001053EA" w:rsidP="001053EA">
      <w:pPr>
        <w:widowControl/>
        <w:tabs>
          <w:tab w:val="clear" w:pos="1418"/>
          <w:tab w:val="left" w:pos="1440"/>
        </w:tabs>
        <w:rPr>
          <w:rFonts w:eastAsia="DengXian" w:cs="Arial"/>
          <w:lang w:eastAsia="zh-CN"/>
        </w:rPr>
      </w:pPr>
    </w:p>
    <w:p w14:paraId="1AE6E220" w14:textId="05926569" w:rsidR="001053EA" w:rsidRPr="00A241F5" w:rsidRDefault="00C61F4B" w:rsidP="00230B92">
      <w:pPr>
        <w:widowControl/>
        <w:tabs>
          <w:tab w:val="clear" w:pos="1418"/>
          <w:tab w:val="left" w:pos="1440"/>
        </w:tabs>
        <w:ind w:left="720" w:right="720"/>
        <w:rPr>
          <w:rFonts w:eastAsia="DengXian" w:cs="Arial"/>
          <w:i/>
          <w:lang w:eastAsia="zh-CN"/>
        </w:rPr>
      </w:pPr>
      <w:r w:rsidRPr="00A241F5">
        <w:rPr>
          <w:rFonts w:eastAsia="DengXian" w:cs="Arial"/>
          <w:i/>
          <w:lang w:eastAsia="zh-CN"/>
        </w:rPr>
        <w:t>"</w:t>
      </w:r>
      <w:r w:rsidR="00A10EC2" w:rsidRPr="00A241F5">
        <w:rPr>
          <w:rFonts w:eastAsia="DengXian" w:cs="Arial"/>
          <w:lang w:eastAsia="zh-CN"/>
        </w:rPr>
        <w:t xml:space="preserve">… </w:t>
      </w:r>
      <w:r w:rsidR="001053EA" w:rsidRPr="00A241F5">
        <w:rPr>
          <w:rFonts w:eastAsia="DengXian" w:cs="Arial"/>
          <w:i/>
          <w:lang w:eastAsia="zh-CN"/>
        </w:rPr>
        <w:t>consumers are empowered with all the relevant information they require so they may have the freedom to contract in alignment with their views on how they wish to manage their case, alongside the careful guidance of their legal representative. … The Council welcomes transparency and guidance provided by legal practitioners to consumer clients to ensure those entering into ORFSs are properly informed and have a clear understanding of their rights and responsibilities under the ORFS</w:t>
      </w:r>
      <w:r w:rsidR="00ED3ED8" w:rsidRPr="00A241F5">
        <w:rPr>
          <w:rFonts w:eastAsia="DengXian" w:cs="Arial"/>
          <w:i/>
          <w:lang w:eastAsia="zh-CN"/>
        </w:rPr>
        <w:t>.</w:t>
      </w:r>
      <w:r w:rsidR="001053EA" w:rsidRPr="00A241F5">
        <w:rPr>
          <w:rFonts w:eastAsia="DengXian" w:cs="Arial"/>
          <w:i/>
          <w:lang w:eastAsia="zh-CN"/>
        </w:rPr>
        <w:t xml:space="preserve"> … </w:t>
      </w:r>
    </w:p>
    <w:p w14:paraId="267D9E46" w14:textId="77777777" w:rsidR="001053EA" w:rsidRPr="00A241F5" w:rsidRDefault="001053EA" w:rsidP="00C22562">
      <w:pPr>
        <w:widowControl/>
        <w:tabs>
          <w:tab w:val="clear" w:pos="1418"/>
          <w:tab w:val="left" w:pos="1440"/>
        </w:tabs>
        <w:ind w:left="810" w:rightChars="271" w:right="650"/>
        <w:rPr>
          <w:rFonts w:eastAsia="DengXian" w:cs="Arial"/>
          <w:i/>
          <w:u w:val="single"/>
          <w:lang w:eastAsia="zh-CN"/>
        </w:rPr>
      </w:pPr>
    </w:p>
    <w:p w14:paraId="3C2DA332" w14:textId="10BFA821" w:rsidR="001053EA" w:rsidRPr="00A241F5" w:rsidRDefault="001053EA" w:rsidP="00230B92">
      <w:pPr>
        <w:widowControl/>
        <w:tabs>
          <w:tab w:val="clear" w:pos="1418"/>
          <w:tab w:val="left" w:pos="1440"/>
        </w:tabs>
        <w:ind w:left="720" w:right="720"/>
        <w:rPr>
          <w:rFonts w:eastAsia="DengXian" w:cs="Arial"/>
          <w:lang w:eastAsia="zh-CN"/>
        </w:rPr>
      </w:pPr>
      <w:r w:rsidRPr="00A241F5">
        <w:rPr>
          <w:rFonts w:eastAsia="DengXian" w:cs="Arial"/>
          <w:i/>
          <w:u w:val="single"/>
          <w:lang w:eastAsia="zh-CN"/>
        </w:rPr>
        <w:t>Insofar as consequential amendment of the relevant professional guides and codes of conduct for legal practitioners is essential to reflect this, the Council supports Recommendations 11 and 12</w:t>
      </w:r>
      <w:r w:rsidRPr="00A241F5">
        <w:rPr>
          <w:rFonts w:eastAsia="DengXian" w:cs="Arial"/>
          <w:i/>
          <w:lang w:eastAsia="zh-CN"/>
        </w:rPr>
        <w:t>.  As the issues involved in the funding arrangements can be complex and have far reaching repercussions, financially or otherwise, the relevant professional guides and codes of conduct should ensure that clear, easy to understand language is used in the contracts and in the advice</w:t>
      </w:r>
      <w:r w:rsidRPr="00A241F5">
        <w:rPr>
          <w:rFonts w:eastAsia="DengXian" w:cs="Arial"/>
          <w:lang w:eastAsia="zh-CN"/>
        </w:rPr>
        <w:t>.</w:t>
      </w:r>
      <w:r w:rsidR="00C61F4B" w:rsidRPr="00A241F5">
        <w:rPr>
          <w:rFonts w:eastAsia="DengXian" w:cs="Arial"/>
          <w:i/>
          <w:lang w:eastAsia="zh-CN"/>
        </w:rPr>
        <w:t>"</w:t>
      </w:r>
      <w:r w:rsidRPr="00A241F5">
        <w:rPr>
          <w:rFonts w:eastAsia="DengXian" w:cs="Arial"/>
          <w:lang w:eastAsia="zh-CN"/>
        </w:rPr>
        <w:t xml:space="preserve"> (emphasis added). </w:t>
      </w:r>
    </w:p>
    <w:p w14:paraId="3DDA7EBE" w14:textId="77777777" w:rsidR="001053EA" w:rsidRPr="00A241F5" w:rsidRDefault="001053EA" w:rsidP="001053EA">
      <w:pPr>
        <w:rPr>
          <w:lang w:eastAsia="zh-CN"/>
        </w:rPr>
      </w:pPr>
    </w:p>
    <w:p w14:paraId="023D271A" w14:textId="77777777" w:rsidR="001053EA" w:rsidRPr="00A241F5" w:rsidRDefault="001053EA" w:rsidP="001053EA">
      <w:pPr>
        <w:rPr>
          <w:lang w:eastAsia="zh-CN"/>
        </w:rPr>
      </w:pPr>
    </w:p>
    <w:p w14:paraId="7F11CF62" w14:textId="6C6C329C" w:rsidR="001053EA" w:rsidRPr="00A241F5" w:rsidRDefault="001053EA" w:rsidP="001053EA">
      <w:pPr>
        <w:keepNext/>
        <w:keepLines/>
        <w:widowControl/>
        <w:spacing w:after="160"/>
        <w:rPr>
          <w:rFonts w:cs="Arial"/>
          <w:b/>
          <w:i/>
        </w:rPr>
      </w:pPr>
      <w:r w:rsidRPr="00A241F5">
        <w:rPr>
          <w:rFonts w:cs="Arial"/>
          <w:b/>
          <w:i/>
        </w:rPr>
        <w:t>Comments from Respondents who opposed Recommendation 11</w:t>
      </w:r>
    </w:p>
    <w:p w14:paraId="694DD29F" w14:textId="777B312C" w:rsidR="001053EA" w:rsidRPr="00A241F5" w:rsidRDefault="00596671" w:rsidP="001053EA">
      <w:pPr>
        <w:widowControl/>
        <w:tabs>
          <w:tab w:val="clear" w:pos="1418"/>
          <w:tab w:val="left" w:pos="1440"/>
        </w:tabs>
        <w:rPr>
          <w:rFonts w:cs="Arial"/>
        </w:rPr>
      </w:pPr>
      <w:r w:rsidRPr="00A241F5">
        <w:rPr>
          <w:rFonts w:eastAsia="DengXian" w:cs="Arial"/>
          <w:lang w:eastAsia="zh-CN"/>
        </w:rPr>
        <w:t>12.8</w:t>
      </w:r>
      <w:r w:rsidR="001053EA" w:rsidRPr="00A241F5">
        <w:rPr>
          <w:rFonts w:eastAsia="DengXian" w:cs="Arial"/>
          <w:lang w:eastAsia="zh-CN"/>
        </w:rPr>
        <w:tab/>
      </w:r>
      <w:r w:rsidR="001053EA" w:rsidRPr="00A241F5">
        <w:rPr>
          <w:rFonts w:cs="Arial"/>
        </w:rPr>
        <w:t xml:space="preserve">There were no objections to Recommendation 11. </w:t>
      </w:r>
    </w:p>
    <w:p w14:paraId="6995FD71" w14:textId="77777777" w:rsidR="001053EA" w:rsidRPr="00A241F5" w:rsidRDefault="001053EA" w:rsidP="001053EA"/>
    <w:p w14:paraId="3A28D688" w14:textId="77777777" w:rsidR="001053EA" w:rsidRPr="00A241F5" w:rsidRDefault="001053EA" w:rsidP="001053EA"/>
    <w:p w14:paraId="4BBAEA42" w14:textId="77777777" w:rsidR="001053EA" w:rsidRPr="00A241F5" w:rsidRDefault="001053EA" w:rsidP="001053EA">
      <w:pPr>
        <w:pStyle w:val="Heading2"/>
      </w:pPr>
      <w:r w:rsidRPr="00A241F5">
        <w:t>Our analysis and response</w:t>
      </w:r>
    </w:p>
    <w:p w14:paraId="5CB9D16C" w14:textId="77777777" w:rsidR="001053EA" w:rsidRPr="00A241F5" w:rsidRDefault="001053EA" w:rsidP="001053EA">
      <w:pPr>
        <w:widowControl/>
        <w:tabs>
          <w:tab w:val="clear" w:pos="1418"/>
          <w:tab w:val="left" w:pos="1440"/>
        </w:tabs>
        <w:rPr>
          <w:rFonts w:eastAsia="DengXian" w:cs="Arial"/>
          <w:lang w:eastAsia="zh-CN"/>
        </w:rPr>
      </w:pPr>
    </w:p>
    <w:p w14:paraId="5FA40834" w14:textId="784F0893" w:rsidR="001053EA" w:rsidRPr="00A241F5" w:rsidRDefault="00596671" w:rsidP="001053EA">
      <w:pPr>
        <w:widowControl/>
        <w:tabs>
          <w:tab w:val="clear" w:pos="1418"/>
          <w:tab w:val="left" w:pos="1440"/>
        </w:tabs>
        <w:rPr>
          <w:rFonts w:cs="Arial"/>
        </w:rPr>
      </w:pPr>
      <w:r w:rsidRPr="00A241F5">
        <w:rPr>
          <w:rFonts w:eastAsia="DengXian" w:cs="Arial"/>
          <w:lang w:eastAsia="zh-CN"/>
        </w:rPr>
        <w:t>12.9</w:t>
      </w:r>
      <w:r w:rsidR="001053EA" w:rsidRPr="00A241F5">
        <w:rPr>
          <w:rFonts w:eastAsia="DengXian" w:cs="Arial"/>
          <w:lang w:eastAsia="zh-CN"/>
        </w:rPr>
        <w:tab/>
        <w:t xml:space="preserve">When considering the approach to permit Lawyers to use ORFS </w:t>
      </w:r>
      <w:r w:rsidR="002D2C2E" w:rsidRPr="00A241F5">
        <w:rPr>
          <w:rFonts w:eastAsia="DengXian" w:cs="Arial"/>
          <w:lang w:eastAsia="zh-CN"/>
        </w:rPr>
        <w:t>for</w:t>
      </w:r>
      <w:r w:rsidR="001053EA" w:rsidRPr="00A241F5">
        <w:rPr>
          <w:rFonts w:eastAsia="DengXian" w:cs="Arial"/>
          <w:lang w:eastAsia="zh-CN"/>
        </w:rPr>
        <w:t xml:space="preserve"> Arbitration, we have considered (a) the Consultation Paper, (b) the submissions received from the Respondents, including those summarised in </w:t>
      </w:r>
      <w:r w:rsidR="001053EA" w:rsidRPr="00A241F5">
        <w:rPr>
          <w:rFonts w:eastAsia="DengXian" w:cs="Arial"/>
          <w:lang w:eastAsia="zh-CN"/>
        </w:rPr>
        <w:lastRenderedPageBreak/>
        <w:t>this Report, (c) the approach adopted to addressing similar issues in the common law jurisdictions of England and Wales and various Australian states, and (d) the current Hong Kong legal system.  We have also borne in mind that breaches of the doctrines of maintenance and cham</w:t>
      </w:r>
      <w:r w:rsidR="001053EA" w:rsidRPr="00A241F5">
        <w:rPr>
          <w:rFonts w:cs="Arial"/>
        </w:rPr>
        <w:t xml:space="preserve">perty in Hong Kong may constitute criminal offences as well as torts at common law, as observed in the Consultation Paper at paragraphs 1.5 to 1.21.   </w:t>
      </w:r>
    </w:p>
    <w:p w14:paraId="206CB30B" w14:textId="4A9910B2" w:rsidR="001053EA" w:rsidRPr="00A241F5" w:rsidRDefault="001053EA" w:rsidP="001053EA">
      <w:pPr>
        <w:widowControl/>
        <w:tabs>
          <w:tab w:val="clear" w:pos="1418"/>
          <w:tab w:val="left" w:pos="1440"/>
        </w:tabs>
        <w:rPr>
          <w:rFonts w:eastAsia="DengXian" w:cs="Arial"/>
          <w:lang w:eastAsia="zh-CN"/>
        </w:rPr>
      </w:pPr>
    </w:p>
    <w:p w14:paraId="051D7083" w14:textId="2A21A07E" w:rsidR="001053EA" w:rsidRPr="00A241F5" w:rsidRDefault="00596671" w:rsidP="001053EA">
      <w:pPr>
        <w:widowControl/>
        <w:tabs>
          <w:tab w:val="clear" w:pos="1418"/>
          <w:tab w:val="left" w:pos="1440"/>
        </w:tabs>
        <w:rPr>
          <w:rFonts w:cs="Arial"/>
        </w:rPr>
      </w:pPr>
      <w:r w:rsidRPr="00A241F5">
        <w:rPr>
          <w:rFonts w:eastAsia="DengXian" w:cs="Arial"/>
          <w:lang w:eastAsia="zh-CN"/>
        </w:rPr>
        <w:t>12.</w:t>
      </w:r>
      <w:r w:rsidR="001053EA" w:rsidRPr="00A241F5">
        <w:rPr>
          <w:rFonts w:eastAsia="DengXian" w:cs="Arial"/>
          <w:lang w:eastAsia="zh-CN"/>
        </w:rPr>
        <w:t>1</w:t>
      </w:r>
      <w:r w:rsidRPr="00A241F5">
        <w:rPr>
          <w:rFonts w:eastAsia="DengXian" w:cs="Arial"/>
          <w:lang w:eastAsia="zh-CN"/>
        </w:rPr>
        <w:t>0</w:t>
      </w:r>
      <w:r w:rsidR="001053EA" w:rsidRPr="00A241F5">
        <w:rPr>
          <w:rFonts w:eastAsia="DengXian" w:cs="Arial"/>
          <w:lang w:eastAsia="zh-CN"/>
        </w:rPr>
        <w:tab/>
        <w:t xml:space="preserve">Given the unanimous support from all the Respondents who commented on Recommendation 11, we maintain as our final recommendation that </w:t>
      </w:r>
      <w:r w:rsidR="001053EA" w:rsidRPr="00A241F5">
        <w:rPr>
          <w:rFonts w:cs="Arial"/>
        </w:rPr>
        <w:t>(a) the Arbitration Ordinance;</w:t>
      </w:r>
      <w:r w:rsidR="001053EA" w:rsidRPr="00A241F5">
        <w:rPr>
          <w:rFonts w:eastAsia="DengXian" w:cs="Arial"/>
          <w:lang w:eastAsia="zh-CN"/>
        </w:rPr>
        <w:t xml:space="preserve"> </w:t>
      </w:r>
      <w:r w:rsidR="001053EA" w:rsidRPr="00A241F5">
        <w:rPr>
          <w:rFonts w:cs="Arial"/>
        </w:rPr>
        <w:t>(b) the Legal Practitioners Ordinance;</w:t>
      </w:r>
      <w:r w:rsidR="001053EA" w:rsidRPr="00A241F5">
        <w:rPr>
          <w:rFonts w:eastAsia="DengXian" w:cs="Arial"/>
          <w:lang w:eastAsia="zh-CN"/>
        </w:rPr>
        <w:t xml:space="preserve"> </w:t>
      </w:r>
      <w:r w:rsidR="001053EA" w:rsidRPr="00A241F5">
        <w:rPr>
          <w:rFonts w:cs="Arial"/>
        </w:rPr>
        <w:t>(c) The Hong Kong Solicitors</w:t>
      </w:r>
      <w:r w:rsidR="00C61F4B" w:rsidRPr="00A241F5">
        <w:rPr>
          <w:rFonts w:cs="Arial"/>
        </w:rPr>
        <w:t>'</w:t>
      </w:r>
      <w:r w:rsidR="001053EA" w:rsidRPr="00A241F5">
        <w:rPr>
          <w:rFonts w:cs="Arial"/>
        </w:rPr>
        <w:t xml:space="preserve"> Guide to Professional Conduct;</w:t>
      </w:r>
      <w:r w:rsidR="001053EA" w:rsidRPr="00A241F5">
        <w:rPr>
          <w:rFonts w:eastAsia="DengXian" w:cs="Arial"/>
          <w:lang w:eastAsia="zh-CN"/>
        </w:rPr>
        <w:t xml:space="preserve"> and </w:t>
      </w:r>
      <w:r w:rsidR="001053EA" w:rsidRPr="00A241F5">
        <w:rPr>
          <w:rFonts w:cs="Arial"/>
        </w:rPr>
        <w:t>(d) the HKBA</w:t>
      </w:r>
      <w:r w:rsidR="00C61F4B" w:rsidRPr="00A241F5">
        <w:rPr>
          <w:rFonts w:cs="Arial"/>
        </w:rPr>
        <w:t>'</w:t>
      </w:r>
      <w:r w:rsidR="00A10EC2" w:rsidRPr="00A241F5">
        <w:rPr>
          <w:rFonts w:cs="Arial"/>
        </w:rPr>
        <w:t>s</w:t>
      </w:r>
      <w:r w:rsidR="001053EA" w:rsidRPr="00A241F5">
        <w:rPr>
          <w:rFonts w:cs="Arial"/>
        </w:rPr>
        <w:t xml:space="preserve"> Code of Conduct should be amended to provide that CFAs and/or DBAs and/or Hybrid DBAs are permitted under Hong Kong law for Arbitration.  </w:t>
      </w:r>
    </w:p>
    <w:p w14:paraId="5571F7F4" w14:textId="77777777" w:rsidR="001053EA" w:rsidRPr="00A241F5" w:rsidRDefault="001053EA" w:rsidP="001053EA">
      <w:pPr>
        <w:widowControl/>
        <w:tabs>
          <w:tab w:val="clear" w:pos="1418"/>
          <w:tab w:val="left" w:pos="1440"/>
        </w:tabs>
        <w:rPr>
          <w:rFonts w:cs="Arial"/>
        </w:rPr>
      </w:pPr>
    </w:p>
    <w:p w14:paraId="1042257C" w14:textId="77777777" w:rsidR="001053EA" w:rsidRPr="00A241F5" w:rsidRDefault="001053EA" w:rsidP="001053EA">
      <w:pPr>
        <w:widowControl/>
        <w:tabs>
          <w:tab w:val="clear" w:pos="1418"/>
          <w:tab w:val="left" w:pos="1440"/>
        </w:tabs>
        <w:rPr>
          <w:rFonts w:cs="Arial"/>
        </w:rPr>
      </w:pPr>
    </w:p>
    <w:p w14:paraId="54A4B15B" w14:textId="77777777" w:rsidR="001053EA" w:rsidRPr="00A241F5" w:rsidRDefault="001053EA" w:rsidP="001053EA">
      <w:pPr>
        <w:widowControl/>
        <w:tabs>
          <w:tab w:val="clear" w:pos="1418"/>
          <w:tab w:val="left" w:pos="1440"/>
        </w:tabs>
        <w:rPr>
          <w:rFonts w:cs="Arial"/>
          <w:b/>
          <w:i/>
        </w:rPr>
      </w:pPr>
      <w:r w:rsidRPr="00A241F5">
        <w:rPr>
          <w:rFonts w:cs="Arial"/>
          <w:b/>
          <w:i/>
        </w:rPr>
        <w:t>The Arbitration Ordinance and the Legal Practitioners Ordinance</w:t>
      </w:r>
    </w:p>
    <w:p w14:paraId="4D34C973" w14:textId="55A72910" w:rsidR="001053EA" w:rsidRPr="00A241F5" w:rsidRDefault="001053EA" w:rsidP="001053EA">
      <w:pPr>
        <w:widowControl/>
        <w:tabs>
          <w:tab w:val="clear" w:pos="1418"/>
          <w:tab w:val="left" w:pos="1440"/>
        </w:tabs>
        <w:rPr>
          <w:rFonts w:cs="Arial"/>
        </w:rPr>
      </w:pPr>
      <w:r w:rsidRPr="00A241F5">
        <w:rPr>
          <w:rFonts w:cs="Arial"/>
        </w:rPr>
        <w:br/>
      </w:r>
      <w:r w:rsidR="00596671" w:rsidRPr="00A241F5">
        <w:rPr>
          <w:rFonts w:cs="Arial"/>
        </w:rPr>
        <w:t>12.11</w:t>
      </w:r>
      <w:r w:rsidRPr="00A241F5">
        <w:rPr>
          <w:rFonts w:cs="Arial"/>
        </w:rPr>
        <w:tab/>
        <w:t xml:space="preserve">In particular, the Arbitration Ordinance and the Legal Practitioners Ordinance will need to be amended to permit the use of ORFSs in Arbitration. </w:t>
      </w:r>
    </w:p>
    <w:p w14:paraId="7D210F00" w14:textId="77777777" w:rsidR="001053EA" w:rsidRPr="00A241F5" w:rsidRDefault="001053EA" w:rsidP="001053EA">
      <w:pPr>
        <w:widowControl/>
        <w:tabs>
          <w:tab w:val="clear" w:pos="1418"/>
          <w:tab w:val="left" w:pos="1440"/>
        </w:tabs>
        <w:rPr>
          <w:rFonts w:cs="Arial"/>
        </w:rPr>
      </w:pPr>
    </w:p>
    <w:p w14:paraId="7849651D" w14:textId="2FB183A0" w:rsidR="001053EA" w:rsidRPr="00A241F5" w:rsidRDefault="00596671" w:rsidP="001053EA">
      <w:pPr>
        <w:widowControl/>
        <w:tabs>
          <w:tab w:val="clear" w:pos="1418"/>
          <w:tab w:val="left" w:pos="1440"/>
        </w:tabs>
        <w:rPr>
          <w:rFonts w:cs="Arial"/>
        </w:rPr>
      </w:pPr>
      <w:r w:rsidRPr="00A241F5">
        <w:rPr>
          <w:rFonts w:cs="Arial"/>
        </w:rPr>
        <w:t>12.12</w:t>
      </w:r>
      <w:r w:rsidR="001053EA" w:rsidRPr="00A241F5">
        <w:rPr>
          <w:rFonts w:cs="Arial"/>
        </w:rPr>
        <w:tab/>
        <w:t>As a starting point, section 64 of the Legal Practitioners Ordinance will need to be amended to reflect the fact that ORFS</w:t>
      </w:r>
      <w:r w:rsidR="000D1328" w:rsidRPr="00A241F5">
        <w:rPr>
          <w:rFonts w:cs="Arial"/>
        </w:rPr>
        <w:t>s</w:t>
      </w:r>
      <w:r w:rsidR="001053EA" w:rsidRPr="00A241F5">
        <w:rPr>
          <w:rFonts w:cs="Arial"/>
        </w:rPr>
        <w:t xml:space="preserve"> within the meaning of the new Part 10B of the Arbitration Ordinance (at Annex 1 attached to this Report) are permitted for Arbitration. </w:t>
      </w:r>
    </w:p>
    <w:p w14:paraId="32B8FBF4" w14:textId="77777777" w:rsidR="001053EA" w:rsidRPr="00A241F5" w:rsidRDefault="001053EA" w:rsidP="001053EA">
      <w:pPr>
        <w:widowControl/>
        <w:tabs>
          <w:tab w:val="clear" w:pos="1418"/>
          <w:tab w:val="left" w:pos="1440"/>
        </w:tabs>
        <w:rPr>
          <w:rFonts w:cs="Arial"/>
        </w:rPr>
      </w:pPr>
    </w:p>
    <w:p w14:paraId="7DA68133" w14:textId="704686BD" w:rsidR="001053EA" w:rsidRPr="00A241F5" w:rsidRDefault="00596671" w:rsidP="001053EA">
      <w:pPr>
        <w:widowControl/>
        <w:tabs>
          <w:tab w:val="clear" w:pos="1418"/>
          <w:tab w:val="left" w:pos="1440"/>
        </w:tabs>
        <w:rPr>
          <w:rFonts w:cs="Arial"/>
        </w:rPr>
      </w:pPr>
      <w:r w:rsidRPr="00A241F5">
        <w:rPr>
          <w:rFonts w:cs="Arial"/>
        </w:rPr>
        <w:t>12.13</w:t>
      </w:r>
      <w:r w:rsidR="001053EA" w:rsidRPr="00A241F5">
        <w:rPr>
          <w:rFonts w:cs="Arial"/>
        </w:rPr>
        <w:tab/>
        <w:t xml:space="preserve">The core provisions will then be set out in </w:t>
      </w:r>
      <w:r w:rsidR="001A4D76" w:rsidRPr="00A241F5">
        <w:rPr>
          <w:rFonts w:cs="Arial"/>
        </w:rPr>
        <w:t xml:space="preserve">a </w:t>
      </w:r>
      <w:r w:rsidR="001053EA" w:rsidRPr="00A241F5">
        <w:rPr>
          <w:rFonts w:cs="Arial"/>
        </w:rPr>
        <w:t xml:space="preserve">new Part 10B of the Arbitration Ordinance, with additional edits to Part 10A of the Arbitration Ordinance, primarily to make it clear that ORFSs are distinct from Third Party Funding and do not fall within the Third Party </w:t>
      </w:r>
      <w:r w:rsidR="00C14272" w:rsidRPr="00A241F5">
        <w:rPr>
          <w:rFonts w:cs="Arial"/>
        </w:rPr>
        <w:t>Funding regime (and vice versa),</w:t>
      </w:r>
      <w:r w:rsidR="00C14272" w:rsidRPr="00A241F5">
        <w:rPr>
          <w:rStyle w:val="FootnoteReference"/>
          <w:rFonts w:cs="Arial"/>
          <w:sz w:val="24"/>
        </w:rPr>
        <w:footnoteReference w:id="61"/>
      </w:r>
    </w:p>
    <w:p w14:paraId="77B77F41" w14:textId="3C96661C" w:rsidR="001053EA" w:rsidRPr="00A241F5" w:rsidRDefault="00C133BA" w:rsidP="001053EA">
      <w:pPr>
        <w:widowControl/>
        <w:tabs>
          <w:tab w:val="clear" w:pos="1418"/>
          <w:tab w:val="left" w:pos="1440"/>
        </w:tabs>
        <w:rPr>
          <w:rFonts w:cs="Arial"/>
        </w:rPr>
      </w:pPr>
      <w:r w:rsidRPr="00A241F5">
        <w:rPr>
          <w:rFonts w:cs="Arial"/>
        </w:rPr>
        <w:t>and that the common law torts and offences of champerty and maintenance do not apply to ORFSs</w:t>
      </w:r>
      <w:r w:rsidR="00A10EC2" w:rsidRPr="00A241F5">
        <w:rPr>
          <w:rFonts w:cs="Arial"/>
        </w:rPr>
        <w:t xml:space="preserve"> for Arbitration</w:t>
      </w:r>
      <w:r w:rsidR="00C14272" w:rsidRPr="00A241F5">
        <w:rPr>
          <w:rFonts w:cs="Arial"/>
        </w:rPr>
        <w:t>.</w:t>
      </w:r>
      <w:r w:rsidR="00C14272" w:rsidRPr="00A241F5">
        <w:rPr>
          <w:rStyle w:val="FootnoteReference"/>
          <w:rFonts w:cs="Arial"/>
          <w:sz w:val="24"/>
        </w:rPr>
        <w:footnoteReference w:id="62"/>
      </w:r>
      <w:r w:rsidRPr="00A241F5">
        <w:rPr>
          <w:rFonts w:cs="Arial"/>
        </w:rPr>
        <w:t xml:space="preserve"> </w:t>
      </w:r>
    </w:p>
    <w:p w14:paraId="5599D906" w14:textId="77777777" w:rsidR="001053EA" w:rsidRPr="00A241F5" w:rsidRDefault="001053EA" w:rsidP="001053EA">
      <w:pPr>
        <w:widowControl/>
        <w:tabs>
          <w:tab w:val="clear" w:pos="1418"/>
          <w:tab w:val="left" w:pos="1440"/>
        </w:tabs>
        <w:rPr>
          <w:rFonts w:cs="Arial"/>
        </w:rPr>
      </w:pPr>
    </w:p>
    <w:p w14:paraId="0A279120" w14:textId="4CD51FC2" w:rsidR="001053EA" w:rsidRPr="00A241F5" w:rsidRDefault="00596671" w:rsidP="001053EA">
      <w:pPr>
        <w:widowControl/>
        <w:tabs>
          <w:tab w:val="clear" w:pos="1418"/>
          <w:tab w:val="left" w:pos="1440"/>
        </w:tabs>
        <w:rPr>
          <w:rFonts w:cs="Arial"/>
        </w:rPr>
      </w:pPr>
      <w:r w:rsidRPr="00A241F5">
        <w:rPr>
          <w:rFonts w:cs="Arial"/>
        </w:rPr>
        <w:t>12.14</w:t>
      </w:r>
      <w:r w:rsidR="001053EA" w:rsidRPr="00A241F5">
        <w:rPr>
          <w:rFonts w:cs="Arial"/>
        </w:rPr>
        <w:tab/>
        <w:t>The more detailed legislative framework, and the particular safeguards which form part of the ORFS regime for Arbitration, should be set out in subsidiary legislation</w:t>
      </w:r>
      <w:r w:rsidR="007373BA" w:rsidRPr="00A241F5">
        <w:rPr>
          <w:rFonts w:cs="Arial"/>
        </w:rPr>
        <w:t xml:space="preserve"> in as clear and simple terms as possible</w:t>
      </w:r>
      <w:r w:rsidR="001053EA" w:rsidRPr="00A241F5">
        <w:rPr>
          <w:rFonts w:cs="Arial"/>
        </w:rPr>
        <w:t xml:space="preserve">.  This is discussed further in the context of Recommendation 12 in Chapter </w:t>
      </w:r>
      <w:r w:rsidR="001B1088" w:rsidRPr="00A241F5">
        <w:rPr>
          <w:rFonts w:cs="Arial"/>
        </w:rPr>
        <w:t>13</w:t>
      </w:r>
      <w:r w:rsidR="001053EA" w:rsidRPr="00A241F5">
        <w:rPr>
          <w:rFonts w:cs="Arial"/>
        </w:rPr>
        <w:t>.  Suggested safeguards to be included in the subsidiary legislation are set out in Annex 2 attached to this Report.</w:t>
      </w:r>
    </w:p>
    <w:p w14:paraId="2AF73937" w14:textId="77777777" w:rsidR="001053EA" w:rsidRPr="00A241F5" w:rsidRDefault="001053EA" w:rsidP="001B1088"/>
    <w:p w14:paraId="695ABC7C" w14:textId="77777777" w:rsidR="001053EA" w:rsidRPr="00A241F5" w:rsidRDefault="001053EA" w:rsidP="001B1088">
      <w:pPr>
        <w:rPr>
          <w:b/>
          <w:i/>
        </w:rPr>
      </w:pPr>
    </w:p>
    <w:p w14:paraId="58FDC227" w14:textId="711C7CEA" w:rsidR="001053EA" w:rsidRPr="00A241F5" w:rsidRDefault="001053EA" w:rsidP="001053EA">
      <w:pPr>
        <w:keepNext/>
        <w:widowControl/>
        <w:spacing w:after="160"/>
        <w:rPr>
          <w:rFonts w:cs="Arial"/>
          <w:b/>
          <w:i/>
        </w:rPr>
      </w:pPr>
      <w:r w:rsidRPr="00A241F5">
        <w:rPr>
          <w:rFonts w:cs="Arial"/>
          <w:b/>
          <w:i/>
        </w:rPr>
        <w:t>The Hong Kong Solicitors</w:t>
      </w:r>
      <w:r w:rsidR="00C61F4B" w:rsidRPr="00A241F5">
        <w:rPr>
          <w:rFonts w:cs="Arial"/>
          <w:b/>
          <w:i/>
        </w:rPr>
        <w:t>'</w:t>
      </w:r>
      <w:r w:rsidRPr="00A241F5">
        <w:rPr>
          <w:rFonts w:cs="Arial"/>
          <w:b/>
          <w:i/>
        </w:rPr>
        <w:t xml:space="preserve"> Guide to Professional Conduct </w:t>
      </w:r>
    </w:p>
    <w:p w14:paraId="1A0E3B98" w14:textId="76B5CC7C" w:rsidR="001053EA" w:rsidRPr="00A241F5" w:rsidRDefault="00596671" w:rsidP="001053EA">
      <w:pPr>
        <w:widowControl/>
        <w:tabs>
          <w:tab w:val="clear" w:pos="1418"/>
          <w:tab w:val="left" w:pos="1440"/>
        </w:tabs>
        <w:rPr>
          <w:rFonts w:cs="Arial"/>
        </w:rPr>
      </w:pPr>
      <w:r w:rsidRPr="00A241F5">
        <w:rPr>
          <w:rFonts w:cs="Arial"/>
        </w:rPr>
        <w:t>12.15</w:t>
      </w:r>
      <w:r w:rsidR="001053EA" w:rsidRPr="00A241F5">
        <w:rPr>
          <w:rFonts w:cs="Arial"/>
        </w:rPr>
        <w:tab/>
        <w:t>Principle 4.17 of The Hong Kong Solicitors</w:t>
      </w:r>
      <w:r w:rsidR="00C61F4B" w:rsidRPr="00A241F5">
        <w:rPr>
          <w:rFonts w:cs="Arial"/>
        </w:rPr>
        <w:t>'</w:t>
      </w:r>
      <w:r w:rsidR="001053EA" w:rsidRPr="00A241F5">
        <w:rPr>
          <w:rFonts w:cs="Arial"/>
        </w:rPr>
        <w:t xml:space="preserve"> Guide to Professional Conduct confirms that </w:t>
      </w:r>
      <w:r w:rsidR="00C61F4B" w:rsidRPr="00A241F5">
        <w:rPr>
          <w:rFonts w:cs="Arial"/>
          <w:i/>
        </w:rPr>
        <w:t>"</w:t>
      </w:r>
      <w:r w:rsidR="001053EA" w:rsidRPr="00A241F5">
        <w:rPr>
          <w:rFonts w:cs="Arial"/>
        </w:rPr>
        <w:t>[</w:t>
      </w:r>
      <w:r w:rsidR="001053EA" w:rsidRPr="00A241F5">
        <w:rPr>
          <w:rFonts w:cs="Arial"/>
          <w:i/>
        </w:rPr>
        <w:t>a</w:t>
      </w:r>
      <w:r w:rsidR="001053EA" w:rsidRPr="00A241F5">
        <w:rPr>
          <w:rFonts w:cs="Arial"/>
        </w:rPr>
        <w:t>]</w:t>
      </w:r>
      <w:r w:rsidR="001053EA" w:rsidRPr="00A241F5">
        <w:rPr>
          <w:rFonts w:cs="Arial"/>
          <w:i/>
        </w:rPr>
        <w:t xml:space="preserve"> solicitor may not enter into a contingency fee arrangement for acting in contentious proceedings</w:t>
      </w:r>
      <w:r w:rsidR="00C61F4B" w:rsidRPr="00A241F5">
        <w:rPr>
          <w:rFonts w:cs="Arial"/>
          <w:i/>
        </w:rPr>
        <w:t>"</w:t>
      </w:r>
      <w:r w:rsidR="001053EA" w:rsidRPr="00A241F5">
        <w:rPr>
          <w:rFonts w:cs="Arial"/>
        </w:rPr>
        <w:t xml:space="preserve">.  </w:t>
      </w:r>
    </w:p>
    <w:p w14:paraId="2F10FF80" w14:textId="77777777" w:rsidR="001053EA" w:rsidRPr="00A241F5" w:rsidRDefault="001053EA" w:rsidP="001B1088"/>
    <w:p w14:paraId="3A269DB4" w14:textId="4548FE88" w:rsidR="001053EA" w:rsidRPr="00A241F5" w:rsidRDefault="00596671" w:rsidP="001053EA">
      <w:pPr>
        <w:widowControl/>
        <w:tabs>
          <w:tab w:val="clear" w:pos="1418"/>
          <w:tab w:val="left" w:pos="1440"/>
        </w:tabs>
        <w:rPr>
          <w:rFonts w:cs="Arial"/>
        </w:rPr>
      </w:pPr>
      <w:r w:rsidRPr="00A241F5">
        <w:rPr>
          <w:rFonts w:cs="Arial"/>
        </w:rPr>
        <w:lastRenderedPageBreak/>
        <w:t>12.16</w:t>
      </w:r>
      <w:r w:rsidR="001053EA" w:rsidRPr="00A241F5">
        <w:rPr>
          <w:rFonts w:cs="Arial"/>
        </w:rPr>
        <w:tab/>
        <w:t>We recommend that The Hong Kong Solicitors</w:t>
      </w:r>
      <w:r w:rsidR="00C61F4B" w:rsidRPr="00A241F5">
        <w:rPr>
          <w:rFonts w:cs="Arial"/>
        </w:rPr>
        <w:t>'</w:t>
      </w:r>
      <w:r w:rsidR="001053EA" w:rsidRPr="00A241F5">
        <w:rPr>
          <w:rFonts w:cs="Arial"/>
        </w:rPr>
        <w:t xml:space="preserve"> Guide to Professional Conduct should be amended to enable work relating to Arbitration to be excluded from such restriction. </w:t>
      </w:r>
    </w:p>
    <w:p w14:paraId="767CD1D0" w14:textId="77777777" w:rsidR="001053EA" w:rsidRPr="00A241F5" w:rsidRDefault="001053EA" w:rsidP="001053EA">
      <w:pPr>
        <w:widowControl/>
        <w:tabs>
          <w:tab w:val="clear" w:pos="1418"/>
          <w:tab w:val="left" w:pos="1440"/>
        </w:tabs>
        <w:rPr>
          <w:rFonts w:cs="Arial"/>
        </w:rPr>
      </w:pPr>
      <w:r w:rsidRPr="00A241F5">
        <w:rPr>
          <w:rFonts w:cs="Arial"/>
        </w:rPr>
        <w:t xml:space="preserve"> </w:t>
      </w:r>
    </w:p>
    <w:p w14:paraId="2D8A0715" w14:textId="77777777" w:rsidR="001053EA" w:rsidRPr="00A241F5" w:rsidRDefault="001053EA" w:rsidP="001053EA">
      <w:pPr>
        <w:widowControl/>
        <w:tabs>
          <w:tab w:val="clear" w:pos="1418"/>
          <w:tab w:val="left" w:pos="1440"/>
        </w:tabs>
        <w:rPr>
          <w:rFonts w:cs="Arial"/>
        </w:rPr>
      </w:pPr>
    </w:p>
    <w:p w14:paraId="233E8779" w14:textId="323E6E5C" w:rsidR="001053EA" w:rsidRPr="00A241F5" w:rsidRDefault="001053EA" w:rsidP="00BE0A49">
      <w:pPr>
        <w:keepNext/>
        <w:keepLines/>
        <w:widowControl/>
        <w:rPr>
          <w:rFonts w:cs="Arial"/>
          <w:b/>
          <w:i/>
        </w:rPr>
      </w:pPr>
      <w:r w:rsidRPr="00A241F5">
        <w:rPr>
          <w:rFonts w:cs="Arial"/>
          <w:b/>
          <w:i/>
        </w:rPr>
        <w:t>HKBA</w:t>
      </w:r>
      <w:r w:rsidR="00C61F4B" w:rsidRPr="00A241F5">
        <w:rPr>
          <w:rFonts w:cs="Arial"/>
          <w:b/>
          <w:i/>
        </w:rPr>
        <w:t>'</w:t>
      </w:r>
      <w:r w:rsidR="00DC7906" w:rsidRPr="00A241F5">
        <w:rPr>
          <w:rFonts w:cs="Arial"/>
          <w:b/>
          <w:i/>
        </w:rPr>
        <w:t>s</w:t>
      </w:r>
      <w:r w:rsidRPr="00A241F5">
        <w:rPr>
          <w:rFonts w:cs="Arial"/>
          <w:b/>
          <w:i/>
        </w:rPr>
        <w:t xml:space="preserve"> Code of Conduct</w:t>
      </w:r>
    </w:p>
    <w:p w14:paraId="6585F63F" w14:textId="77777777" w:rsidR="001B1088" w:rsidRPr="00A241F5" w:rsidRDefault="001B1088" w:rsidP="001053EA">
      <w:pPr>
        <w:widowControl/>
        <w:tabs>
          <w:tab w:val="clear" w:pos="1418"/>
          <w:tab w:val="left" w:pos="1440"/>
        </w:tabs>
        <w:rPr>
          <w:rFonts w:cs="Arial"/>
        </w:rPr>
      </w:pPr>
    </w:p>
    <w:p w14:paraId="30DFF471" w14:textId="0278A4CD" w:rsidR="001053EA" w:rsidRPr="00A241F5" w:rsidRDefault="00596671" w:rsidP="001053EA">
      <w:pPr>
        <w:widowControl/>
        <w:tabs>
          <w:tab w:val="clear" w:pos="1418"/>
          <w:tab w:val="left" w:pos="1440"/>
        </w:tabs>
      </w:pPr>
      <w:r w:rsidRPr="00A241F5">
        <w:rPr>
          <w:rFonts w:cs="Arial"/>
        </w:rPr>
        <w:t>12.17</w:t>
      </w:r>
      <w:r w:rsidR="001053EA" w:rsidRPr="00A241F5">
        <w:rPr>
          <w:rFonts w:cs="Arial"/>
        </w:rPr>
        <w:tab/>
      </w:r>
      <w:r w:rsidR="001053EA" w:rsidRPr="00A241F5">
        <w:t>Paragraph 9.9 of the HKBA</w:t>
      </w:r>
      <w:r w:rsidR="00C61F4B" w:rsidRPr="00A241F5">
        <w:t>'</w:t>
      </w:r>
      <w:r w:rsidR="00DC7906" w:rsidRPr="00A241F5">
        <w:t>s</w:t>
      </w:r>
      <w:r w:rsidR="001053EA" w:rsidRPr="00A241F5">
        <w:t xml:space="preserve"> Code of Conduct prohibits practising barristers from accepting a brief or instructions on terms that payment of fees shall depend upon or be related to a contingency, including in relation to Arbitration.</w:t>
      </w:r>
    </w:p>
    <w:p w14:paraId="1AB15178" w14:textId="77777777" w:rsidR="001053EA" w:rsidRPr="00A241F5" w:rsidRDefault="001053EA" w:rsidP="001053EA">
      <w:pPr>
        <w:widowControl/>
        <w:tabs>
          <w:tab w:val="clear" w:pos="1418"/>
          <w:tab w:val="left" w:pos="1440"/>
        </w:tabs>
      </w:pPr>
    </w:p>
    <w:p w14:paraId="1F8F27D6" w14:textId="75BA1CB5" w:rsidR="001053EA" w:rsidRPr="00A241F5" w:rsidRDefault="00596671" w:rsidP="001053EA">
      <w:pPr>
        <w:widowControl/>
        <w:tabs>
          <w:tab w:val="clear" w:pos="1418"/>
          <w:tab w:val="left" w:pos="1440"/>
        </w:tabs>
      </w:pPr>
      <w:r w:rsidRPr="00A241F5">
        <w:t>12.18</w:t>
      </w:r>
      <w:r w:rsidR="001053EA" w:rsidRPr="00A241F5">
        <w:tab/>
      </w:r>
      <w:r w:rsidR="001053EA" w:rsidRPr="00A241F5">
        <w:rPr>
          <w:rFonts w:cs="Arial"/>
        </w:rPr>
        <w:t xml:space="preserve">In addition, as referred to in paragraph 1.31 of the Consultation Paper, the </w:t>
      </w:r>
      <w:r w:rsidR="00C61F4B" w:rsidRPr="00A241F5">
        <w:rPr>
          <w:rFonts w:cs="Arial"/>
        </w:rPr>
        <w:t>"</w:t>
      </w:r>
      <w:r w:rsidR="001053EA" w:rsidRPr="00A241F5">
        <w:rPr>
          <w:rFonts w:cs="Arial"/>
        </w:rPr>
        <w:t>cab-rank</w:t>
      </w:r>
      <w:r w:rsidR="00C61F4B" w:rsidRPr="00A241F5">
        <w:rPr>
          <w:rFonts w:cs="Arial"/>
        </w:rPr>
        <w:t>"</w:t>
      </w:r>
      <w:r w:rsidR="001053EA" w:rsidRPr="00A241F5">
        <w:rPr>
          <w:rFonts w:cs="Arial"/>
        </w:rPr>
        <w:t xml:space="preserve"> rule requires barrister to </w:t>
      </w:r>
      <w:r w:rsidR="00C61F4B" w:rsidRPr="00A241F5">
        <w:rPr>
          <w:i/>
        </w:rPr>
        <w:t>"</w:t>
      </w:r>
      <w:r w:rsidR="001053EA" w:rsidRPr="00A241F5">
        <w:rPr>
          <w:i/>
        </w:rPr>
        <w:t>accept any brief to appear before a court or instruction to provide any other legal services in a field in which the barrister practises or professes to practise</w:t>
      </w:r>
      <w:r w:rsidR="00C61F4B" w:rsidRPr="00A241F5">
        <w:rPr>
          <w:i/>
        </w:rPr>
        <w:t>"</w:t>
      </w:r>
      <w:r w:rsidR="001053EA" w:rsidRPr="00A241F5">
        <w:t>.</w:t>
      </w:r>
      <w:r w:rsidR="001053EA" w:rsidRPr="00A241F5">
        <w:rPr>
          <w:vertAlign w:val="superscript"/>
        </w:rPr>
        <w:footnoteReference w:id="63"/>
      </w:r>
      <w:r w:rsidR="001053EA" w:rsidRPr="00A241F5">
        <w:t xml:space="preserve">  We note the comments of the HKBA, and agree that the rule is plainly inconsistent with CFAs given that the latter </w:t>
      </w:r>
      <w:r w:rsidR="00C61F4B" w:rsidRPr="00A241F5">
        <w:rPr>
          <w:i/>
        </w:rPr>
        <w:t>"</w:t>
      </w:r>
      <w:r w:rsidR="001053EA" w:rsidRPr="00A241F5">
        <w:rPr>
          <w:i/>
        </w:rPr>
        <w:t>will require barristers to decide whether to take risks in the hope of reward</w:t>
      </w:r>
      <w:r w:rsidR="00C61F4B" w:rsidRPr="00A241F5">
        <w:rPr>
          <w:i/>
        </w:rPr>
        <w:t>"</w:t>
      </w:r>
      <w:r w:rsidR="001053EA" w:rsidRPr="00A241F5">
        <w:rPr>
          <w:i/>
        </w:rPr>
        <w:t>,</w:t>
      </w:r>
      <w:r w:rsidR="00273912" w:rsidRPr="00A241F5">
        <w:rPr>
          <w:rStyle w:val="FootnoteReference"/>
          <w:sz w:val="24"/>
          <w:szCs w:val="24"/>
        </w:rPr>
        <w:footnoteReference w:id="64"/>
      </w:r>
      <w:r w:rsidR="001053EA" w:rsidRPr="00A241F5">
        <w:rPr>
          <w:i/>
        </w:rPr>
        <w:t xml:space="preserve"> </w:t>
      </w:r>
      <w:r w:rsidR="001053EA" w:rsidRPr="00A241F5">
        <w:t>which would depend</w:t>
      </w:r>
      <w:r w:rsidR="001053EA" w:rsidRPr="00A241F5">
        <w:rPr>
          <w:i/>
        </w:rPr>
        <w:t xml:space="preserve"> </w:t>
      </w:r>
      <w:r w:rsidR="00C61F4B" w:rsidRPr="00A241F5">
        <w:rPr>
          <w:i/>
        </w:rPr>
        <w:t>"</w:t>
      </w:r>
      <w:r w:rsidR="001053EA" w:rsidRPr="00A241F5">
        <w:rPr>
          <w:i/>
        </w:rPr>
        <w:t>precisely upon their views of their clients</w:t>
      </w:r>
      <w:r w:rsidR="00C61F4B" w:rsidRPr="00A241F5">
        <w:rPr>
          <w:i/>
        </w:rPr>
        <w:t>'</w:t>
      </w:r>
      <w:r w:rsidR="001053EA" w:rsidRPr="00A241F5">
        <w:rPr>
          <w:i/>
        </w:rPr>
        <w:t xml:space="preserve"> prospects of success</w:t>
      </w:r>
      <w:r w:rsidR="00C61F4B" w:rsidRPr="00A241F5">
        <w:rPr>
          <w:i/>
        </w:rPr>
        <w:t>"</w:t>
      </w:r>
      <w:r w:rsidR="001053EA" w:rsidRPr="00A241F5">
        <w:t>.</w:t>
      </w:r>
      <w:r w:rsidR="001053EA" w:rsidRPr="00A241F5">
        <w:rPr>
          <w:vertAlign w:val="superscript"/>
        </w:rPr>
        <w:footnoteReference w:id="65"/>
      </w:r>
    </w:p>
    <w:p w14:paraId="51F7FBE8" w14:textId="77777777" w:rsidR="001053EA" w:rsidRPr="00A241F5" w:rsidRDefault="001053EA" w:rsidP="001053EA">
      <w:pPr>
        <w:widowControl/>
        <w:tabs>
          <w:tab w:val="clear" w:pos="1418"/>
          <w:tab w:val="left" w:pos="1440"/>
        </w:tabs>
      </w:pPr>
    </w:p>
    <w:p w14:paraId="3187D1D8" w14:textId="054187A6" w:rsidR="001053EA" w:rsidRPr="00A241F5" w:rsidRDefault="00596671" w:rsidP="001053EA">
      <w:pPr>
        <w:widowControl/>
        <w:tabs>
          <w:tab w:val="clear" w:pos="1418"/>
          <w:tab w:val="left" w:pos="1440"/>
        </w:tabs>
      </w:pPr>
      <w:r w:rsidRPr="00A241F5">
        <w:t>12.19</w:t>
      </w:r>
      <w:r w:rsidR="001053EA" w:rsidRPr="00A241F5">
        <w:tab/>
        <w:t>Accordingly, we recommend that the HKBA</w:t>
      </w:r>
      <w:r w:rsidR="00C61F4B" w:rsidRPr="00A241F5">
        <w:t>'</w:t>
      </w:r>
      <w:r w:rsidR="00DC7906" w:rsidRPr="00A241F5">
        <w:t>s</w:t>
      </w:r>
      <w:r w:rsidR="001053EA" w:rsidRPr="00A241F5">
        <w:t xml:space="preserve"> Code of Conduct should be amended so that barristers may enter into ORFS</w:t>
      </w:r>
      <w:r w:rsidR="000D1328" w:rsidRPr="00A241F5">
        <w:t>s</w:t>
      </w:r>
      <w:r w:rsidR="001053EA" w:rsidRPr="00A241F5">
        <w:t xml:space="preserve"> for Arbitration and may decline instructions involving ORFSs for Arbitration.  </w:t>
      </w:r>
    </w:p>
    <w:p w14:paraId="428A07C9" w14:textId="77777777" w:rsidR="001053EA" w:rsidRPr="00A241F5" w:rsidRDefault="001053EA" w:rsidP="001053EA">
      <w:pPr>
        <w:widowControl/>
        <w:tabs>
          <w:tab w:val="clear" w:pos="1418"/>
          <w:tab w:val="left" w:pos="1440"/>
        </w:tabs>
        <w:rPr>
          <w:b/>
          <w:i/>
        </w:rPr>
      </w:pPr>
    </w:p>
    <w:p w14:paraId="44598C53" w14:textId="77777777" w:rsidR="001053EA" w:rsidRPr="00A241F5" w:rsidRDefault="001053EA" w:rsidP="001053EA">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t xml:space="preserve">Final Recommendation 11 </w:t>
      </w:r>
    </w:p>
    <w:p w14:paraId="3A6931FB" w14:textId="77777777" w:rsidR="001053EA" w:rsidRPr="00A241F5" w:rsidRDefault="001053EA" w:rsidP="001053EA">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70AF3E40" w14:textId="77777777" w:rsidR="001053EA" w:rsidRPr="00A241F5" w:rsidRDefault="001053EA" w:rsidP="001053EA">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t>We recommend that:</w:t>
      </w:r>
    </w:p>
    <w:p w14:paraId="0DF415D0" w14:textId="77777777" w:rsidR="001053EA" w:rsidRPr="00A241F5" w:rsidRDefault="001053EA" w:rsidP="001053EA">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67F58A14" w14:textId="27302700" w:rsidR="001053EA" w:rsidRPr="00A241F5" w:rsidRDefault="001053EA" w:rsidP="001053EA">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(a)</w:t>
      </w:r>
      <w:r w:rsidRPr="00A241F5">
        <w:rPr>
          <w:rFonts w:cs="Arial"/>
        </w:rPr>
        <w:tab/>
        <w:t xml:space="preserve">Section 64(1)(b) of the Legal Practitioners Ordinance should be amended </w:t>
      </w:r>
      <w:r w:rsidR="000851BB" w:rsidRPr="00A241F5">
        <w:rPr>
          <w:rFonts w:cs="Arial"/>
        </w:rPr>
        <w:t xml:space="preserve">such that </w:t>
      </w:r>
      <w:r w:rsidRPr="00A241F5">
        <w:rPr>
          <w:rFonts w:cs="Arial"/>
        </w:rPr>
        <w:t xml:space="preserve">CFAs, DBAs and Hybrid DBAs for Arbitration </w:t>
      </w:r>
      <w:r w:rsidR="000851BB" w:rsidRPr="00A241F5">
        <w:rPr>
          <w:rFonts w:cs="Arial"/>
        </w:rPr>
        <w:t xml:space="preserve">would be valid </w:t>
      </w:r>
      <w:r w:rsidRPr="00A241F5">
        <w:rPr>
          <w:rFonts w:cs="Arial"/>
        </w:rPr>
        <w:t>under Hong Kong law.</w:t>
      </w:r>
      <w:r w:rsidR="00D12591" w:rsidRPr="00A241F5">
        <w:rPr>
          <w:rStyle w:val="FootnoteReference"/>
          <w:rFonts w:cs="Arial"/>
          <w:sz w:val="24"/>
        </w:rPr>
        <w:footnoteReference w:id="66"/>
      </w:r>
    </w:p>
    <w:p w14:paraId="51BEFFF9" w14:textId="77777777" w:rsidR="001053EA" w:rsidRPr="00A241F5" w:rsidRDefault="001053EA" w:rsidP="001053EA">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p>
    <w:p w14:paraId="276EE413" w14:textId="3F7F969C" w:rsidR="001053EA" w:rsidRPr="00A241F5" w:rsidRDefault="001053EA" w:rsidP="001053EA">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(b)</w:t>
      </w:r>
      <w:r w:rsidRPr="00A241F5">
        <w:rPr>
          <w:rFonts w:cs="Arial"/>
        </w:rPr>
        <w:tab/>
        <w:t xml:space="preserve">Part 10A of the Arbitration Ordinance should be amended, and a new Part 10B added, </w:t>
      </w:r>
      <w:r w:rsidR="000851BB" w:rsidRPr="00A241F5">
        <w:rPr>
          <w:rFonts w:cs="Arial"/>
        </w:rPr>
        <w:t xml:space="preserve">such that </w:t>
      </w:r>
      <w:r w:rsidRPr="00A241F5">
        <w:rPr>
          <w:rFonts w:cs="Arial"/>
        </w:rPr>
        <w:t xml:space="preserve">CFAs, DBAs and Hybrid DBAs for Arbitration </w:t>
      </w:r>
      <w:r w:rsidR="000851BB" w:rsidRPr="00A241F5">
        <w:rPr>
          <w:rFonts w:cs="Arial"/>
        </w:rPr>
        <w:t xml:space="preserve">would be valid </w:t>
      </w:r>
      <w:r w:rsidRPr="00A241F5">
        <w:rPr>
          <w:rFonts w:cs="Arial"/>
        </w:rPr>
        <w:t>under Hong Kong law.</w:t>
      </w:r>
      <w:r w:rsidR="00FD2953" w:rsidRPr="00A241F5">
        <w:rPr>
          <w:rStyle w:val="FootnoteReference"/>
          <w:rFonts w:cs="Arial"/>
          <w:sz w:val="24"/>
        </w:rPr>
        <w:footnoteReference w:id="67"/>
      </w:r>
    </w:p>
    <w:p w14:paraId="643086F7" w14:textId="77777777" w:rsidR="001053EA" w:rsidRPr="00A241F5" w:rsidRDefault="001053EA" w:rsidP="001053EA">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p>
    <w:p w14:paraId="34B6984F" w14:textId="443A41EB" w:rsidR="001053EA" w:rsidRPr="00A241F5" w:rsidRDefault="001053EA" w:rsidP="001053EA">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(c)</w:t>
      </w:r>
      <w:r w:rsidRPr="00A241F5">
        <w:rPr>
          <w:rFonts w:cs="Arial"/>
        </w:rPr>
        <w:tab/>
        <w:t>The Hong Kong Solicitors</w:t>
      </w:r>
      <w:r w:rsidR="00C61F4B" w:rsidRPr="00A241F5">
        <w:rPr>
          <w:rFonts w:cs="Arial"/>
        </w:rPr>
        <w:t>'</w:t>
      </w:r>
      <w:r w:rsidRPr="00A241F5">
        <w:rPr>
          <w:rFonts w:cs="Arial"/>
        </w:rPr>
        <w:t xml:space="preserve"> Guide to Professional Conduct should be amended to permit solicitors to enter into ORFSs for Arbitration.</w:t>
      </w:r>
    </w:p>
    <w:p w14:paraId="5BFDDBB9" w14:textId="77777777" w:rsidR="001053EA" w:rsidRPr="00A241F5" w:rsidRDefault="001053EA" w:rsidP="001053EA">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pPr>
    </w:p>
    <w:p w14:paraId="34E33DEC" w14:textId="2E7AF9EE" w:rsidR="001053EA" w:rsidRPr="00A241F5" w:rsidRDefault="001053EA" w:rsidP="001053EA">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pPr>
      <w:r w:rsidRPr="00A241F5">
        <w:rPr>
          <w:rFonts w:cs="Arial"/>
        </w:rPr>
        <w:lastRenderedPageBreak/>
        <w:t>(d)</w:t>
      </w:r>
      <w:r w:rsidRPr="00A241F5">
        <w:rPr>
          <w:rFonts w:cs="Arial"/>
        </w:rPr>
        <w:tab/>
        <w:t>The HKBA</w:t>
      </w:r>
      <w:r w:rsidR="00C61F4B" w:rsidRPr="00A241F5">
        <w:rPr>
          <w:rFonts w:cs="Arial"/>
        </w:rPr>
        <w:t>'</w:t>
      </w:r>
      <w:r w:rsidR="00DC7906" w:rsidRPr="00A241F5">
        <w:rPr>
          <w:rFonts w:cs="Arial"/>
        </w:rPr>
        <w:t>s</w:t>
      </w:r>
      <w:r w:rsidRPr="00A241F5">
        <w:rPr>
          <w:rFonts w:cs="Arial"/>
        </w:rPr>
        <w:t xml:space="preserve"> Code of Conduct should be amended so that barristers may enter into ORFSs for Arbitration, and may also decline instructions involving ORFSs for Arbitration.</w:t>
      </w:r>
    </w:p>
    <w:p w14:paraId="0CCB47ED" w14:textId="77777777" w:rsidR="001053EA" w:rsidRPr="00A241F5" w:rsidRDefault="001053EA" w:rsidP="001053EA">
      <w:pPr>
        <w:rPr>
          <w:b/>
        </w:rPr>
      </w:pPr>
    </w:p>
    <w:p w14:paraId="6D93039F" w14:textId="77777777" w:rsidR="001053EA" w:rsidRPr="00A241F5" w:rsidRDefault="001053EA" w:rsidP="001053EA">
      <w:pPr>
        <w:rPr>
          <w:rFonts w:cs="Arial"/>
        </w:rPr>
        <w:sectPr w:rsidR="001053EA" w:rsidRPr="00A241F5" w:rsidSect="00303CFD">
          <w:footnotePr>
            <w:numRestart w:val="eachSect"/>
          </w:footnotePr>
          <w:pgSz w:w="11906" w:h="16838" w:code="9"/>
          <w:pgMar w:top="1440" w:right="1800" w:bottom="1440" w:left="1800" w:header="720" w:footer="720" w:gutter="0"/>
          <w:cols w:space="425"/>
          <w:docGrid w:linePitch="360"/>
        </w:sectPr>
      </w:pPr>
    </w:p>
    <w:p w14:paraId="3BFED144" w14:textId="5A104A23" w:rsidR="001053EA" w:rsidRPr="00A241F5" w:rsidRDefault="001053EA" w:rsidP="00BE0A49">
      <w:pPr>
        <w:pStyle w:val="Heading1"/>
      </w:pPr>
      <w:r w:rsidRPr="00A241F5">
        <w:lastRenderedPageBreak/>
        <w:t>Chapter 1</w:t>
      </w:r>
      <w:bookmarkStart w:id="25" w:name="Chapter13"/>
      <w:bookmarkEnd w:id="25"/>
      <w:r w:rsidR="00070C53" w:rsidRPr="00A241F5">
        <w:t>3</w:t>
      </w:r>
    </w:p>
    <w:p w14:paraId="39AEE3C3" w14:textId="77777777" w:rsidR="001053EA" w:rsidRPr="00A241F5" w:rsidRDefault="001053EA" w:rsidP="001053EA">
      <w:pPr>
        <w:keepNext/>
        <w:widowControl/>
        <w:tabs>
          <w:tab w:val="clear" w:pos="1418"/>
          <w:tab w:val="left" w:pos="1440"/>
        </w:tabs>
        <w:outlineLvl w:val="0"/>
        <w:rPr>
          <w:rFonts w:cs="Arial"/>
          <w:b/>
          <w:bCs/>
          <w:kern w:val="52"/>
          <w:sz w:val="32"/>
          <w:szCs w:val="32"/>
        </w:rPr>
      </w:pPr>
    </w:p>
    <w:p w14:paraId="7C0E54DF" w14:textId="77777777" w:rsidR="001053EA" w:rsidRPr="00A241F5" w:rsidRDefault="001053EA" w:rsidP="00BE0A49">
      <w:pPr>
        <w:pStyle w:val="Heading1"/>
      </w:pPr>
      <w:r w:rsidRPr="00A241F5">
        <w:t>Form of regulation</w:t>
      </w:r>
    </w:p>
    <w:p w14:paraId="4CDAF3C9" w14:textId="376E82AA" w:rsidR="001053EA" w:rsidRPr="00A241F5" w:rsidRDefault="001053EA" w:rsidP="001053EA">
      <w:pPr>
        <w:keepNext/>
        <w:widowControl/>
        <w:tabs>
          <w:tab w:val="clear" w:pos="1418"/>
          <w:tab w:val="left" w:pos="1440"/>
        </w:tabs>
        <w:outlineLvl w:val="0"/>
        <w:rPr>
          <w:rFonts w:cs="Arial"/>
          <w:bCs/>
          <w:kern w:val="52"/>
          <w:sz w:val="32"/>
          <w:szCs w:val="32"/>
        </w:rPr>
      </w:pPr>
      <w:r w:rsidRPr="00A241F5">
        <w:rPr>
          <w:rFonts w:cs="Arial"/>
          <w:bCs/>
          <w:kern w:val="52"/>
          <w:sz w:val="32"/>
          <w:szCs w:val="32"/>
        </w:rPr>
        <w:t>________________</w:t>
      </w:r>
      <w:r w:rsidR="001B1088" w:rsidRPr="00A241F5">
        <w:rPr>
          <w:rFonts w:cs="Arial"/>
          <w:bCs/>
          <w:kern w:val="52"/>
          <w:sz w:val="32"/>
          <w:szCs w:val="32"/>
        </w:rPr>
        <w:t>__</w:t>
      </w:r>
    </w:p>
    <w:p w14:paraId="06C73AC4" w14:textId="77777777" w:rsidR="001053EA" w:rsidRPr="00A241F5" w:rsidRDefault="001053EA" w:rsidP="001053EA"/>
    <w:p w14:paraId="24263564" w14:textId="77777777" w:rsidR="001053EA" w:rsidRPr="00A241F5" w:rsidRDefault="001053EA" w:rsidP="001053EA"/>
    <w:p w14:paraId="68DAFC0A" w14:textId="77777777" w:rsidR="001053EA" w:rsidRPr="00A241F5" w:rsidRDefault="001053EA" w:rsidP="001053EA"/>
    <w:p w14:paraId="34040D1C" w14:textId="3F5F48E3" w:rsidR="001053EA" w:rsidRPr="00A241F5" w:rsidRDefault="001053EA" w:rsidP="001053EA">
      <w:pPr>
        <w:keepNext/>
        <w:widowControl/>
        <w:tabs>
          <w:tab w:val="clear" w:pos="1418"/>
          <w:tab w:val="left" w:pos="1440"/>
        </w:tabs>
        <w:jc w:val="left"/>
        <w:outlineLvl w:val="1"/>
        <w:rPr>
          <w:rFonts w:cs="Arial"/>
          <w:b/>
          <w:bCs/>
          <w:sz w:val="28"/>
          <w:szCs w:val="28"/>
        </w:rPr>
      </w:pPr>
      <w:r w:rsidRPr="00A241F5">
        <w:rPr>
          <w:rFonts w:cs="Arial"/>
          <w:b/>
          <w:bCs/>
          <w:sz w:val="28"/>
          <w:szCs w:val="28"/>
        </w:rPr>
        <w:t>Responses to the Sub-committee</w:t>
      </w:r>
      <w:r w:rsidR="00C61F4B" w:rsidRPr="00A241F5">
        <w:rPr>
          <w:rFonts w:cs="Arial"/>
          <w:b/>
          <w:bCs/>
          <w:sz w:val="28"/>
          <w:szCs w:val="28"/>
        </w:rPr>
        <w:t>'</w:t>
      </w:r>
      <w:r w:rsidRPr="00A241F5">
        <w:rPr>
          <w:rFonts w:cs="Arial"/>
          <w:b/>
          <w:bCs/>
          <w:sz w:val="28"/>
          <w:szCs w:val="28"/>
        </w:rPr>
        <w:t>s Recommendation 12</w:t>
      </w:r>
    </w:p>
    <w:p w14:paraId="1A77C038" w14:textId="77777777" w:rsidR="001053EA" w:rsidRPr="00A241F5" w:rsidRDefault="001053EA" w:rsidP="001053EA">
      <w:pPr>
        <w:widowControl/>
        <w:tabs>
          <w:tab w:val="clear" w:pos="1418"/>
          <w:tab w:val="left" w:pos="1440"/>
        </w:tabs>
        <w:rPr>
          <w:rFonts w:cs="Arial"/>
        </w:rPr>
      </w:pPr>
    </w:p>
    <w:p w14:paraId="7F15DE09" w14:textId="5C66635F" w:rsidR="001053EA" w:rsidRPr="00A241F5" w:rsidRDefault="001B1088" w:rsidP="001053EA">
      <w:pPr>
        <w:widowControl/>
        <w:tabs>
          <w:tab w:val="clear" w:pos="1418"/>
          <w:tab w:val="left" w:pos="1440"/>
        </w:tabs>
        <w:rPr>
          <w:rFonts w:cs="Arial"/>
        </w:rPr>
      </w:pPr>
      <w:r w:rsidRPr="00A241F5">
        <w:rPr>
          <w:rFonts w:cs="Arial"/>
        </w:rPr>
        <w:t>13.</w:t>
      </w:r>
      <w:r w:rsidR="001053EA" w:rsidRPr="00A241F5">
        <w:rPr>
          <w:rFonts w:cs="Arial"/>
        </w:rPr>
        <w:t>1</w:t>
      </w:r>
      <w:r w:rsidR="001053EA" w:rsidRPr="00A241F5">
        <w:rPr>
          <w:rFonts w:cs="Arial"/>
        </w:rPr>
        <w:tab/>
        <w:t xml:space="preserve">This Chapter discusses the responses regarding Recommendation 12 in the Consultation Paper: </w:t>
      </w:r>
    </w:p>
    <w:p w14:paraId="04F3FA3B" w14:textId="77777777" w:rsidR="001053EA" w:rsidRPr="00A241F5" w:rsidRDefault="001053EA" w:rsidP="001053EA">
      <w:pPr>
        <w:widowControl/>
        <w:tabs>
          <w:tab w:val="clear" w:pos="1418"/>
          <w:tab w:val="left" w:pos="1440"/>
        </w:tabs>
        <w:rPr>
          <w:rFonts w:cs="Arial"/>
        </w:rPr>
      </w:pPr>
    </w:p>
    <w:p w14:paraId="1ED35FC2" w14:textId="3D2ABF65" w:rsidR="001053EA" w:rsidRPr="00A241F5" w:rsidRDefault="00C61F4B" w:rsidP="00C22562">
      <w:pPr>
        <w:widowControl/>
        <w:tabs>
          <w:tab w:val="clear" w:pos="1418"/>
          <w:tab w:val="left" w:pos="1440"/>
        </w:tabs>
        <w:ind w:left="720" w:rightChars="271" w:right="650"/>
        <w:rPr>
          <w:rFonts w:cs="Arial"/>
        </w:rPr>
      </w:pPr>
      <w:r w:rsidRPr="00A241F5">
        <w:rPr>
          <w:rFonts w:cs="Arial"/>
          <w:i/>
        </w:rPr>
        <w:t>"</w:t>
      </w:r>
      <w:r w:rsidR="001053EA" w:rsidRPr="00A241F5">
        <w:rPr>
          <w:rFonts w:cs="Arial"/>
          <w:i/>
        </w:rPr>
        <w:t>The Sub-committee recommends that the more detailed regulatory framework should be set out in subsidiary legislation which, like the legislative amendments referred to in Recommendation 11, should be simple and clear to avoid frivolous technical challenges</w:t>
      </w:r>
      <w:r w:rsidR="001053EA" w:rsidRPr="00A241F5">
        <w:rPr>
          <w:rFonts w:cs="Arial"/>
        </w:rPr>
        <w:t xml:space="preserve">.  </w:t>
      </w:r>
      <w:r w:rsidR="001053EA" w:rsidRPr="00A241F5">
        <w:rPr>
          <w:rFonts w:cs="Arial"/>
          <w:i/>
        </w:rPr>
        <w:t>Client-care provisions should also be set out in professional codes of conduct so that trivial breaches can be dealt with expeditiously by the professional bodies</w:t>
      </w:r>
      <w:r w:rsidR="001053EA" w:rsidRPr="00A241F5">
        <w:rPr>
          <w:rFonts w:cs="Arial"/>
        </w:rPr>
        <w:t>.</w:t>
      </w:r>
      <w:r w:rsidRPr="00A241F5">
        <w:rPr>
          <w:rFonts w:cs="Arial"/>
          <w:i/>
        </w:rPr>
        <w:t>"</w:t>
      </w:r>
      <w:r w:rsidR="001053EA" w:rsidRPr="00A241F5">
        <w:rPr>
          <w:rFonts w:cs="Arial"/>
          <w:vertAlign w:val="superscript"/>
        </w:rPr>
        <w:footnoteReference w:id="68"/>
      </w:r>
    </w:p>
    <w:p w14:paraId="2E0D6367" w14:textId="77777777" w:rsidR="001053EA" w:rsidRPr="00A241F5" w:rsidRDefault="001053EA" w:rsidP="001053EA">
      <w:pPr>
        <w:widowControl/>
        <w:tabs>
          <w:tab w:val="clear" w:pos="1418"/>
          <w:tab w:val="left" w:pos="1440"/>
        </w:tabs>
        <w:rPr>
          <w:rFonts w:cs="Arial"/>
        </w:rPr>
      </w:pPr>
    </w:p>
    <w:p w14:paraId="52AB3CA9" w14:textId="261B7D47" w:rsidR="001053EA" w:rsidRPr="00A241F5" w:rsidRDefault="001B1088" w:rsidP="001053EA">
      <w:pPr>
        <w:widowControl/>
        <w:tabs>
          <w:tab w:val="clear" w:pos="1418"/>
          <w:tab w:val="left" w:pos="1440"/>
        </w:tabs>
        <w:rPr>
          <w:rFonts w:cs="Arial"/>
        </w:rPr>
      </w:pPr>
      <w:r w:rsidRPr="00A241F5">
        <w:rPr>
          <w:rFonts w:cs="Arial"/>
        </w:rPr>
        <w:t>13.</w:t>
      </w:r>
      <w:r w:rsidR="001053EA" w:rsidRPr="00A241F5">
        <w:rPr>
          <w:rFonts w:cs="Arial"/>
        </w:rPr>
        <w:t>2</w:t>
      </w:r>
      <w:r w:rsidR="001053EA" w:rsidRPr="00A241F5">
        <w:rPr>
          <w:rFonts w:cs="Arial"/>
        </w:rPr>
        <w:tab/>
        <w:t xml:space="preserve">Again, almost all the Respondents who commented specifically on this issue agreed with the thrust of Recommendation 12, although a number commented that the framework could take the form of subsidiary legislation and/or professional codes of conduct. </w:t>
      </w:r>
    </w:p>
    <w:p w14:paraId="0E42FBDC" w14:textId="77777777" w:rsidR="001053EA" w:rsidRPr="00A241F5" w:rsidRDefault="001053EA" w:rsidP="001053EA">
      <w:pPr>
        <w:widowControl/>
        <w:tabs>
          <w:tab w:val="clear" w:pos="1418"/>
          <w:tab w:val="left" w:pos="1440"/>
        </w:tabs>
        <w:rPr>
          <w:rFonts w:cs="Arial"/>
        </w:rPr>
      </w:pPr>
    </w:p>
    <w:p w14:paraId="3AC4DFF1" w14:textId="77777777" w:rsidR="001053EA" w:rsidRPr="00A241F5" w:rsidRDefault="001053EA" w:rsidP="001053EA">
      <w:pPr>
        <w:widowControl/>
        <w:tabs>
          <w:tab w:val="clear" w:pos="1418"/>
          <w:tab w:val="left" w:pos="1440"/>
        </w:tabs>
        <w:rPr>
          <w:rFonts w:cs="Arial"/>
        </w:rPr>
      </w:pPr>
    </w:p>
    <w:p w14:paraId="2DD00328" w14:textId="695070DD" w:rsidR="001053EA" w:rsidRPr="00A241F5" w:rsidRDefault="001053EA" w:rsidP="001053EA">
      <w:pPr>
        <w:keepNext/>
        <w:widowControl/>
        <w:tabs>
          <w:tab w:val="clear" w:pos="1418"/>
          <w:tab w:val="left" w:pos="1440"/>
        </w:tabs>
        <w:outlineLvl w:val="1"/>
        <w:rPr>
          <w:rFonts w:cs="Arial"/>
          <w:b/>
          <w:bCs/>
          <w:i/>
        </w:rPr>
      </w:pPr>
      <w:r w:rsidRPr="00A241F5">
        <w:rPr>
          <w:rFonts w:cs="Arial"/>
          <w:b/>
          <w:bCs/>
          <w:i/>
        </w:rPr>
        <w:t>Comments from Respondents who supported Recommendation 12</w:t>
      </w:r>
    </w:p>
    <w:p w14:paraId="2015F0DF" w14:textId="77777777" w:rsidR="001053EA" w:rsidRPr="00A241F5" w:rsidRDefault="001053EA" w:rsidP="001053EA">
      <w:pPr>
        <w:widowControl/>
        <w:tabs>
          <w:tab w:val="clear" w:pos="1418"/>
          <w:tab w:val="left" w:pos="1440"/>
        </w:tabs>
        <w:rPr>
          <w:rFonts w:cs="Arial"/>
        </w:rPr>
      </w:pPr>
    </w:p>
    <w:p w14:paraId="04C65E9A" w14:textId="3DE5020C" w:rsidR="001053EA" w:rsidRPr="00A241F5" w:rsidRDefault="001B1088" w:rsidP="001053EA">
      <w:pPr>
        <w:widowControl/>
        <w:tabs>
          <w:tab w:val="clear" w:pos="1418"/>
          <w:tab w:val="left" w:pos="1440"/>
        </w:tabs>
        <w:rPr>
          <w:rFonts w:cs="Arial"/>
        </w:rPr>
      </w:pPr>
      <w:r w:rsidRPr="00A241F5">
        <w:rPr>
          <w:rFonts w:cs="Arial"/>
        </w:rPr>
        <w:t>13.</w:t>
      </w:r>
      <w:r w:rsidR="001053EA" w:rsidRPr="00A241F5">
        <w:rPr>
          <w:rFonts w:cs="Arial"/>
        </w:rPr>
        <w:t>3</w:t>
      </w:r>
      <w:r w:rsidR="001053EA" w:rsidRPr="00A241F5">
        <w:rPr>
          <w:rFonts w:cs="Arial"/>
        </w:rPr>
        <w:tab/>
        <w:t xml:space="preserve">A number of Respondents who commented on Recommendation 12 favoured the more detailed regulatory framework being set out in subsidiary legislation.  </w:t>
      </w:r>
    </w:p>
    <w:p w14:paraId="4927E747" w14:textId="77777777" w:rsidR="001053EA" w:rsidRPr="00A241F5" w:rsidRDefault="001053EA" w:rsidP="001053EA">
      <w:pPr>
        <w:widowControl/>
        <w:tabs>
          <w:tab w:val="clear" w:pos="1418"/>
          <w:tab w:val="left" w:pos="1440"/>
        </w:tabs>
        <w:rPr>
          <w:rFonts w:cs="Arial"/>
        </w:rPr>
      </w:pPr>
    </w:p>
    <w:p w14:paraId="1AE06483" w14:textId="6DE04174" w:rsidR="001053EA" w:rsidRPr="00A241F5" w:rsidRDefault="001B1088" w:rsidP="001053EA">
      <w:pPr>
        <w:widowControl/>
        <w:tabs>
          <w:tab w:val="clear" w:pos="1418"/>
          <w:tab w:val="left" w:pos="1440"/>
        </w:tabs>
        <w:rPr>
          <w:rFonts w:cs="Arial"/>
        </w:rPr>
      </w:pPr>
      <w:r w:rsidRPr="00A241F5">
        <w:rPr>
          <w:rFonts w:cs="Arial"/>
        </w:rPr>
        <w:t>13.</w:t>
      </w:r>
      <w:r w:rsidR="001053EA" w:rsidRPr="00A241F5">
        <w:rPr>
          <w:rFonts w:cs="Arial"/>
        </w:rPr>
        <w:t>4</w:t>
      </w:r>
      <w:r w:rsidR="001053EA" w:rsidRPr="00A241F5">
        <w:rPr>
          <w:rFonts w:cs="Arial"/>
        </w:rPr>
        <w:tab/>
        <w:t xml:space="preserve">As a litigation funder put it: </w:t>
      </w:r>
      <w:r w:rsidR="00C61F4B" w:rsidRPr="00A241F5">
        <w:rPr>
          <w:rFonts w:cs="Arial"/>
          <w:i/>
        </w:rPr>
        <w:t>"</w:t>
      </w:r>
      <w:r w:rsidR="001053EA" w:rsidRPr="00A241F5">
        <w:rPr>
          <w:rFonts w:cs="Arial"/>
        </w:rPr>
        <w:t>[</w:t>
      </w:r>
      <w:r w:rsidR="00EF258A" w:rsidRPr="00A241F5">
        <w:rPr>
          <w:rFonts w:cs="Arial"/>
          <w:i/>
        </w:rPr>
        <w:t>T</w:t>
      </w:r>
      <w:r w:rsidR="001053EA" w:rsidRPr="00A241F5">
        <w:rPr>
          <w:rFonts w:cs="Arial"/>
          <w:i/>
        </w:rPr>
        <w:t>he funder</w:t>
      </w:r>
      <w:r w:rsidR="001053EA" w:rsidRPr="00A241F5">
        <w:rPr>
          <w:rFonts w:cs="Arial"/>
        </w:rPr>
        <w:t xml:space="preserve">] </w:t>
      </w:r>
      <w:r w:rsidR="001053EA" w:rsidRPr="00A241F5">
        <w:rPr>
          <w:rFonts w:cs="Arial"/>
          <w:i/>
        </w:rPr>
        <w:t>agrees with the Sub-committee</w:t>
      </w:r>
      <w:r w:rsidR="00C61F4B" w:rsidRPr="00A241F5">
        <w:rPr>
          <w:rFonts w:cs="Arial"/>
          <w:i/>
        </w:rPr>
        <w:t>'</w:t>
      </w:r>
      <w:r w:rsidR="001053EA" w:rsidRPr="00A241F5">
        <w:rPr>
          <w:rFonts w:cs="Arial"/>
          <w:i/>
        </w:rPr>
        <w:t>s recommendation that the more detailed regulatory framework should be set out in subsidiary legislation which should be in simple and clear terms</w:t>
      </w:r>
      <w:r w:rsidR="00EF258A" w:rsidRPr="00A241F5">
        <w:rPr>
          <w:rFonts w:cs="Arial"/>
          <w:i/>
        </w:rPr>
        <w:t>.</w:t>
      </w:r>
      <w:r w:rsidR="00C61F4B" w:rsidRPr="00A241F5">
        <w:rPr>
          <w:rFonts w:cs="Arial"/>
          <w:i/>
        </w:rPr>
        <w:t>"</w:t>
      </w:r>
      <w:r w:rsidR="001053EA" w:rsidRPr="00A241F5">
        <w:rPr>
          <w:rFonts w:cs="Arial"/>
        </w:rPr>
        <w:t xml:space="preserve">  The funder noted that </w:t>
      </w:r>
      <w:r w:rsidR="00C61F4B" w:rsidRPr="00A241F5">
        <w:rPr>
          <w:rFonts w:cs="Arial"/>
          <w:i/>
        </w:rPr>
        <w:t>"</w:t>
      </w:r>
      <w:r w:rsidR="001053EA" w:rsidRPr="00A241F5">
        <w:rPr>
          <w:rFonts w:cs="Arial"/>
          <w:i/>
        </w:rPr>
        <w:t>client-care provisions should be contained in a separate Code of Practice for Lawyers entering into ORFS for arbitration</w:t>
      </w:r>
      <w:r w:rsidR="00C61F4B" w:rsidRPr="00A241F5">
        <w:rPr>
          <w:rFonts w:cs="Arial"/>
          <w:i/>
        </w:rPr>
        <w:t>"</w:t>
      </w:r>
      <w:r w:rsidR="00923002" w:rsidRPr="00A241F5">
        <w:rPr>
          <w:rFonts w:cs="Arial"/>
        </w:rPr>
        <w:t>.</w:t>
      </w:r>
    </w:p>
    <w:p w14:paraId="2D7CC7A3" w14:textId="77777777" w:rsidR="001053EA" w:rsidRPr="00A241F5" w:rsidRDefault="001053EA" w:rsidP="001053EA">
      <w:pPr>
        <w:widowControl/>
        <w:tabs>
          <w:tab w:val="clear" w:pos="1418"/>
          <w:tab w:val="left" w:pos="1440"/>
        </w:tabs>
        <w:rPr>
          <w:rFonts w:cs="Arial"/>
        </w:rPr>
      </w:pPr>
    </w:p>
    <w:p w14:paraId="27038E16" w14:textId="2413D14B" w:rsidR="001053EA" w:rsidRPr="00A241F5" w:rsidRDefault="001B1088" w:rsidP="001053EA">
      <w:pPr>
        <w:widowControl/>
        <w:tabs>
          <w:tab w:val="clear" w:pos="1418"/>
          <w:tab w:val="left" w:pos="1440"/>
        </w:tabs>
        <w:rPr>
          <w:rFonts w:cs="Arial"/>
        </w:rPr>
      </w:pPr>
      <w:r w:rsidRPr="00A241F5">
        <w:rPr>
          <w:rFonts w:cs="Arial"/>
        </w:rPr>
        <w:t>13.</w:t>
      </w:r>
      <w:r w:rsidR="001053EA" w:rsidRPr="00A241F5">
        <w:rPr>
          <w:rFonts w:cs="Arial"/>
        </w:rPr>
        <w:t>5</w:t>
      </w:r>
      <w:r w:rsidR="001053EA" w:rsidRPr="00A241F5">
        <w:rPr>
          <w:rFonts w:cs="Arial"/>
        </w:rPr>
        <w:tab/>
        <w:t xml:space="preserve">Other Respondents, an arbitrator/barrister and a professional body, agreed, noting as follows: </w:t>
      </w:r>
      <w:r w:rsidR="00C61F4B" w:rsidRPr="00A241F5">
        <w:rPr>
          <w:rFonts w:cs="Arial"/>
          <w:i/>
        </w:rPr>
        <w:t>"</w:t>
      </w:r>
      <w:r w:rsidR="00EF258A" w:rsidRPr="00A241F5">
        <w:rPr>
          <w:rFonts w:cs="Arial"/>
        </w:rPr>
        <w:t>[</w:t>
      </w:r>
      <w:r w:rsidR="00EF258A" w:rsidRPr="00A241F5">
        <w:rPr>
          <w:rFonts w:cs="Arial"/>
          <w:i/>
        </w:rPr>
        <w:t>W</w:t>
      </w:r>
      <w:r w:rsidR="00EF258A" w:rsidRPr="00A241F5">
        <w:rPr>
          <w:rFonts w:cs="Arial"/>
        </w:rPr>
        <w:t>]</w:t>
      </w:r>
      <w:r w:rsidR="00EF258A" w:rsidRPr="00A241F5">
        <w:rPr>
          <w:rFonts w:cs="Arial"/>
          <w:i/>
        </w:rPr>
        <w:t xml:space="preserve">e </w:t>
      </w:r>
      <w:r w:rsidR="001053EA" w:rsidRPr="00A241F5">
        <w:rPr>
          <w:rFonts w:cs="Arial"/>
          <w:i/>
        </w:rPr>
        <w:t>agree that if a detailed regulatory framework becomes necessary, it should be set out in subsidiary legislation.  It is further agreed that client care provisions should be set out</w:t>
      </w:r>
      <w:r w:rsidR="00EF258A" w:rsidRPr="00A241F5">
        <w:rPr>
          <w:rFonts w:cs="Arial"/>
          <w:i/>
        </w:rPr>
        <w:t>.</w:t>
      </w:r>
      <w:r w:rsidR="00C61F4B" w:rsidRPr="00A241F5">
        <w:rPr>
          <w:rFonts w:cs="Arial"/>
          <w:i/>
        </w:rPr>
        <w:t>"</w:t>
      </w:r>
    </w:p>
    <w:p w14:paraId="4E6E9B9D" w14:textId="77777777" w:rsidR="001053EA" w:rsidRPr="00A241F5" w:rsidRDefault="001053EA" w:rsidP="001053EA">
      <w:pPr>
        <w:widowControl/>
        <w:tabs>
          <w:tab w:val="clear" w:pos="1418"/>
          <w:tab w:val="left" w:pos="1440"/>
        </w:tabs>
        <w:rPr>
          <w:rFonts w:cs="Arial"/>
        </w:rPr>
      </w:pPr>
    </w:p>
    <w:p w14:paraId="0454A3AA" w14:textId="53ED9A3C" w:rsidR="001053EA" w:rsidRPr="00A241F5" w:rsidRDefault="001B1088" w:rsidP="001053EA">
      <w:pPr>
        <w:widowControl/>
        <w:tabs>
          <w:tab w:val="clear" w:pos="1418"/>
          <w:tab w:val="left" w:pos="1440"/>
        </w:tabs>
        <w:rPr>
          <w:rFonts w:cs="Arial"/>
        </w:rPr>
      </w:pPr>
      <w:r w:rsidRPr="00A241F5">
        <w:rPr>
          <w:rFonts w:cs="Arial"/>
        </w:rPr>
        <w:t>13.</w:t>
      </w:r>
      <w:r w:rsidR="001053EA" w:rsidRPr="00A241F5">
        <w:rPr>
          <w:rFonts w:cs="Arial"/>
        </w:rPr>
        <w:t>6</w:t>
      </w:r>
      <w:r w:rsidR="001053EA" w:rsidRPr="00A241F5">
        <w:rPr>
          <w:rFonts w:cs="Arial"/>
        </w:rPr>
        <w:tab/>
        <w:t>A law firm and a chamber of commerce also agreed for the same reasons they had supported Recommendation 11.</w:t>
      </w:r>
    </w:p>
    <w:p w14:paraId="3E176B21" w14:textId="77777777" w:rsidR="001053EA" w:rsidRPr="00A241F5" w:rsidRDefault="001053EA" w:rsidP="001053EA">
      <w:pPr>
        <w:widowControl/>
        <w:tabs>
          <w:tab w:val="clear" w:pos="1418"/>
          <w:tab w:val="left" w:pos="1440"/>
        </w:tabs>
        <w:rPr>
          <w:rFonts w:cs="Arial"/>
        </w:rPr>
      </w:pPr>
    </w:p>
    <w:p w14:paraId="23759793" w14:textId="7DA7EAD2" w:rsidR="001053EA" w:rsidRPr="00A241F5" w:rsidRDefault="001B1088" w:rsidP="001053EA">
      <w:pPr>
        <w:widowControl/>
        <w:tabs>
          <w:tab w:val="clear" w:pos="1418"/>
          <w:tab w:val="left" w:pos="1440"/>
        </w:tabs>
        <w:rPr>
          <w:rFonts w:cs="Arial"/>
        </w:rPr>
      </w:pPr>
      <w:r w:rsidRPr="00A241F5">
        <w:rPr>
          <w:rFonts w:cs="Arial"/>
        </w:rPr>
        <w:lastRenderedPageBreak/>
        <w:t>13.</w:t>
      </w:r>
      <w:r w:rsidR="001053EA" w:rsidRPr="00A241F5">
        <w:rPr>
          <w:rFonts w:cs="Arial"/>
        </w:rPr>
        <w:t>7</w:t>
      </w:r>
      <w:r w:rsidR="001053EA" w:rsidRPr="00A241F5">
        <w:rPr>
          <w:rFonts w:cs="Arial"/>
        </w:rPr>
        <w:tab/>
        <w:t xml:space="preserve">A regulator noted that it had </w:t>
      </w:r>
      <w:r w:rsidR="00C61F4B" w:rsidRPr="00A241F5">
        <w:rPr>
          <w:rFonts w:cs="Arial"/>
          <w:i/>
        </w:rPr>
        <w:t>"</w:t>
      </w:r>
      <w:r w:rsidR="001053EA" w:rsidRPr="00A241F5">
        <w:rPr>
          <w:rFonts w:cs="Arial"/>
          <w:i/>
        </w:rPr>
        <w:t>no preference to the most appropriate instrument(s) to provide for the detailed regulatory framework</w:t>
      </w:r>
      <w:r w:rsidR="00C61F4B" w:rsidRPr="00A241F5">
        <w:rPr>
          <w:rFonts w:cs="Arial"/>
          <w:i/>
        </w:rPr>
        <w:t>"</w:t>
      </w:r>
      <w:r w:rsidR="001053EA" w:rsidRPr="00A241F5">
        <w:rPr>
          <w:rFonts w:cs="Arial"/>
        </w:rPr>
        <w:t xml:space="preserve">, but agreed </w:t>
      </w:r>
      <w:r w:rsidR="00C61F4B" w:rsidRPr="00A241F5">
        <w:rPr>
          <w:rFonts w:cs="Arial"/>
          <w:i/>
        </w:rPr>
        <w:t>"</w:t>
      </w:r>
      <w:r w:rsidR="001053EA" w:rsidRPr="00A241F5">
        <w:rPr>
          <w:rFonts w:cs="Arial"/>
          <w:i/>
        </w:rPr>
        <w:t>with the need to set out appropriate provisions, whether in a statute or in the relevant professional codes of conduct, to deal proportionately with potential breaches of the regulatory framework</w:t>
      </w:r>
      <w:r w:rsidR="00C61F4B" w:rsidRPr="00A241F5">
        <w:rPr>
          <w:rFonts w:cs="Arial"/>
          <w:i/>
        </w:rPr>
        <w:t>"</w:t>
      </w:r>
      <w:r w:rsidR="00923002" w:rsidRPr="00A241F5">
        <w:rPr>
          <w:rFonts w:cs="Arial"/>
        </w:rPr>
        <w:t>.</w:t>
      </w:r>
    </w:p>
    <w:p w14:paraId="714499EC" w14:textId="77777777" w:rsidR="001053EA" w:rsidRPr="00A241F5" w:rsidRDefault="001053EA" w:rsidP="001053EA">
      <w:pPr>
        <w:widowControl/>
        <w:tabs>
          <w:tab w:val="clear" w:pos="1418"/>
          <w:tab w:val="left" w:pos="1440"/>
        </w:tabs>
        <w:rPr>
          <w:rFonts w:cs="Arial"/>
        </w:rPr>
      </w:pPr>
    </w:p>
    <w:p w14:paraId="6FD1E36D" w14:textId="6D0EFBAC" w:rsidR="001053EA" w:rsidRPr="00A241F5" w:rsidRDefault="001B1088" w:rsidP="001053EA">
      <w:pPr>
        <w:widowControl/>
        <w:tabs>
          <w:tab w:val="clear" w:pos="1418"/>
          <w:tab w:val="left" w:pos="1440"/>
        </w:tabs>
        <w:rPr>
          <w:rFonts w:cs="Arial"/>
          <w:i/>
        </w:rPr>
      </w:pPr>
      <w:r w:rsidRPr="00A241F5">
        <w:rPr>
          <w:rFonts w:cs="Arial"/>
        </w:rPr>
        <w:t>13.</w:t>
      </w:r>
      <w:r w:rsidR="001053EA" w:rsidRPr="00A241F5">
        <w:rPr>
          <w:rFonts w:cs="Arial"/>
        </w:rPr>
        <w:t>8</w:t>
      </w:r>
      <w:r w:rsidR="001053EA" w:rsidRPr="00A241F5">
        <w:rPr>
          <w:rFonts w:cs="Arial"/>
        </w:rPr>
        <w:tab/>
        <w:t xml:space="preserve">The HKBA noted that </w:t>
      </w:r>
      <w:r w:rsidR="00C61F4B" w:rsidRPr="00A241F5">
        <w:rPr>
          <w:rFonts w:cs="Arial"/>
          <w:i/>
        </w:rPr>
        <w:t>"</w:t>
      </w:r>
      <w:r w:rsidR="001053EA" w:rsidRPr="00A241F5">
        <w:rPr>
          <w:rFonts w:cs="Arial"/>
        </w:rPr>
        <w:t>[</w:t>
      </w:r>
      <w:r w:rsidR="001053EA" w:rsidRPr="00A241F5">
        <w:rPr>
          <w:rFonts w:cs="Arial"/>
          <w:i/>
        </w:rPr>
        <w:t>p</w:t>
      </w:r>
      <w:r w:rsidR="001053EA" w:rsidRPr="00A241F5">
        <w:rPr>
          <w:rFonts w:cs="Arial"/>
        </w:rPr>
        <w:t>]</w:t>
      </w:r>
      <w:r w:rsidR="001053EA" w:rsidRPr="00A241F5">
        <w:rPr>
          <w:rFonts w:cs="Arial"/>
          <w:i/>
        </w:rPr>
        <w:t>arties are regularly represented in international arbitration taking place in Hong Kong by lawyers from other jurisdictions who are neither admitted in Hong Kong nor registered as foreign lawyers</w:t>
      </w:r>
      <w:r w:rsidR="00C61F4B" w:rsidRPr="00A241F5">
        <w:rPr>
          <w:rFonts w:cs="Arial"/>
          <w:i/>
        </w:rPr>
        <w:t>"</w:t>
      </w:r>
      <w:r w:rsidR="001053EA" w:rsidRPr="00A241F5">
        <w:rPr>
          <w:rFonts w:cs="Arial"/>
        </w:rPr>
        <w:t>, and was concerned that these lawyers would not be bound by Hong Kong</w:t>
      </w:r>
      <w:r w:rsidR="00C61F4B" w:rsidRPr="00A241F5">
        <w:rPr>
          <w:rFonts w:cs="Arial"/>
        </w:rPr>
        <w:t>'</w:t>
      </w:r>
      <w:r w:rsidR="001053EA" w:rsidRPr="00A241F5">
        <w:rPr>
          <w:rFonts w:cs="Arial"/>
        </w:rPr>
        <w:t xml:space="preserve">s regulatory framework. </w:t>
      </w:r>
    </w:p>
    <w:p w14:paraId="620EADA1" w14:textId="77777777" w:rsidR="001053EA" w:rsidRPr="00A241F5" w:rsidRDefault="001053EA" w:rsidP="001053EA">
      <w:pPr>
        <w:widowControl/>
        <w:tabs>
          <w:tab w:val="clear" w:pos="1418"/>
          <w:tab w:val="left" w:pos="1440"/>
        </w:tabs>
        <w:rPr>
          <w:rFonts w:cs="Arial"/>
        </w:rPr>
      </w:pPr>
    </w:p>
    <w:p w14:paraId="6827DC04" w14:textId="2750EDC2" w:rsidR="001053EA" w:rsidRPr="00A241F5" w:rsidRDefault="001B1088" w:rsidP="001053EA">
      <w:pPr>
        <w:widowControl/>
        <w:tabs>
          <w:tab w:val="clear" w:pos="1418"/>
          <w:tab w:val="left" w:pos="1440"/>
        </w:tabs>
        <w:rPr>
          <w:rFonts w:cs="Arial"/>
        </w:rPr>
      </w:pPr>
      <w:r w:rsidRPr="00A241F5">
        <w:rPr>
          <w:rFonts w:cs="Arial"/>
        </w:rPr>
        <w:t>13.</w:t>
      </w:r>
      <w:r w:rsidR="001053EA" w:rsidRPr="00A241F5">
        <w:rPr>
          <w:rFonts w:cs="Arial"/>
        </w:rPr>
        <w:t>9</w:t>
      </w:r>
      <w:r w:rsidR="001053EA" w:rsidRPr="00A241F5">
        <w:rPr>
          <w:rFonts w:cs="Arial"/>
        </w:rPr>
        <w:tab/>
        <w:t xml:space="preserve">In terms of the specific provisions which should be provided for, the HKBA and the litigation funder submitted that </w:t>
      </w:r>
      <w:r w:rsidR="00A10EC2" w:rsidRPr="00A241F5">
        <w:rPr>
          <w:rFonts w:cs="Arial"/>
        </w:rPr>
        <w:t xml:space="preserve">a </w:t>
      </w:r>
      <w:r w:rsidR="001053EA" w:rsidRPr="00A241F5">
        <w:rPr>
          <w:rFonts w:cs="Arial"/>
        </w:rPr>
        <w:t xml:space="preserve">separate Code of Practice for Lawyers entering into ORFSs for Arbitration should contain provisions similar to the Code of Practice for Third Party </w:t>
      </w:r>
      <w:r w:rsidR="004F4009" w:rsidRPr="00A241F5">
        <w:rPr>
          <w:rFonts w:cs="Arial"/>
        </w:rPr>
        <w:t>Funding of Arbitration</w:t>
      </w:r>
      <w:r w:rsidR="001053EA" w:rsidRPr="00A241F5">
        <w:rPr>
          <w:rFonts w:cs="Arial"/>
        </w:rPr>
        <w:t xml:space="preserve">.  For example, like litigation funders, Lawyers should be subject to minimum capital adequacy requirements when the Lawyers agree to fund costs other than their own legal fees.  There should also be </w:t>
      </w:r>
      <w:r w:rsidR="00C61F4B" w:rsidRPr="00A241F5">
        <w:rPr>
          <w:rFonts w:cs="Arial"/>
          <w:i/>
        </w:rPr>
        <w:t>"</w:t>
      </w:r>
      <w:r w:rsidR="001053EA" w:rsidRPr="00A241F5">
        <w:rPr>
          <w:rFonts w:cs="Arial"/>
        </w:rPr>
        <w:t>[</w:t>
      </w:r>
      <w:r w:rsidR="001053EA" w:rsidRPr="00A241F5">
        <w:rPr>
          <w:rFonts w:cs="Arial"/>
          <w:i/>
        </w:rPr>
        <w:t>p</w:t>
      </w:r>
      <w:r w:rsidR="001053EA" w:rsidRPr="00A241F5">
        <w:rPr>
          <w:rFonts w:cs="Arial"/>
        </w:rPr>
        <w:t>]</w:t>
      </w:r>
      <w:r w:rsidR="001053EA" w:rsidRPr="00A241F5">
        <w:rPr>
          <w:rFonts w:cs="Arial"/>
          <w:i/>
        </w:rPr>
        <w:t>rotection against potential divergence of interests: for example, independent advice should be available (at the lawyer</w:t>
      </w:r>
      <w:r w:rsidR="00C61F4B" w:rsidRPr="00A241F5">
        <w:rPr>
          <w:rFonts w:cs="Arial"/>
          <w:i/>
        </w:rPr>
        <w:t>'</w:t>
      </w:r>
      <w:r w:rsidR="001053EA" w:rsidRPr="00A241F5">
        <w:rPr>
          <w:rFonts w:cs="Arial"/>
          <w:i/>
        </w:rPr>
        <w:t>s cost) in respect of settlement discussions or other potential areas of divergence in interests between the lawyers acting on an ORFS basis and their clients</w:t>
      </w:r>
      <w:r w:rsidR="00C61F4B" w:rsidRPr="00A241F5">
        <w:rPr>
          <w:rFonts w:cs="Arial"/>
          <w:i/>
        </w:rPr>
        <w:t>"</w:t>
      </w:r>
      <w:r w:rsidR="00923002" w:rsidRPr="00A241F5">
        <w:rPr>
          <w:rFonts w:cs="Arial"/>
        </w:rPr>
        <w:t>.</w:t>
      </w:r>
      <w:r w:rsidR="001053EA" w:rsidRPr="00A241F5">
        <w:rPr>
          <w:rFonts w:cs="Arial"/>
        </w:rPr>
        <w:t xml:space="preserve">  Other suggestions included </w:t>
      </w:r>
      <w:r w:rsidR="00C61F4B" w:rsidRPr="00A241F5">
        <w:rPr>
          <w:rFonts w:cs="Arial"/>
          <w:i/>
        </w:rPr>
        <w:t>"</w:t>
      </w:r>
      <w:r w:rsidR="001053EA" w:rsidRPr="00A241F5">
        <w:rPr>
          <w:rFonts w:cs="Arial"/>
        </w:rPr>
        <w:t>[</w:t>
      </w:r>
      <w:r w:rsidR="001053EA" w:rsidRPr="00A241F5">
        <w:rPr>
          <w:rFonts w:cs="Arial"/>
          <w:i/>
        </w:rPr>
        <w:t>r</w:t>
      </w:r>
      <w:r w:rsidR="001053EA" w:rsidRPr="00A241F5">
        <w:rPr>
          <w:rFonts w:cs="Arial"/>
        </w:rPr>
        <w:t>]</w:t>
      </w:r>
      <w:r w:rsidR="001053EA" w:rsidRPr="00A241F5">
        <w:rPr>
          <w:rFonts w:cs="Arial"/>
          <w:i/>
        </w:rPr>
        <w:t>equirements to ensure clients receive clear and accessible information, and independent advice, in relation to the ORFS and any associated ATE insurance</w:t>
      </w:r>
      <w:r w:rsidR="00C61F4B" w:rsidRPr="00A241F5">
        <w:rPr>
          <w:rFonts w:cs="Arial"/>
          <w:i/>
        </w:rPr>
        <w:t>"</w:t>
      </w:r>
      <w:r w:rsidR="001053EA" w:rsidRPr="00A241F5">
        <w:rPr>
          <w:rFonts w:cs="Arial"/>
        </w:rPr>
        <w:t xml:space="preserve">, having </w:t>
      </w:r>
      <w:r w:rsidR="00C61F4B" w:rsidRPr="00A241F5">
        <w:rPr>
          <w:rFonts w:cs="Arial"/>
          <w:i/>
        </w:rPr>
        <w:t>"</w:t>
      </w:r>
      <w:r w:rsidR="001053EA" w:rsidRPr="00A241F5">
        <w:rPr>
          <w:rFonts w:cs="Arial"/>
        </w:rPr>
        <w:t>[</w:t>
      </w:r>
      <w:r w:rsidR="001053EA" w:rsidRPr="00A241F5">
        <w:rPr>
          <w:rFonts w:cs="Arial"/>
          <w:i/>
        </w:rPr>
        <w:t>r</w:t>
      </w:r>
      <w:r w:rsidR="001053EA" w:rsidRPr="00A241F5">
        <w:rPr>
          <w:rFonts w:cs="Arial"/>
        </w:rPr>
        <w:t>]</w:t>
      </w:r>
      <w:r w:rsidR="001053EA" w:rsidRPr="00A241F5">
        <w:rPr>
          <w:rFonts w:cs="Arial"/>
          <w:i/>
        </w:rPr>
        <w:t>eporting and complaints procedures</w:t>
      </w:r>
      <w:r w:rsidR="00C61F4B" w:rsidRPr="00A241F5">
        <w:rPr>
          <w:rFonts w:cs="Arial"/>
          <w:i/>
        </w:rPr>
        <w:t>"</w:t>
      </w:r>
      <w:r w:rsidR="001053EA" w:rsidRPr="00A241F5">
        <w:rPr>
          <w:rFonts w:cs="Arial"/>
          <w:i/>
        </w:rPr>
        <w:t>,</w:t>
      </w:r>
      <w:r w:rsidR="001053EA" w:rsidRPr="00A241F5">
        <w:rPr>
          <w:rFonts w:cs="Arial"/>
        </w:rPr>
        <w:t xml:space="preserve"> and standards and practices governing </w:t>
      </w:r>
      <w:r w:rsidR="00C61F4B" w:rsidRPr="00A241F5">
        <w:rPr>
          <w:rFonts w:cs="Arial"/>
          <w:i/>
        </w:rPr>
        <w:t>"</w:t>
      </w:r>
      <w:r w:rsidR="001053EA" w:rsidRPr="00A241F5">
        <w:rPr>
          <w:rFonts w:cs="Arial"/>
          <w:i/>
        </w:rPr>
        <w:t>promotional materials</w:t>
      </w:r>
      <w:r w:rsidR="00C61F4B" w:rsidRPr="00A241F5">
        <w:rPr>
          <w:rFonts w:cs="Arial"/>
          <w:i/>
        </w:rPr>
        <w:t>"</w:t>
      </w:r>
      <w:r w:rsidR="001053EA" w:rsidRPr="00A241F5">
        <w:rPr>
          <w:rFonts w:cs="Arial"/>
        </w:rPr>
        <w:t xml:space="preserve">.    </w:t>
      </w:r>
    </w:p>
    <w:p w14:paraId="5C30802F" w14:textId="77777777" w:rsidR="001053EA" w:rsidRPr="00A241F5" w:rsidRDefault="001053EA" w:rsidP="001053EA">
      <w:pPr>
        <w:widowControl/>
        <w:tabs>
          <w:tab w:val="clear" w:pos="1418"/>
          <w:tab w:val="left" w:pos="1440"/>
        </w:tabs>
        <w:rPr>
          <w:rFonts w:cs="Arial"/>
          <w:b/>
        </w:rPr>
      </w:pPr>
    </w:p>
    <w:p w14:paraId="4BB27925" w14:textId="77777777" w:rsidR="001053EA" w:rsidRPr="00A241F5" w:rsidRDefault="001053EA" w:rsidP="001053EA">
      <w:pPr>
        <w:widowControl/>
        <w:tabs>
          <w:tab w:val="clear" w:pos="1418"/>
          <w:tab w:val="left" w:pos="1440"/>
        </w:tabs>
        <w:rPr>
          <w:rFonts w:cs="Arial"/>
        </w:rPr>
      </w:pPr>
    </w:p>
    <w:p w14:paraId="18DE53C4" w14:textId="0009ACC6" w:rsidR="001053EA" w:rsidRPr="00A241F5" w:rsidRDefault="001053EA" w:rsidP="001053EA">
      <w:pPr>
        <w:keepNext/>
        <w:keepLines/>
        <w:widowControl/>
        <w:tabs>
          <w:tab w:val="clear" w:pos="1418"/>
          <w:tab w:val="left" w:pos="1440"/>
        </w:tabs>
        <w:outlineLvl w:val="1"/>
        <w:rPr>
          <w:rFonts w:cs="Arial"/>
          <w:b/>
          <w:bCs/>
          <w:i/>
        </w:rPr>
      </w:pPr>
      <w:r w:rsidRPr="00A241F5">
        <w:rPr>
          <w:rFonts w:cs="Arial"/>
          <w:b/>
          <w:bCs/>
          <w:i/>
        </w:rPr>
        <w:t xml:space="preserve">Comments from Respondents who opposed </w:t>
      </w:r>
      <w:r w:rsidR="00AC6867" w:rsidRPr="00A241F5">
        <w:rPr>
          <w:rFonts w:cs="Arial"/>
          <w:b/>
          <w:bCs/>
          <w:i/>
        </w:rPr>
        <w:t>R</w:t>
      </w:r>
      <w:r w:rsidRPr="00A241F5">
        <w:rPr>
          <w:rFonts w:cs="Arial"/>
          <w:b/>
          <w:bCs/>
          <w:i/>
        </w:rPr>
        <w:t>ecommendation</w:t>
      </w:r>
      <w:r w:rsidR="00AC6867" w:rsidRPr="00A241F5">
        <w:rPr>
          <w:rFonts w:cs="Arial"/>
          <w:b/>
          <w:bCs/>
          <w:i/>
        </w:rPr>
        <w:t xml:space="preserve"> 12</w:t>
      </w:r>
    </w:p>
    <w:p w14:paraId="24403915" w14:textId="77777777" w:rsidR="001053EA" w:rsidRPr="00A241F5" w:rsidRDefault="001053EA" w:rsidP="001053EA">
      <w:pPr>
        <w:keepNext/>
        <w:keepLines/>
        <w:widowControl/>
        <w:tabs>
          <w:tab w:val="clear" w:pos="1418"/>
          <w:tab w:val="left" w:pos="1440"/>
        </w:tabs>
        <w:rPr>
          <w:rFonts w:cs="Arial"/>
        </w:rPr>
      </w:pPr>
    </w:p>
    <w:p w14:paraId="4EDA9AEB" w14:textId="02F884F5" w:rsidR="001053EA" w:rsidRPr="00A241F5" w:rsidRDefault="001B1088" w:rsidP="001053EA">
      <w:pPr>
        <w:widowControl/>
        <w:tabs>
          <w:tab w:val="clear" w:pos="1418"/>
          <w:tab w:val="left" w:pos="1440"/>
        </w:tabs>
        <w:rPr>
          <w:rFonts w:cs="Arial"/>
        </w:rPr>
      </w:pPr>
      <w:r w:rsidRPr="00A241F5">
        <w:rPr>
          <w:rFonts w:cs="Arial"/>
        </w:rPr>
        <w:t>13.</w:t>
      </w:r>
      <w:r w:rsidR="001053EA" w:rsidRPr="00A241F5">
        <w:rPr>
          <w:rFonts w:cs="Arial"/>
        </w:rPr>
        <w:t>10</w:t>
      </w:r>
      <w:r w:rsidR="001053EA" w:rsidRPr="00A241F5">
        <w:rPr>
          <w:rFonts w:cs="Arial"/>
        </w:rPr>
        <w:tab/>
        <w:t xml:space="preserve">As with Recommendation 11, there were no substantive objections to Recommendation 12, save that one law firm commented that, in their view, the legislative framework should be contained in </w:t>
      </w:r>
      <w:r w:rsidR="00C61F4B" w:rsidRPr="00A241F5">
        <w:rPr>
          <w:rFonts w:cs="Arial"/>
        </w:rPr>
        <w:t>"</w:t>
      </w:r>
      <w:r w:rsidR="001053EA" w:rsidRPr="00A241F5">
        <w:rPr>
          <w:rFonts w:cs="Arial"/>
          <w:i/>
        </w:rPr>
        <w:t>soft law</w:t>
      </w:r>
      <w:r w:rsidR="00C61F4B" w:rsidRPr="00A241F5">
        <w:rPr>
          <w:rFonts w:cs="Arial"/>
        </w:rPr>
        <w:t>"</w:t>
      </w:r>
      <w:r w:rsidR="001053EA" w:rsidRPr="00A241F5">
        <w:rPr>
          <w:rFonts w:cs="Arial"/>
        </w:rPr>
        <w:t xml:space="preserve">, ie codes of conduct, rather than subsidiary legislation. The rationale for this was to </w:t>
      </w:r>
      <w:r w:rsidR="00C61F4B" w:rsidRPr="00A241F5">
        <w:rPr>
          <w:rFonts w:cs="Arial"/>
          <w:i/>
        </w:rPr>
        <w:t>"</w:t>
      </w:r>
      <w:r w:rsidR="001053EA" w:rsidRPr="00A241F5">
        <w:rPr>
          <w:rFonts w:cs="Arial"/>
          <w:i/>
        </w:rPr>
        <w:t>provide the flexibility for the authorised body to update and amend the code of conduct from time to time, taking into account the latest developments and market practice</w:t>
      </w:r>
      <w:r w:rsidR="00C61F4B" w:rsidRPr="00A241F5">
        <w:rPr>
          <w:rFonts w:cs="Arial"/>
          <w:i/>
        </w:rPr>
        <w:t>"</w:t>
      </w:r>
      <w:r w:rsidR="00923002" w:rsidRPr="00A241F5">
        <w:rPr>
          <w:rFonts w:cs="Arial"/>
        </w:rPr>
        <w:t>.</w:t>
      </w:r>
      <w:r w:rsidR="001053EA" w:rsidRPr="00A241F5">
        <w:rPr>
          <w:rFonts w:cs="Arial"/>
        </w:rPr>
        <w:t xml:space="preserve"> </w:t>
      </w:r>
    </w:p>
    <w:p w14:paraId="3375FD5E" w14:textId="77777777" w:rsidR="001053EA" w:rsidRPr="00A241F5" w:rsidRDefault="001053EA" w:rsidP="001053EA">
      <w:pPr>
        <w:widowControl/>
        <w:tabs>
          <w:tab w:val="clear" w:pos="1418"/>
          <w:tab w:val="left" w:pos="1440"/>
        </w:tabs>
        <w:rPr>
          <w:rFonts w:cs="Arial"/>
          <w:lang w:val="en-HK"/>
        </w:rPr>
      </w:pPr>
    </w:p>
    <w:p w14:paraId="5085CA60" w14:textId="77777777" w:rsidR="001053EA" w:rsidRPr="00A241F5" w:rsidRDefault="001053EA" w:rsidP="001053EA">
      <w:pPr>
        <w:widowControl/>
        <w:tabs>
          <w:tab w:val="clear" w:pos="1418"/>
          <w:tab w:val="left" w:pos="1440"/>
        </w:tabs>
        <w:rPr>
          <w:rFonts w:cs="Arial"/>
          <w:lang w:val="en-HK"/>
        </w:rPr>
      </w:pPr>
    </w:p>
    <w:p w14:paraId="37B1ACCD" w14:textId="77777777" w:rsidR="001053EA" w:rsidRPr="00A241F5" w:rsidRDefault="001053EA" w:rsidP="001053EA">
      <w:pPr>
        <w:keepNext/>
        <w:keepLines/>
        <w:widowControl/>
        <w:tabs>
          <w:tab w:val="clear" w:pos="1418"/>
          <w:tab w:val="left" w:pos="1440"/>
        </w:tabs>
        <w:outlineLvl w:val="1"/>
        <w:rPr>
          <w:rFonts w:cs="Arial"/>
          <w:b/>
          <w:bCs/>
          <w:sz w:val="28"/>
          <w:szCs w:val="28"/>
        </w:rPr>
      </w:pPr>
      <w:r w:rsidRPr="00A241F5">
        <w:rPr>
          <w:rFonts w:cs="Arial"/>
          <w:b/>
          <w:bCs/>
          <w:sz w:val="28"/>
          <w:szCs w:val="28"/>
        </w:rPr>
        <w:t>Our analysis and response</w:t>
      </w:r>
    </w:p>
    <w:p w14:paraId="363F0BD7" w14:textId="77777777" w:rsidR="001053EA" w:rsidRPr="00A241F5" w:rsidRDefault="001053EA" w:rsidP="001053EA">
      <w:pPr>
        <w:keepNext/>
        <w:keepLines/>
        <w:widowControl/>
        <w:tabs>
          <w:tab w:val="clear" w:pos="1418"/>
          <w:tab w:val="left" w:pos="1440"/>
        </w:tabs>
        <w:rPr>
          <w:rFonts w:cs="Arial"/>
        </w:rPr>
      </w:pPr>
    </w:p>
    <w:p w14:paraId="47B0AC79" w14:textId="4A03FD8F" w:rsidR="001053EA" w:rsidRPr="00A241F5" w:rsidRDefault="001B1088" w:rsidP="001053EA">
      <w:pPr>
        <w:widowControl/>
        <w:tabs>
          <w:tab w:val="left" w:pos="1560"/>
        </w:tabs>
        <w:rPr>
          <w:rFonts w:cs="Arial"/>
        </w:rPr>
      </w:pPr>
      <w:r w:rsidRPr="00A241F5">
        <w:rPr>
          <w:rFonts w:cs="Arial"/>
        </w:rPr>
        <w:t>13.</w:t>
      </w:r>
      <w:r w:rsidR="001053EA" w:rsidRPr="00A241F5">
        <w:rPr>
          <w:rFonts w:cs="Arial"/>
        </w:rPr>
        <w:t>11</w:t>
      </w:r>
      <w:r w:rsidR="001053EA" w:rsidRPr="00A241F5">
        <w:rPr>
          <w:rFonts w:cs="Arial"/>
        </w:rPr>
        <w:tab/>
        <w:t xml:space="preserve">Having reviewed the above responses, we agree that the detailed provisions should be set out in subsidiary legislation.  In our view, this strikes the right balance between providing flexibility to review and adjust applicable safeguards (including caps), and ensuring that the legislative amendments are easy to find, clear to understand and have </w:t>
      </w:r>
      <w:r w:rsidR="00C61F4B" w:rsidRPr="00A241F5">
        <w:rPr>
          <w:rFonts w:cs="Arial"/>
        </w:rPr>
        <w:t>"</w:t>
      </w:r>
      <w:r w:rsidR="001053EA" w:rsidRPr="00A241F5">
        <w:rPr>
          <w:rFonts w:cs="Arial"/>
        </w:rPr>
        <w:t>teeth</w:t>
      </w:r>
      <w:r w:rsidR="00C61F4B" w:rsidRPr="00A241F5">
        <w:rPr>
          <w:rFonts w:cs="Arial"/>
        </w:rPr>
        <w:t>"</w:t>
      </w:r>
      <w:r w:rsidR="001053EA" w:rsidRPr="00A241F5">
        <w:rPr>
          <w:rFonts w:cs="Arial"/>
        </w:rPr>
        <w:t>.  This also addresses, as far as possible, the HKBA</w:t>
      </w:r>
      <w:r w:rsidR="00C61F4B" w:rsidRPr="00A241F5">
        <w:rPr>
          <w:rFonts w:cs="Arial"/>
        </w:rPr>
        <w:t>'</w:t>
      </w:r>
      <w:r w:rsidR="001053EA" w:rsidRPr="00A241F5">
        <w:rPr>
          <w:rFonts w:cs="Arial"/>
        </w:rPr>
        <w:t xml:space="preserve">s concerns that the safeguards should extend to any Lawyer qualified to practise law, and/or regulated, outside Hong Kong. </w:t>
      </w:r>
    </w:p>
    <w:p w14:paraId="5FD56AD5" w14:textId="77777777" w:rsidR="001053EA" w:rsidRPr="00A241F5" w:rsidRDefault="001053EA" w:rsidP="001053EA">
      <w:pPr>
        <w:widowControl/>
        <w:tabs>
          <w:tab w:val="left" w:pos="1560"/>
        </w:tabs>
        <w:rPr>
          <w:rFonts w:cs="Arial"/>
        </w:rPr>
      </w:pPr>
    </w:p>
    <w:p w14:paraId="1970609F" w14:textId="70034C85" w:rsidR="001053EA" w:rsidRPr="00A241F5" w:rsidRDefault="001B1088" w:rsidP="001053EA">
      <w:pPr>
        <w:widowControl/>
        <w:tabs>
          <w:tab w:val="clear" w:pos="1418"/>
          <w:tab w:val="left" w:pos="1440"/>
        </w:tabs>
        <w:rPr>
          <w:b/>
          <w:i/>
        </w:rPr>
      </w:pPr>
      <w:r w:rsidRPr="00A241F5">
        <w:rPr>
          <w:rFonts w:cs="Arial"/>
        </w:rPr>
        <w:lastRenderedPageBreak/>
        <w:t>13.</w:t>
      </w:r>
      <w:r w:rsidR="001053EA" w:rsidRPr="00A241F5">
        <w:rPr>
          <w:rFonts w:cs="Arial"/>
        </w:rPr>
        <w:t>12</w:t>
      </w:r>
      <w:r w:rsidR="001053EA" w:rsidRPr="00A241F5">
        <w:rPr>
          <w:rFonts w:cs="Arial"/>
        </w:rPr>
        <w:tab/>
        <w:t xml:space="preserve">Otherwise, to the extent that further, more detailed client-care provisions are required, these can be set out subsequently in professional codes of conduct, either in the existing codes, or in a separate code which specifically addresses ORFSs.  This will ensure that more trivial breaches can be dealt with more expeditiously by the professional bodies, without impacting the overall ORFS statutory regime for Arbitration.  At this stage, however, we agree with the Sub-committee that a separate code of conduct or practice is not required.  To the extent that the Law Society and the HKBA consider necessary, they can independently amend their existing codes of conduct (in addition to the changes highlighted in Chapter </w:t>
      </w:r>
      <w:r w:rsidR="004A7B46" w:rsidRPr="00A241F5">
        <w:rPr>
          <w:rFonts w:cs="Arial"/>
        </w:rPr>
        <w:t>12</w:t>
      </w:r>
      <w:r w:rsidR="001053EA" w:rsidRPr="00A241F5">
        <w:rPr>
          <w:rFonts w:cs="Arial"/>
        </w:rPr>
        <w:t xml:space="preserve"> (and Final Recommendation 11) above).  </w:t>
      </w:r>
    </w:p>
    <w:p w14:paraId="0737752E" w14:textId="77777777" w:rsidR="001053EA" w:rsidRPr="00A241F5" w:rsidRDefault="001053EA" w:rsidP="001053EA">
      <w:pPr>
        <w:widowControl/>
        <w:tabs>
          <w:tab w:val="left" w:pos="1560"/>
        </w:tabs>
        <w:rPr>
          <w:rFonts w:cs="Arial"/>
        </w:rPr>
      </w:pPr>
    </w:p>
    <w:p w14:paraId="759708C6" w14:textId="6FD01A0B" w:rsidR="001053EA" w:rsidRPr="00A241F5" w:rsidRDefault="001B1088" w:rsidP="001053EA">
      <w:pPr>
        <w:widowControl/>
        <w:tabs>
          <w:tab w:val="left" w:pos="1560"/>
        </w:tabs>
        <w:rPr>
          <w:rFonts w:cs="Arial"/>
        </w:rPr>
      </w:pPr>
      <w:r w:rsidRPr="00A241F5">
        <w:rPr>
          <w:rFonts w:cs="Arial"/>
        </w:rPr>
        <w:t>13.</w:t>
      </w:r>
      <w:r w:rsidR="001053EA" w:rsidRPr="00A241F5">
        <w:rPr>
          <w:rFonts w:cs="Arial"/>
        </w:rPr>
        <w:t>13</w:t>
      </w:r>
      <w:r w:rsidR="001053EA" w:rsidRPr="00A241F5">
        <w:rPr>
          <w:rFonts w:cs="Arial"/>
        </w:rPr>
        <w:tab/>
        <w:t xml:space="preserve">A more detailed review of the content and scope of the specific safeguards that are contemplated is discussed in Chapter </w:t>
      </w:r>
      <w:r w:rsidRPr="00A241F5">
        <w:rPr>
          <w:rFonts w:cs="Arial"/>
        </w:rPr>
        <w:t>14</w:t>
      </w:r>
      <w:r w:rsidR="001053EA" w:rsidRPr="00A241F5">
        <w:rPr>
          <w:rFonts w:cs="Arial"/>
        </w:rPr>
        <w:t xml:space="preserve"> where Recommendation 13(a) is considered.  The proposed safeguards to be included in subsidiary legislation are set out in Annex 2 attached to this Report. </w:t>
      </w:r>
    </w:p>
    <w:p w14:paraId="3E38946F" w14:textId="77777777" w:rsidR="001053EA" w:rsidRPr="00A241F5" w:rsidRDefault="001053EA" w:rsidP="001053EA">
      <w:pPr>
        <w:widowControl/>
        <w:tabs>
          <w:tab w:val="left" w:pos="1560"/>
        </w:tabs>
        <w:rPr>
          <w:rFonts w:cs="Arial"/>
        </w:rPr>
      </w:pPr>
    </w:p>
    <w:p w14:paraId="1BA32D95" w14:textId="77777777" w:rsidR="001053EA" w:rsidRPr="00A241F5" w:rsidRDefault="001053EA" w:rsidP="001053EA">
      <w:pPr>
        <w:keepNext/>
        <w:keepLines/>
        <w:pBdr>
          <w:top w:val="single" w:sz="4" w:space="8" w:color="auto"/>
          <w:left w:val="single" w:sz="4" w:space="8" w:color="auto"/>
          <w:bottom w:val="single" w:sz="4" w:space="8" w:color="auto"/>
          <w:right w:val="single" w:sz="4" w:space="8" w:color="auto"/>
        </w:pBdr>
        <w:autoSpaceDE w:val="0"/>
        <w:autoSpaceDN w:val="0"/>
        <w:ind w:left="720" w:right="720"/>
        <w:textAlignment w:val="baseline"/>
        <w:rPr>
          <w:b/>
        </w:rPr>
      </w:pPr>
      <w:r w:rsidRPr="00A241F5">
        <w:rPr>
          <w:b/>
        </w:rPr>
        <w:t>Final Recommendation 12</w:t>
      </w:r>
    </w:p>
    <w:p w14:paraId="5E187D00" w14:textId="77777777" w:rsidR="001053EA" w:rsidRPr="00A241F5" w:rsidRDefault="001053EA" w:rsidP="001053EA">
      <w:pPr>
        <w:keepNext/>
        <w:keepLines/>
        <w:pBdr>
          <w:top w:val="single" w:sz="4" w:space="8" w:color="auto"/>
          <w:left w:val="single" w:sz="4" w:space="8" w:color="auto"/>
          <w:bottom w:val="single" w:sz="4" w:space="8" w:color="auto"/>
          <w:right w:val="single" w:sz="4" w:space="8" w:color="auto"/>
        </w:pBdr>
        <w:autoSpaceDE w:val="0"/>
        <w:autoSpaceDN w:val="0"/>
        <w:ind w:left="720" w:right="720"/>
        <w:textAlignment w:val="baseline"/>
        <w:rPr>
          <w:b/>
        </w:rPr>
      </w:pPr>
    </w:p>
    <w:p w14:paraId="6C805AF7" w14:textId="77777777" w:rsidR="001053EA" w:rsidRPr="00A241F5" w:rsidRDefault="001053EA" w:rsidP="001053EA">
      <w:pPr>
        <w:keepNext/>
        <w:keepLines/>
        <w:pBdr>
          <w:top w:val="single" w:sz="4" w:space="8" w:color="auto"/>
          <w:left w:val="single" w:sz="4" w:space="8" w:color="auto"/>
          <w:bottom w:val="single" w:sz="4" w:space="8" w:color="auto"/>
          <w:right w:val="single" w:sz="4" w:space="8" w:color="auto"/>
        </w:pBdr>
        <w:autoSpaceDE w:val="0"/>
        <w:autoSpaceDN w:val="0"/>
        <w:ind w:left="720" w:right="720"/>
        <w:textAlignment w:val="baseline"/>
        <w:rPr>
          <w:b/>
        </w:rPr>
      </w:pPr>
      <w:r w:rsidRPr="00A241F5">
        <w:rPr>
          <w:b/>
        </w:rPr>
        <w:t>We recommend that:</w:t>
      </w:r>
    </w:p>
    <w:p w14:paraId="132E9A23" w14:textId="77777777" w:rsidR="001053EA" w:rsidRPr="00A241F5" w:rsidRDefault="001053EA" w:rsidP="001053EA">
      <w:pPr>
        <w:keepNext/>
        <w:keepLines/>
        <w:pBdr>
          <w:top w:val="single" w:sz="4" w:space="8" w:color="auto"/>
          <w:left w:val="single" w:sz="4" w:space="8" w:color="auto"/>
          <w:bottom w:val="single" w:sz="4" w:space="8" w:color="auto"/>
          <w:right w:val="single" w:sz="4" w:space="8" w:color="auto"/>
        </w:pBdr>
        <w:autoSpaceDE w:val="0"/>
        <w:autoSpaceDN w:val="0"/>
        <w:ind w:left="720" w:right="720"/>
        <w:textAlignment w:val="baseline"/>
        <w:rPr>
          <w:b/>
        </w:rPr>
      </w:pPr>
    </w:p>
    <w:p w14:paraId="7DDBF379" w14:textId="407D1FE9" w:rsidR="001053EA" w:rsidRPr="00A241F5" w:rsidRDefault="001053EA" w:rsidP="001053EA">
      <w:pPr>
        <w:keepNext/>
        <w:keepLines/>
        <w:pBdr>
          <w:top w:val="single" w:sz="4" w:space="8" w:color="auto"/>
          <w:left w:val="single" w:sz="4" w:space="8" w:color="auto"/>
          <w:bottom w:val="single" w:sz="4" w:space="8" w:color="auto"/>
          <w:right w:val="single" w:sz="4" w:space="8" w:color="auto"/>
        </w:pBdr>
        <w:autoSpaceDE w:val="0"/>
        <w:autoSpaceDN w:val="0"/>
        <w:ind w:left="1440" w:right="720" w:hanging="720"/>
        <w:textAlignment w:val="baseline"/>
        <w:rPr>
          <w:b/>
        </w:rPr>
      </w:pPr>
      <w:r w:rsidRPr="00A241F5">
        <w:rPr>
          <w:rFonts w:cs="Arial"/>
          <w:b/>
        </w:rPr>
        <w:t>(a)</w:t>
      </w:r>
      <w:r w:rsidRPr="00A241F5">
        <w:rPr>
          <w:rFonts w:cs="Arial"/>
          <w:b/>
        </w:rPr>
        <w:tab/>
        <w:t>the more detailed regulatory framework should be set out in subsidiary legislation which, like the legislative amendments referred to in Final Recommendation 11, should be</w:t>
      </w:r>
      <w:r w:rsidR="007373BA" w:rsidRPr="00A241F5">
        <w:rPr>
          <w:rFonts w:cs="Arial"/>
          <w:b/>
        </w:rPr>
        <w:t xml:space="preserve"> as</w:t>
      </w:r>
      <w:r w:rsidRPr="00A241F5">
        <w:rPr>
          <w:rFonts w:cs="Arial"/>
          <w:b/>
        </w:rPr>
        <w:t xml:space="preserve"> simple and clear </w:t>
      </w:r>
      <w:r w:rsidR="007373BA" w:rsidRPr="00A241F5">
        <w:rPr>
          <w:rFonts w:cs="Arial"/>
          <w:b/>
        </w:rPr>
        <w:t xml:space="preserve">as possible </w:t>
      </w:r>
      <w:r w:rsidRPr="00A241F5">
        <w:rPr>
          <w:rFonts w:cs="Arial"/>
          <w:b/>
        </w:rPr>
        <w:t xml:space="preserve">to avoid frivolous technical challenges; and </w:t>
      </w:r>
    </w:p>
    <w:p w14:paraId="7A186316" w14:textId="77777777" w:rsidR="001053EA" w:rsidRPr="00A241F5" w:rsidRDefault="001053EA" w:rsidP="001053EA">
      <w:pPr>
        <w:pBdr>
          <w:top w:val="single" w:sz="4" w:space="8" w:color="auto"/>
          <w:left w:val="single" w:sz="4" w:space="8" w:color="auto"/>
          <w:bottom w:val="single" w:sz="4" w:space="8" w:color="auto"/>
          <w:right w:val="single" w:sz="4" w:space="8" w:color="auto"/>
        </w:pBdr>
        <w:autoSpaceDE w:val="0"/>
        <w:autoSpaceDN w:val="0"/>
        <w:ind w:left="1440" w:right="720" w:hanging="720"/>
        <w:textAlignment w:val="baseline"/>
        <w:rPr>
          <w:b/>
        </w:rPr>
      </w:pPr>
    </w:p>
    <w:p w14:paraId="149E4632" w14:textId="11850E3B" w:rsidR="001053EA" w:rsidRPr="00A241F5" w:rsidRDefault="001053EA" w:rsidP="001053EA">
      <w:pPr>
        <w:keepNext/>
        <w:keepLines/>
        <w:pBdr>
          <w:top w:val="single" w:sz="4" w:space="8" w:color="auto"/>
          <w:left w:val="single" w:sz="4" w:space="8" w:color="auto"/>
          <w:bottom w:val="single" w:sz="4" w:space="8" w:color="auto"/>
          <w:right w:val="single" w:sz="4" w:space="8" w:color="auto"/>
        </w:pBdr>
        <w:autoSpaceDE w:val="0"/>
        <w:autoSpaceDN w:val="0"/>
        <w:ind w:left="1440" w:right="720" w:hanging="720"/>
        <w:textAlignment w:val="baseline"/>
        <w:rPr>
          <w:b/>
        </w:rPr>
      </w:pPr>
      <w:r w:rsidRPr="00A241F5">
        <w:rPr>
          <w:rFonts w:cs="Arial"/>
          <w:b/>
        </w:rPr>
        <w:t>(b)</w:t>
      </w:r>
      <w:r w:rsidRPr="00A241F5">
        <w:rPr>
          <w:rFonts w:cs="Arial"/>
          <w:b/>
        </w:rPr>
        <w:tab/>
        <w:t xml:space="preserve">further client-care provisions (to the extent these are required) could also be set out in professional codes of conduct so that trivial breaches can be dealt with expeditiously by the professional bodies.  </w:t>
      </w:r>
    </w:p>
    <w:p w14:paraId="1DD63A0D" w14:textId="77777777" w:rsidR="00B40769" w:rsidRPr="00A241F5" w:rsidRDefault="00B40769">
      <w:pPr>
        <w:widowControl/>
        <w:snapToGrid/>
        <w:jc w:val="left"/>
        <w:sectPr w:rsidR="00B40769" w:rsidRPr="00A241F5" w:rsidSect="001C4520">
          <w:footnotePr>
            <w:numRestart w:val="eachSect"/>
          </w:footnotePr>
          <w:pgSz w:w="11906" w:h="16838" w:code="9"/>
          <w:pgMar w:top="1440" w:right="1800" w:bottom="1440" w:left="1800" w:header="720" w:footer="720" w:gutter="0"/>
          <w:cols w:space="425"/>
          <w:docGrid w:linePitch="360"/>
        </w:sectPr>
      </w:pPr>
    </w:p>
    <w:p w14:paraId="509AB415" w14:textId="77777777" w:rsidR="00B40769" w:rsidRPr="00A241F5" w:rsidRDefault="00B40769">
      <w:pPr>
        <w:widowControl/>
        <w:snapToGrid/>
        <w:jc w:val="left"/>
        <w:sectPr w:rsidR="00B40769" w:rsidRPr="00A241F5" w:rsidSect="00B40769">
          <w:footnotePr>
            <w:numRestart w:val="eachSect"/>
          </w:footnotePr>
          <w:type w:val="continuous"/>
          <w:pgSz w:w="11906" w:h="16838" w:code="9"/>
          <w:pgMar w:top="1440" w:right="1800" w:bottom="1440" w:left="1800" w:header="720" w:footer="720" w:gutter="0"/>
          <w:cols w:space="425"/>
          <w:docGrid w:linePitch="360"/>
        </w:sectPr>
      </w:pPr>
    </w:p>
    <w:p w14:paraId="4B817C24" w14:textId="1D840565" w:rsidR="0045386A" w:rsidRPr="00A241F5" w:rsidRDefault="0045386A" w:rsidP="0045386A">
      <w:pPr>
        <w:pStyle w:val="Heading1"/>
      </w:pPr>
      <w:bookmarkStart w:id="26" w:name="Chapter14"/>
      <w:bookmarkEnd w:id="26"/>
      <w:r w:rsidRPr="00A241F5">
        <w:lastRenderedPageBreak/>
        <w:t>Chapter 14</w:t>
      </w:r>
    </w:p>
    <w:p w14:paraId="4184491E" w14:textId="77777777" w:rsidR="0045386A" w:rsidRPr="00A241F5" w:rsidRDefault="0045386A" w:rsidP="0045386A">
      <w:pPr>
        <w:pStyle w:val="Heading1"/>
        <w:widowControl/>
        <w:tabs>
          <w:tab w:val="clear" w:pos="1418"/>
          <w:tab w:val="left" w:pos="1440"/>
        </w:tabs>
        <w:rPr>
          <w:rFonts w:cs="Arial"/>
          <w:sz w:val="32"/>
          <w:szCs w:val="32"/>
        </w:rPr>
      </w:pPr>
    </w:p>
    <w:p w14:paraId="0AF5EE26" w14:textId="77777777" w:rsidR="0045386A" w:rsidRPr="00A241F5" w:rsidRDefault="0045386A" w:rsidP="0045386A">
      <w:pPr>
        <w:pStyle w:val="Heading1"/>
      </w:pPr>
      <w:r w:rsidRPr="00A241F5">
        <w:t xml:space="preserve">Specific safeguards and </w:t>
      </w:r>
    </w:p>
    <w:p w14:paraId="17BDF103" w14:textId="77777777" w:rsidR="0045386A" w:rsidRPr="00A241F5" w:rsidRDefault="0045386A" w:rsidP="0045386A">
      <w:pPr>
        <w:pStyle w:val="Heading1"/>
      </w:pPr>
      <w:r w:rsidRPr="00A241F5">
        <w:t xml:space="preserve">other matters relating to ORFSs </w:t>
      </w:r>
    </w:p>
    <w:p w14:paraId="6CD3C552" w14:textId="77777777" w:rsidR="0045386A" w:rsidRPr="00A241F5" w:rsidRDefault="0045386A" w:rsidP="0045386A">
      <w:pPr>
        <w:rPr>
          <w:rFonts w:cs="Arial"/>
        </w:rPr>
      </w:pPr>
    </w:p>
    <w:p w14:paraId="1345D4B3" w14:textId="77777777" w:rsidR="0045386A" w:rsidRPr="00A241F5" w:rsidRDefault="0045386A" w:rsidP="0045386A">
      <w:pPr>
        <w:rPr>
          <w:rFonts w:cs="Arial"/>
        </w:rPr>
      </w:pPr>
      <w:r w:rsidRPr="00A241F5">
        <w:rPr>
          <w:rFonts w:cs="Arial"/>
        </w:rPr>
        <w:t>_________________________________________</w:t>
      </w:r>
    </w:p>
    <w:p w14:paraId="78FD9EE1" w14:textId="77777777" w:rsidR="0045386A" w:rsidRPr="00A241F5" w:rsidRDefault="0045386A" w:rsidP="0045386A"/>
    <w:p w14:paraId="34C5255C" w14:textId="77777777" w:rsidR="0045386A" w:rsidRPr="00A241F5" w:rsidRDefault="0045386A" w:rsidP="0045386A"/>
    <w:p w14:paraId="0A370B93" w14:textId="77777777" w:rsidR="0045386A" w:rsidRPr="00A241F5" w:rsidRDefault="0045386A" w:rsidP="0045386A"/>
    <w:p w14:paraId="7CC3AF03" w14:textId="6049F916" w:rsidR="0045386A" w:rsidRPr="00A241F5" w:rsidRDefault="0045386A" w:rsidP="0045386A">
      <w:pPr>
        <w:pStyle w:val="Heading2"/>
        <w:widowControl/>
        <w:tabs>
          <w:tab w:val="clear" w:pos="1418"/>
          <w:tab w:val="left" w:pos="1440"/>
        </w:tabs>
        <w:rPr>
          <w:rFonts w:cs="Arial"/>
        </w:rPr>
      </w:pPr>
      <w:r w:rsidRPr="00A241F5">
        <w:rPr>
          <w:rFonts w:cs="Arial"/>
        </w:rPr>
        <w:t>Responses to the Sub-committee</w:t>
      </w:r>
      <w:r w:rsidR="00C61F4B" w:rsidRPr="00A241F5">
        <w:rPr>
          <w:rFonts w:cs="Arial"/>
        </w:rPr>
        <w:t>'</w:t>
      </w:r>
      <w:r w:rsidRPr="00A241F5">
        <w:rPr>
          <w:rFonts w:cs="Arial"/>
        </w:rPr>
        <w:t xml:space="preserve">s Recommendation 13(a) </w:t>
      </w:r>
    </w:p>
    <w:p w14:paraId="7A1DF129" w14:textId="77777777" w:rsidR="0045386A" w:rsidRPr="00A241F5" w:rsidRDefault="0045386A" w:rsidP="0045386A">
      <w:pPr>
        <w:widowControl/>
        <w:tabs>
          <w:tab w:val="clear" w:pos="1418"/>
          <w:tab w:val="left" w:pos="1440"/>
        </w:tabs>
        <w:rPr>
          <w:rFonts w:cs="Arial"/>
        </w:rPr>
      </w:pPr>
    </w:p>
    <w:p w14:paraId="69B9A176" w14:textId="6CCFAEA8" w:rsidR="0045386A" w:rsidRPr="00A241F5" w:rsidRDefault="0045386A" w:rsidP="0045386A">
      <w:pPr>
        <w:widowControl/>
        <w:tabs>
          <w:tab w:val="clear" w:pos="1418"/>
          <w:tab w:val="left" w:pos="1440"/>
        </w:tabs>
        <w:rPr>
          <w:rFonts w:cs="Arial"/>
        </w:rPr>
      </w:pPr>
      <w:r w:rsidRPr="00A241F5">
        <w:rPr>
          <w:rFonts w:cs="Arial"/>
        </w:rPr>
        <w:t>14.1</w:t>
      </w:r>
      <w:r w:rsidRPr="00A241F5">
        <w:rPr>
          <w:rFonts w:cs="Arial"/>
        </w:rPr>
        <w:tab/>
        <w:t>Below is a summary of the responses regarding Recommendation 13(a) in the Consultation Paper, under which submissions are invited on:</w:t>
      </w:r>
    </w:p>
    <w:p w14:paraId="1174178B" w14:textId="77777777" w:rsidR="0045386A" w:rsidRPr="00A241F5" w:rsidRDefault="0045386A" w:rsidP="0045386A">
      <w:pPr>
        <w:widowControl/>
        <w:tabs>
          <w:tab w:val="clear" w:pos="1418"/>
          <w:tab w:val="left" w:pos="1440"/>
        </w:tabs>
        <w:rPr>
          <w:rFonts w:cs="Arial"/>
        </w:rPr>
      </w:pPr>
    </w:p>
    <w:p w14:paraId="2DB7E3A6" w14:textId="75CB524A" w:rsidR="0045386A" w:rsidRPr="00A241F5" w:rsidRDefault="00C61F4B" w:rsidP="0045386A">
      <w:pPr>
        <w:widowControl/>
        <w:tabs>
          <w:tab w:val="clear" w:pos="1418"/>
          <w:tab w:val="left" w:pos="1440"/>
        </w:tabs>
        <w:ind w:left="720" w:rightChars="271" w:right="650"/>
        <w:rPr>
          <w:rFonts w:cs="Arial"/>
          <w:i/>
        </w:rPr>
      </w:pPr>
      <w:r w:rsidRPr="00A241F5">
        <w:rPr>
          <w:rFonts w:cs="Arial"/>
          <w:i/>
        </w:rPr>
        <w:t>"</w:t>
      </w:r>
      <w:r w:rsidR="0045386A" w:rsidRPr="00A241F5">
        <w:rPr>
          <w:rFonts w:cs="Arial"/>
          <w:i/>
        </w:rPr>
        <w:t xml:space="preserve">(a) Whether and how the professional codes of conduct and/or regulations should address what other safeguards are needed.  For example to: </w:t>
      </w:r>
    </w:p>
    <w:p w14:paraId="02A51AF8" w14:textId="77777777" w:rsidR="0045386A" w:rsidRPr="00A241F5" w:rsidRDefault="0045386A" w:rsidP="0045386A">
      <w:pPr>
        <w:widowControl/>
        <w:tabs>
          <w:tab w:val="clear" w:pos="1418"/>
          <w:tab w:val="left" w:pos="1440"/>
        </w:tabs>
        <w:ind w:left="720" w:rightChars="271" w:right="650"/>
        <w:rPr>
          <w:rFonts w:cs="Arial"/>
          <w:i/>
        </w:rPr>
      </w:pPr>
    </w:p>
    <w:p w14:paraId="13085066" w14:textId="55AAD571" w:rsidR="0045386A" w:rsidRPr="00A241F5" w:rsidRDefault="0045386A" w:rsidP="0045386A">
      <w:pPr>
        <w:pStyle w:val="ListParagraph"/>
        <w:widowControl/>
        <w:numPr>
          <w:ilvl w:val="0"/>
          <w:numId w:val="28"/>
        </w:numPr>
        <w:tabs>
          <w:tab w:val="clear" w:pos="1418"/>
          <w:tab w:val="left" w:pos="1440"/>
        </w:tabs>
        <w:ind w:leftChars="0" w:rightChars="271" w:right="650"/>
        <w:rPr>
          <w:rFonts w:cs="Arial"/>
          <w:i/>
        </w:rPr>
      </w:pPr>
      <w:r w:rsidRPr="00A241F5">
        <w:rPr>
          <w:rFonts w:cs="Arial"/>
          <w:i/>
        </w:rPr>
        <w:t>be clear in what circumstances a Lawyer</w:t>
      </w:r>
      <w:r w:rsidR="00C61F4B" w:rsidRPr="00A241F5">
        <w:rPr>
          <w:rFonts w:cs="Arial"/>
          <w:i/>
        </w:rPr>
        <w:t>'</w:t>
      </w:r>
      <w:r w:rsidRPr="00A241F5">
        <w:rPr>
          <w:rFonts w:cs="Arial"/>
          <w:i/>
        </w:rPr>
        <w:t xml:space="preserve">s fees and expenses, or part of them, will be payable; </w:t>
      </w:r>
    </w:p>
    <w:p w14:paraId="4101044A" w14:textId="77777777" w:rsidR="0045386A" w:rsidRPr="00A241F5" w:rsidRDefault="0045386A" w:rsidP="0045386A">
      <w:pPr>
        <w:pStyle w:val="ListParagraph"/>
        <w:widowControl/>
        <w:tabs>
          <w:tab w:val="clear" w:pos="1418"/>
          <w:tab w:val="left" w:pos="1440"/>
        </w:tabs>
        <w:ind w:leftChars="0" w:left="2160" w:rightChars="271" w:right="650"/>
        <w:rPr>
          <w:rFonts w:cs="Arial"/>
          <w:i/>
        </w:rPr>
      </w:pPr>
    </w:p>
    <w:p w14:paraId="5F0E744E" w14:textId="77777777" w:rsidR="0045386A" w:rsidRPr="00A241F5" w:rsidRDefault="0045386A" w:rsidP="0045386A">
      <w:pPr>
        <w:pStyle w:val="ListParagraph"/>
        <w:widowControl/>
        <w:numPr>
          <w:ilvl w:val="0"/>
          <w:numId w:val="28"/>
        </w:numPr>
        <w:tabs>
          <w:tab w:val="clear" w:pos="1418"/>
          <w:tab w:val="left" w:pos="1440"/>
        </w:tabs>
        <w:ind w:leftChars="0" w:rightChars="271" w:right="650"/>
        <w:rPr>
          <w:rFonts w:cs="Arial"/>
          <w:i/>
        </w:rPr>
      </w:pPr>
      <w:r w:rsidRPr="00A241F5">
        <w:rPr>
          <w:rFonts w:cs="Arial"/>
          <w:i/>
        </w:rPr>
        <w:t xml:space="preserve">include a requirement under professional conduct obligations to give the client all relevant information relating to the ORFS that is being entered into, and to provide that information in a clear and accessible form; </w:t>
      </w:r>
    </w:p>
    <w:p w14:paraId="4890C3FB" w14:textId="77777777" w:rsidR="0045386A" w:rsidRPr="00A241F5" w:rsidRDefault="0045386A" w:rsidP="0045386A">
      <w:pPr>
        <w:pStyle w:val="ListParagraph"/>
        <w:widowControl/>
        <w:tabs>
          <w:tab w:val="clear" w:pos="1418"/>
          <w:tab w:val="left" w:pos="1440"/>
        </w:tabs>
        <w:ind w:leftChars="0" w:left="2160" w:rightChars="271" w:right="650"/>
        <w:rPr>
          <w:rFonts w:cs="Arial"/>
          <w:i/>
        </w:rPr>
      </w:pPr>
    </w:p>
    <w:p w14:paraId="74BB4062" w14:textId="77777777" w:rsidR="0045386A" w:rsidRPr="00A241F5" w:rsidRDefault="0045386A" w:rsidP="0045386A">
      <w:pPr>
        <w:pStyle w:val="ListParagraph"/>
        <w:widowControl/>
        <w:numPr>
          <w:ilvl w:val="0"/>
          <w:numId w:val="28"/>
        </w:numPr>
        <w:tabs>
          <w:tab w:val="clear" w:pos="1418"/>
          <w:tab w:val="left" w:pos="1440"/>
        </w:tabs>
        <w:ind w:leftChars="0" w:rightChars="271" w:right="650"/>
        <w:rPr>
          <w:rFonts w:cs="Arial"/>
          <w:i/>
        </w:rPr>
      </w:pPr>
      <w:r w:rsidRPr="00A241F5">
        <w:rPr>
          <w:rFonts w:cs="Arial"/>
          <w:i/>
        </w:rPr>
        <w:t>require a claimant using CFAs or DBAs or Hybrid DBAs to notify the respondent and Tribunal of this fact;</w:t>
      </w:r>
    </w:p>
    <w:p w14:paraId="4EA1E563" w14:textId="77777777" w:rsidR="0045386A" w:rsidRPr="00A241F5" w:rsidRDefault="0045386A" w:rsidP="0045386A">
      <w:pPr>
        <w:widowControl/>
        <w:tabs>
          <w:tab w:val="clear" w:pos="1418"/>
          <w:tab w:val="left" w:pos="1440"/>
        </w:tabs>
        <w:ind w:rightChars="271" w:right="650"/>
        <w:rPr>
          <w:rFonts w:eastAsiaTheme="minorEastAsia" w:cs="Arial"/>
          <w:i/>
        </w:rPr>
      </w:pPr>
    </w:p>
    <w:p w14:paraId="33E9F57C" w14:textId="77777777" w:rsidR="0045386A" w:rsidRPr="00A241F5" w:rsidRDefault="0045386A" w:rsidP="0045386A">
      <w:pPr>
        <w:pStyle w:val="ListParagraph"/>
        <w:widowControl/>
        <w:numPr>
          <w:ilvl w:val="0"/>
          <w:numId w:val="28"/>
        </w:numPr>
        <w:tabs>
          <w:tab w:val="clear" w:pos="1418"/>
          <w:tab w:val="left" w:pos="1440"/>
        </w:tabs>
        <w:ind w:leftChars="0" w:rightChars="271" w:right="650"/>
        <w:rPr>
          <w:rFonts w:cs="Arial"/>
          <w:i/>
        </w:rPr>
      </w:pPr>
      <w:r w:rsidRPr="00A241F5">
        <w:rPr>
          <w:rFonts w:cs="Arial"/>
          <w:i/>
        </w:rPr>
        <w:t xml:space="preserve">inform clients of their right to take independent legal advice; and </w:t>
      </w:r>
    </w:p>
    <w:p w14:paraId="317B6CD1" w14:textId="77777777" w:rsidR="0045386A" w:rsidRPr="00A241F5" w:rsidRDefault="0045386A" w:rsidP="0045386A">
      <w:pPr>
        <w:widowControl/>
        <w:tabs>
          <w:tab w:val="clear" w:pos="1418"/>
          <w:tab w:val="left" w:pos="1440"/>
        </w:tabs>
        <w:ind w:rightChars="271" w:right="650"/>
        <w:rPr>
          <w:rFonts w:eastAsiaTheme="minorEastAsia" w:cs="Arial"/>
          <w:i/>
        </w:rPr>
      </w:pPr>
    </w:p>
    <w:p w14:paraId="670A4E70" w14:textId="20E7BCBB" w:rsidR="0045386A" w:rsidRPr="00A241F5" w:rsidRDefault="0045386A" w:rsidP="0045386A">
      <w:pPr>
        <w:pStyle w:val="ListParagraph"/>
        <w:widowControl/>
        <w:numPr>
          <w:ilvl w:val="0"/>
          <w:numId w:val="28"/>
        </w:numPr>
        <w:tabs>
          <w:tab w:val="clear" w:pos="1418"/>
          <w:tab w:val="left" w:pos="1440"/>
        </w:tabs>
        <w:ind w:leftChars="0" w:rightChars="271" w:right="650"/>
        <w:rPr>
          <w:rFonts w:cs="Arial"/>
          <w:i/>
        </w:rPr>
      </w:pPr>
      <w:r w:rsidRPr="00A241F5">
        <w:rPr>
          <w:rFonts w:cs="Arial"/>
          <w:i/>
        </w:rPr>
        <w:t xml:space="preserve">be subject to a </w:t>
      </w:r>
      <w:r w:rsidR="0035530F" w:rsidRPr="00A241F5">
        <w:rPr>
          <w:rFonts w:cs="Arial"/>
          <w:i/>
        </w:rPr>
        <w:t>'</w:t>
      </w:r>
      <w:r w:rsidRPr="00A241F5">
        <w:rPr>
          <w:rFonts w:cs="Arial"/>
          <w:i/>
        </w:rPr>
        <w:t>cooling-off</w:t>
      </w:r>
      <w:r w:rsidR="0035530F" w:rsidRPr="00A241F5">
        <w:rPr>
          <w:rFonts w:cs="Arial"/>
          <w:i/>
        </w:rPr>
        <w:t>'</w:t>
      </w:r>
      <w:r w:rsidRPr="00A241F5">
        <w:rPr>
          <w:rFonts w:cs="Arial"/>
          <w:i/>
        </w:rPr>
        <w:t xml:space="preserve"> period.</w:t>
      </w:r>
      <w:r w:rsidR="00C61F4B" w:rsidRPr="00A241F5">
        <w:rPr>
          <w:rFonts w:cs="Arial"/>
          <w:i/>
        </w:rPr>
        <w:t>"</w:t>
      </w:r>
      <w:r w:rsidRPr="005B3964">
        <w:rPr>
          <w:rStyle w:val="FootnoteReference"/>
          <w:rFonts w:cs="Arial"/>
          <w:sz w:val="24"/>
        </w:rPr>
        <w:footnoteReference w:id="69"/>
      </w:r>
      <w:r w:rsidRPr="00A241F5">
        <w:rPr>
          <w:rFonts w:cs="Arial"/>
          <w:i/>
        </w:rPr>
        <w:t xml:space="preserve"> </w:t>
      </w:r>
    </w:p>
    <w:p w14:paraId="11700797" w14:textId="77777777" w:rsidR="0045386A" w:rsidRPr="00A241F5" w:rsidRDefault="0045386A" w:rsidP="0045386A">
      <w:pPr>
        <w:keepNext/>
        <w:keepLines/>
      </w:pPr>
    </w:p>
    <w:p w14:paraId="11DFEAB9" w14:textId="77777777" w:rsidR="0045386A" w:rsidRPr="00A241F5" w:rsidRDefault="0045386A" w:rsidP="0045386A">
      <w:pPr>
        <w:keepNext/>
        <w:keepLines/>
      </w:pPr>
    </w:p>
    <w:p w14:paraId="563C7DE4" w14:textId="77777777" w:rsidR="0045386A" w:rsidRPr="00A241F5" w:rsidRDefault="0045386A" w:rsidP="0045386A">
      <w:pPr>
        <w:keepNext/>
        <w:keepLines/>
        <w:rPr>
          <w:b/>
          <w:i/>
        </w:rPr>
      </w:pPr>
      <w:r w:rsidRPr="00A241F5">
        <w:rPr>
          <w:b/>
          <w:i/>
        </w:rPr>
        <w:t>Comments from Respondents who supported Recommendation 13(a)</w:t>
      </w:r>
    </w:p>
    <w:p w14:paraId="69B686FE" w14:textId="77777777" w:rsidR="0045386A" w:rsidRPr="00A241F5" w:rsidRDefault="0045386A" w:rsidP="0045386A">
      <w:pPr>
        <w:keepNext/>
        <w:keepLines/>
        <w:rPr>
          <w:b/>
          <w:sz w:val="28"/>
          <w:szCs w:val="28"/>
        </w:rPr>
      </w:pPr>
    </w:p>
    <w:p w14:paraId="1A659F15" w14:textId="77777777" w:rsidR="0045386A" w:rsidRPr="00A241F5" w:rsidRDefault="0045386A" w:rsidP="0045386A">
      <w:pPr>
        <w:keepNext/>
        <w:keepLines/>
        <w:rPr>
          <w:i/>
        </w:rPr>
      </w:pPr>
      <w:r w:rsidRPr="00A241F5">
        <w:rPr>
          <w:i/>
        </w:rPr>
        <w:t>The need for safeguards</w:t>
      </w:r>
    </w:p>
    <w:p w14:paraId="4794B62E" w14:textId="77777777" w:rsidR="0045386A" w:rsidRPr="00A241F5" w:rsidRDefault="0045386A" w:rsidP="0045386A">
      <w:pPr>
        <w:keepNext/>
        <w:keepLines/>
        <w:rPr>
          <w:b/>
          <w:sz w:val="28"/>
          <w:szCs w:val="28"/>
        </w:rPr>
      </w:pPr>
    </w:p>
    <w:p w14:paraId="2F1DDC7A" w14:textId="766C615B" w:rsidR="0045386A" w:rsidRPr="00A241F5" w:rsidRDefault="0045386A" w:rsidP="0045386A">
      <w:pPr>
        <w:widowControl/>
        <w:tabs>
          <w:tab w:val="clear" w:pos="1418"/>
          <w:tab w:val="left" w:pos="1440"/>
        </w:tabs>
        <w:rPr>
          <w:rFonts w:cs="Arial"/>
        </w:rPr>
      </w:pPr>
      <w:r w:rsidRPr="00A241F5">
        <w:rPr>
          <w:rFonts w:cs="Arial"/>
        </w:rPr>
        <w:t>14.2</w:t>
      </w:r>
      <w:r w:rsidRPr="00A241F5">
        <w:rPr>
          <w:rFonts w:cs="Arial"/>
        </w:rPr>
        <w:tab/>
        <w:t>Almost all Respondents who commented on Recommendation 13(a) agreed with the proposals made.</w:t>
      </w:r>
    </w:p>
    <w:p w14:paraId="279FFF07" w14:textId="77777777" w:rsidR="0045386A" w:rsidRPr="00A241F5" w:rsidRDefault="0045386A" w:rsidP="0045386A">
      <w:pPr>
        <w:widowControl/>
        <w:tabs>
          <w:tab w:val="clear" w:pos="1418"/>
          <w:tab w:val="left" w:pos="1440"/>
        </w:tabs>
        <w:rPr>
          <w:rFonts w:cs="Arial"/>
        </w:rPr>
      </w:pPr>
    </w:p>
    <w:p w14:paraId="400766B1" w14:textId="245F416E" w:rsidR="0045386A" w:rsidRPr="00A241F5" w:rsidRDefault="0045386A" w:rsidP="0045386A">
      <w:pPr>
        <w:widowControl/>
        <w:tabs>
          <w:tab w:val="clear" w:pos="1418"/>
          <w:tab w:val="left" w:pos="1440"/>
        </w:tabs>
        <w:rPr>
          <w:rFonts w:cs="Arial"/>
        </w:rPr>
      </w:pPr>
      <w:r w:rsidRPr="00A241F5">
        <w:rPr>
          <w:rFonts w:cs="Arial"/>
        </w:rPr>
        <w:lastRenderedPageBreak/>
        <w:t>14.3</w:t>
      </w:r>
      <w:r w:rsidRPr="00A241F5">
        <w:rPr>
          <w:rFonts w:cs="Arial"/>
        </w:rPr>
        <w:tab/>
        <w:t xml:space="preserve">One Respondent, a Government department, commented that </w:t>
      </w:r>
      <w:r w:rsidR="00C61F4B" w:rsidRPr="00A241F5">
        <w:rPr>
          <w:rFonts w:cs="Arial"/>
          <w:i/>
        </w:rPr>
        <w:t>"</w:t>
      </w:r>
      <w:r w:rsidRPr="00A241F5">
        <w:rPr>
          <w:rFonts w:cs="Arial"/>
          <w:i/>
        </w:rPr>
        <w:t>appropriate safeguards for ORFSs for Arbitration should be put in place to minimise the potential risks such as those summarised in Chapter 4 of the Consultation Paper, and that the safeguards should be in line with international practice</w:t>
      </w:r>
      <w:r w:rsidR="00C61F4B" w:rsidRPr="00A241F5">
        <w:rPr>
          <w:rFonts w:cs="Arial"/>
          <w:i/>
        </w:rPr>
        <w:t>"</w:t>
      </w:r>
      <w:r w:rsidR="00923002" w:rsidRPr="00A241F5">
        <w:rPr>
          <w:rFonts w:cs="Arial"/>
        </w:rPr>
        <w:t>.</w:t>
      </w:r>
    </w:p>
    <w:p w14:paraId="76FB6226" w14:textId="77777777" w:rsidR="0045386A" w:rsidRPr="00A241F5" w:rsidRDefault="0045386A" w:rsidP="0045386A">
      <w:pPr>
        <w:widowControl/>
        <w:tabs>
          <w:tab w:val="clear" w:pos="1418"/>
          <w:tab w:val="left" w:pos="1440"/>
        </w:tabs>
        <w:rPr>
          <w:rFonts w:cs="Arial"/>
        </w:rPr>
      </w:pPr>
    </w:p>
    <w:p w14:paraId="24F14172" w14:textId="57361CA0" w:rsidR="0045386A" w:rsidRPr="00A241F5" w:rsidRDefault="0045386A" w:rsidP="0045386A">
      <w:pPr>
        <w:widowControl/>
        <w:tabs>
          <w:tab w:val="clear" w:pos="1418"/>
          <w:tab w:val="left" w:pos="1440"/>
        </w:tabs>
        <w:rPr>
          <w:rFonts w:cs="Arial"/>
        </w:rPr>
      </w:pPr>
      <w:r w:rsidRPr="00A241F5">
        <w:rPr>
          <w:rFonts w:cs="Arial"/>
        </w:rPr>
        <w:t>14.4</w:t>
      </w:r>
      <w:r w:rsidRPr="00A241F5">
        <w:rPr>
          <w:rFonts w:cs="Arial"/>
        </w:rPr>
        <w:tab/>
        <w:t xml:space="preserve">A regulator agreed with adopting </w:t>
      </w:r>
      <w:r w:rsidR="00C61F4B" w:rsidRPr="00A241F5">
        <w:rPr>
          <w:rFonts w:cs="Arial"/>
          <w:i/>
        </w:rPr>
        <w:t>"</w:t>
      </w:r>
      <w:r w:rsidRPr="00A241F5">
        <w:rPr>
          <w:rFonts w:cs="Arial"/>
          <w:i/>
        </w:rPr>
        <w:t xml:space="preserve">appropriate measures … to safeguard the interests of clients ... and lawyers by allowing the parties concerned to be provided with and apprised of all relevant information as well as the associated risks to facilitate them to make informed decisions before entering </w:t>
      </w:r>
      <w:r w:rsidRPr="00A241F5">
        <w:rPr>
          <w:rFonts w:cs="Arial"/>
        </w:rPr>
        <w:t>[</w:t>
      </w:r>
      <w:r w:rsidRPr="00A241F5">
        <w:rPr>
          <w:rFonts w:cs="Arial"/>
          <w:i/>
        </w:rPr>
        <w:t>in</w:t>
      </w:r>
      <w:r w:rsidRPr="00A241F5">
        <w:rPr>
          <w:rFonts w:cs="Arial"/>
        </w:rPr>
        <w:t>]</w:t>
      </w:r>
      <w:r w:rsidRPr="00A241F5">
        <w:rPr>
          <w:rFonts w:cs="Arial"/>
          <w:i/>
        </w:rPr>
        <w:t>to the relevant ORFS arrangement(s)</w:t>
      </w:r>
      <w:r w:rsidR="00C61F4B" w:rsidRPr="00A241F5">
        <w:rPr>
          <w:rFonts w:cs="Arial"/>
          <w:i/>
        </w:rPr>
        <w:t>"</w:t>
      </w:r>
      <w:r w:rsidRPr="00A241F5">
        <w:rPr>
          <w:rFonts w:cs="Arial"/>
        </w:rPr>
        <w:t>.</w:t>
      </w:r>
    </w:p>
    <w:p w14:paraId="56686CC8" w14:textId="77777777" w:rsidR="0045386A" w:rsidRPr="00A241F5" w:rsidRDefault="0045386A" w:rsidP="0045386A">
      <w:pPr>
        <w:widowControl/>
        <w:tabs>
          <w:tab w:val="clear" w:pos="1418"/>
          <w:tab w:val="left" w:pos="1440"/>
        </w:tabs>
        <w:rPr>
          <w:rFonts w:cs="Arial"/>
        </w:rPr>
      </w:pPr>
    </w:p>
    <w:p w14:paraId="7F222199" w14:textId="362C97EC" w:rsidR="0045386A" w:rsidRPr="00A241F5" w:rsidRDefault="0045386A" w:rsidP="0045386A">
      <w:pPr>
        <w:widowControl/>
        <w:tabs>
          <w:tab w:val="clear" w:pos="1418"/>
          <w:tab w:val="left" w:pos="1440"/>
        </w:tabs>
        <w:rPr>
          <w:rFonts w:cs="Arial"/>
          <w:i/>
        </w:rPr>
      </w:pPr>
      <w:r w:rsidRPr="00A241F5">
        <w:rPr>
          <w:rFonts w:cs="Arial"/>
        </w:rPr>
        <w:t>14.5</w:t>
      </w:r>
      <w:r w:rsidRPr="00A241F5">
        <w:rPr>
          <w:rFonts w:cs="Arial"/>
        </w:rPr>
        <w:tab/>
        <w:t xml:space="preserve">Likewise, an arbitral institution commented that </w:t>
      </w:r>
      <w:r w:rsidR="00C61F4B" w:rsidRPr="00A241F5">
        <w:rPr>
          <w:rFonts w:cs="Arial"/>
          <w:i/>
        </w:rPr>
        <w:t>"</w:t>
      </w:r>
      <w:r w:rsidRPr="00A241F5">
        <w:rPr>
          <w:rFonts w:cs="Arial"/>
        </w:rPr>
        <w:t>[</w:t>
      </w:r>
      <w:r w:rsidRPr="00A241F5">
        <w:rPr>
          <w:rFonts w:cs="Arial"/>
          <w:i/>
        </w:rPr>
        <w:t>m</w:t>
      </w:r>
      <w:r w:rsidRPr="00A241F5">
        <w:rPr>
          <w:rFonts w:cs="Arial"/>
        </w:rPr>
        <w:t>]</w:t>
      </w:r>
      <w:r w:rsidRPr="00A241F5">
        <w:rPr>
          <w:rFonts w:cs="Arial"/>
          <w:i/>
        </w:rPr>
        <w:t>ore detailed regulatory framework should be put in place to provide more specific safeguards regarding the operation of ORFSs in Hong Kong</w:t>
      </w:r>
      <w:r w:rsidR="00C61F4B" w:rsidRPr="00A241F5">
        <w:rPr>
          <w:rFonts w:cs="Arial"/>
          <w:i/>
        </w:rPr>
        <w:t>"</w:t>
      </w:r>
      <w:r w:rsidR="00923002" w:rsidRPr="00A241F5">
        <w:rPr>
          <w:rFonts w:cs="Arial"/>
        </w:rPr>
        <w:t>.</w:t>
      </w:r>
      <w:r w:rsidRPr="00A241F5">
        <w:rPr>
          <w:rFonts w:cs="Arial"/>
        </w:rPr>
        <w:t xml:space="preserve"> </w:t>
      </w:r>
    </w:p>
    <w:p w14:paraId="5B6FEED4" w14:textId="77777777" w:rsidR="0045386A" w:rsidRPr="00A241F5" w:rsidRDefault="0045386A" w:rsidP="0045386A">
      <w:pPr>
        <w:widowControl/>
        <w:tabs>
          <w:tab w:val="clear" w:pos="1418"/>
          <w:tab w:val="left" w:pos="1440"/>
        </w:tabs>
        <w:rPr>
          <w:rFonts w:cs="Arial"/>
          <w:i/>
        </w:rPr>
      </w:pPr>
    </w:p>
    <w:p w14:paraId="702A2BC8" w14:textId="54B24E0C" w:rsidR="0045386A" w:rsidRPr="00A241F5" w:rsidRDefault="0045386A" w:rsidP="0045386A">
      <w:pPr>
        <w:widowControl/>
        <w:tabs>
          <w:tab w:val="clear" w:pos="1418"/>
          <w:tab w:val="left" w:pos="1440"/>
        </w:tabs>
        <w:rPr>
          <w:rFonts w:cs="Arial"/>
        </w:rPr>
      </w:pPr>
      <w:r w:rsidRPr="00A241F5">
        <w:rPr>
          <w:rFonts w:cs="Arial"/>
        </w:rPr>
        <w:t>14.6</w:t>
      </w:r>
      <w:r w:rsidRPr="00A241F5">
        <w:rPr>
          <w:rFonts w:cs="Arial"/>
        </w:rPr>
        <w:tab/>
        <w:t xml:space="preserve">Another Respondent, a chamber of commerce, explained that </w:t>
      </w:r>
      <w:r w:rsidR="00C61F4B" w:rsidRPr="00A241F5">
        <w:rPr>
          <w:rFonts w:cs="Arial"/>
          <w:i/>
        </w:rPr>
        <w:t>"</w:t>
      </w:r>
      <w:r w:rsidRPr="00A241F5">
        <w:rPr>
          <w:rFonts w:cs="Arial"/>
          <w:i/>
        </w:rPr>
        <w:t>while we believe that, under the principle of freedom of contract, businesses should generally be free to negotiate the terms of their agreement with their lawyers without the need for legislative intervention, certain safeguards may be necessary in the initial years of the new regime</w:t>
      </w:r>
      <w:r w:rsidR="00C61F4B" w:rsidRPr="00A241F5">
        <w:rPr>
          <w:rFonts w:cs="Arial"/>
          <w:i/>
        </w:rPr>
        <w:t>"</w:t>
      </w:r>
      <w:r w:rsidRPr="00A241F5">
        <w:rPr>
          <w:rFonts w:cs="Arial"/>
        </w:rPr>
        <w:t>.</w:t>
      </w:r>
      <w:r w:rsidRPr="00A241F5">
        <w:rPr>
          <w:rFonts w:cs="Arial"/>
          <w:i/>
        </w:rPr>
        <w:t xml:space="preserve">  </w:t>
      </w:r>
      <w:r w:rsidRPr="00A241F5">
        <w:rPr>
          <w:rFonts w:cs="Arial"/>
        </w:rPr>
        <w:t xml:space="preserve">This Respondent explained that such safeguards would </w:t>
      </w:r>
      <w:r w:rsidR="00C61F4B" w:rsidRPr="00A241F5">
        <w:rPr>
          <w:rFonts w:cs="Arial"/>
          <w:i/>
        </w:rPr>
        <w:t>"</w:t>
      </w:r>
      <w:r w:rsidRPr="00A241F5">
        <w:rPr>
          <w:rFonts w:cs="Arial"/>
          <w:i/>
        </w:rPr>
        <w:t>in particular … protect the interests of SMEs</w:t>
      </w:r>
      <w:r w:rsidR="00C61F4B" w:rsidRPr="00A241F5">
        <w:rPr>
          <w:rFonts w:cs="Arial"/>
          <w:i/>
        </w:rPr>
        <w:t>"</w:t>
      </w:r>
      <w:r w:rsidRPr="00A241F5">
        <w:rPr>
          <w:rFonts w:cs="Arial"/>
        </w:rPr>
        <w:t xml:space="preserve">. </w:t>
      </w:r>
    </w:p>
    <w:p w14:paraId="1CDE7FA9" w14:textId="77777777" w:rsidR="0045386A" w:rsidRPr="00A241F5" w:rsidRDefault="0045386A" w:rsidP="0045386A">
      <w:pPr>
        <w:widowControl/>
        <w:tabs>
          <w:tab w:val="clear" w:pos="1418"/>
          <w:tab w:val="left" w:pos="1440"/>
        </w:tabs>
        <w:rPr>
          <w:rFonts w:cs="Arial"/>
        </w:rPr>
      </w:pPr>
    </w:p>
    <w:p w14:paraId="31BE7C32" w14:textId="377326A4" w:rsidR="0060174F" w:rsidRPr="00A241F5" w:rsidRDefault="0045386A" w:rsidP="0045386A">
      <w:pPr>
        <w:widowControl/>
        <w:tabs>
          <w:tab w:val="clear" w:pos="1418"/>
          <w:tab w:val="left" w:pos="1440"/>
        </w:tabs>
        <w:rPr>
          <w:rFonts w:cs="Arial"/>
        </w:rPr>
      </w:pPr>
      <w:r w:rsidRPr="00A241F5">
        <w:rPr>
          <w:rFonts w:cs="Arial"/>
        </w:rPr>
        <w:t>14.7</w:t>
      </w:r>
      <w:r w:rsidRPr="00A241F5">
        <w:rPr>
          <w:rFonts w:cs="Arial"/>
        </w:rPr>
        <w:tab/>
        <w:t>The Consumer Council also supported this recommendation, and expressed its approval for consumers to be provided with a variety of flexible fee arrangement choices under ORFSs for Arbitration</w:t>
      </w:r>
      <w:r w:rsidR="0060174F" w:rsidRPr="00A241F5">
        <w:rPr>
          <w:rFonts w:cs="Arial"/>
        </w:rPr>
        <w:t xml:space="preserve"> as follows:</w:t>
      </w:r>
    </w:p>
    <w:p w14:paraId="7FD16C5C" w14:textId="77777777" w:rsidR="0060174F" w:rsidRPr="00A241F5" w:rsidRDefault="0060174F" w:rsidP="0045386A">
      <w:pPr>
        <w:widowControl/>
        <w:tabs>
          <w:tab w:val="clear" w:pos="1418"/>
          <w:tab w:val="left" w:pos="1440"/>
        </w:tabs>
        <w:rPr>
          <w:rFonts w:cs="Arial"/>
        </w:rPr>
      </w:pPr>
    </w:p>
    <w:p w14:paraId="675AA02B" w14:textId="2835F9E9" w:rsidR="0060174F" w:rsidRPr="00A241F5" w:rsidRDefault="00C61F4B" w:rsidP="008B04F6">
      <w:pPr>
        <w:pStyle w:val="BlockText"/>
      </w:pPr>
      <w:r w:rsidRPr="00A241F5">
        <w:t>"</w:t>
      </w:r>
      <w:r w:rsidR="00A10EC2" w:rsidRPr="00A241F5">
        <w:t xml:space="preserve">… </w:t>
      </w:r>
      <w:r w:rsidR="0045386A" w:rsidRPr="00A241F5">
        <w:t>provided that consumers are empowered with all the relevant information they require so they may have the freedom to contract in alignment with their views on how they wish to manage their case, alongside the careful guidance of their legal representative.  The Council also considers that there must be sufficient safeguards in place</w:t>
      </w:r>
      <w:r w:rsidR="00923002" w:rsidRPr="00A241F5">
        <w:t>.</w:t>
      </w:r>
      <w:r w:rsidRPr="00A241F5">
        <w:t>"</w:t>
      </w:r>
      <w:r w:rsidR="0045386A" w:rsidRPr="00A241F5">
        <w:t xml:space="preserve">  </w:t>
      </w:r>
    </w:p>
    <w:p w14:paraId="5E6D7226" w14:textId="77777777" w:rsidR="0060174F" w:rsidRPr="00A241F5" w:rsidRDefault="0060174F" w:rsidP="0045386A">
      <w:pPr>
        <w:widowControl/>
        <w:tabs>
          <w:tab w:val="clear" w:pos="1418"/>
          <w:tab w:val="left" w:pos="1440"/>
        </w:tabs>
        <w:rPr>
          <w:rFonts w:cs="Arial"/>
        </w:rPr>
      </w:pPr>
    </w:p>
    <w:p w14:paraId="1ED42E5E" w14:textId="441D9642" w:rsidR="0045386A" w:rsidRPr="00A241F5" w:rsidRDefault="0045386A" w:rsidP="0045386A">
      <w:pPr>
        <w:widowControl/>
        <w:tabs>
          <w:tab w:val="clear" w:pos="1418"/>
          <w:tab w:val="left" w:pos="1440"/>
        </w:tabs>
        <w:rPr>
          <w:rFonts w:cs="Arial"/>
        </w:rPr>
      </w:pPr>
      <w:r w:rsidRPr="00A241F5">
        <w:rPr>
          <w:rFonts w:cs="Arial"/>
        </w:rPr>
        <w:t>The Consumer Council said that it welcomed</w:t>
      </w:r>
      <w:r w:rsidRPr="00A241F5">
        <w:rPr>
          <w:rFonts w:cs="Arial"/>
          <w:i/>
        </w:rPr>
        <w:t xml:space="preserve"> </w:t>
      </w:r>
      <w:r w:rsidR="00C61F4B" w:rsidRPr="00A241F5">
        <w:rPr>
          <w:rFonts w:cs="Arial"/>
          <w:i/>
        </w:rPr>
        <w:t>"</w:t>
      </w:r>
      <w:r w:rsidRPr="00A241F5">
        <w:rPr>
          <w:rFonts w:cs="Arial"/>
          <w:i/>
        </w:rPr>
        <w:t>transparency and guidance provided by legal practitioners to consumer clients to ensure those entering into ORFSs are properly informed and have a clear understanding of their rights and responsibilities under the ORFS</w:t>
      </w:r>
      <w:r w:rsidR="00C61F4B" w:rsidRPr="00A241F5">
        <w:rPr>
          <w:rFonts w:cs="Arial"/>
          <w:i/>
        </w:rPr>
        <w:t>"</w:t>
      </w:r>
      <w:r w:rsidR="00923002" w:rsidRPr="00A241F5">
        <w:rPr>
          <w:rFonts w:cs="Arial"/>
          <w:i/>
        </w:rPr>
        <w:t>.</w:t>
      </w:r>
    </w:p>
    <w:p w14:paraId="4D0399EC" w14:textId="77777777" w:rsidR="0045386A" w:rsidRPr="00A241F5" w:rsidRDefault="0045386A" w:rsidP="0045386A">
      <w:pPr>
        <w:widowControl/>
        <w:tabs>
          <w:tab w:val="clear" w:pos="1418"/>
          <w:tab w:val="left" w:pos="1440"/>
        </w:tabs>
        <w:rPr>
          <w:rFonts w:cs="Arial"/>
        </w:rPr>
      </w:pPr>
    </w:p>
    <w:p w14:paraId="1E34E168" w14:textId="707E77AB" w:rsidR="0045386A" w:rsidRPr="00A241F5" w:rsidRDefault="0045386A" w:rsidP="0045386A">
      <w:pPr>
        <w:widowControl/>
        <w:tabs>
          <w:tab w:val="clear" w:pos="1418"/>
          <w:tab w:val="left" w:pos="1440"/>
        </w:tabs>
        <w:rPr>
          <w:rFonts w:cs="Arial"/>
        </w:rPr>
      </w:pPr>
      <w:r w:rsidRPr="00A241F5">
        <w:rPr>
          <w:rFonts w:cs="Arial"/>
        </w:rPr>
        <w:t>14.8</w:t>
      </w:r>
      <w:r w:rsidRPr="00A241F5">
        <w:rPr>
          <w:rFonts w:cs="Arial"/>
        </w:rPr>
        <w:tab/>
        <w:t>A litigation funder also agreed with safeguards being put in place.  The funder</w:t>
      </w:r>
      <w:r w:rsidR="00C61F4B" w:rsidRPr="00A241F5">
        <w:rPr>
          <w:rFonts w:cs="Arial"/>
        </w:rPr>
        <w:t>'</w:t>
      </w:r>
      <w:r w:rsidRPr="00A241F5">
        <w:rPr>
          <w:rFonts w:cs="Arial"/>
        </w:rPr>
        <w:t xml:space="preserve">s view was that such safeguards should be contained in a separate code of practice.  This was also the view of the HKBA, which suggested </w:t>
      </w:r>
      <w:r w:rsidR="00C61F4B" w:rsidRPr="00A241F5">
        <w:rPr>
          <w:rFonts w:cs="Arial"/>
          <w:i/>
        </w:rPr>
        <w:t>"</w:t>
      </w:r>
      <w:r w:rsidRPr="00A241F5">
        <w:rPr>
          <w:rFonts w:cs="Arial"/>
          <w:i/>
        </w:rPr>
        <w:t>that it is in the public interest that safeguards for financial and ethical matters be applied to provision of funding by Lawyers that are similar in nature to those covered by Hong Kong</w:t>
      </w:r>
      <w:r w:rsidR="00C61F4B" w:rsidRPr="00A241F5">
        <w:rPr>
          <w:rFonts w:cs="Arial"/>
          <w:i/>
        </w:rPr>
        <w:t>'</w:t>
      </w:r>
      <w:r w:rsidRPr="00A241F5">
        <w:rPr>
          <w:rFonts w:cs="Arial"/>
          <w:i/>
        </w:rPr>
        <w:t>s Code of Practice for Third Party Funding of Arbitration</w:t>
      </w:r>
      <w:r w:rsidR="00C61F4B" w:rsidRPr="00A241F5">
        <w:rPr>
          <w:rFonts w:cs="Arial"/>
          <w:i/>
        </w:rPr>
        <w:t>"</w:t>
      </w:r>
      <w:r w:rsidR="00923002" w:rsidRPr="00A241F5">
        <w:rPr>
          <w:rFonts w:cs="Arial"/>
        </w:rPr>
        <w:t>.</w:t>
      </w:r>
      <w:r w:rsidRPr="00A241F5">
        <w:rPr>
          <w:rFonts w:cs="Arial"/>
        </w:rPr>
        <w:t xml:space="preserve">  Another Respondent, a law firm, agreed, noting that the proposed safeguards should be addressed by way of a code of conduct, issued by an authorised body, similar to the approach taken for the regulation of Third Party Funding in Arbitration (and mediation).  This law firm considered that this </w:t>
      </w:r>
      <w:r w:rsidR="00C61F4B" w:rsidRPr="00A241F5">
        <w:rPr>
          <w:rFonts w:cs="Arial"/>
          <w:i/>
        </w:rPr>
        <w:t>"</w:t>
      </w:r>
      <w:r w:rsidRPr="00A241F5">
        <w:rPr>
          <w:rFonts w:cs="Arial"/>
          <w:i/>
        </w:rPr>
        <w:t xml:space="preserve">will provide the </w:t>
      </w:r>
      <w:r w:rsidRPr="00A241F5">
        <w:rPr>
          <w:rFonts w:cs="Arial"/>
          <w:i/>
        </w:rPr>
        <w:lastRenderedPageBreak/>
        <w:t>flexibility for the authorised body to update and amend the code of conduct from time to time, taking into account the latest developments and market practice</w:t>
      </w:r>
      <w:r w:rsidR="00C61F4B" w:rsidRPr="00A241F5">
        <w:rPr>
          <w:rFonts w:cs="Arial"/>
          <w:i/>
        </w:rPr>
        <w:t>"</w:t>
      </w:r>
      <w:r w:rsidRPr="00A241F5">
        <w:rPr>
          <w:rFonts w:cs="Arial"/>
        </w:rPr>
        <w:t>.</w:t>
      </w:r>
    </w:p>
    <w:p w14:paraId="6DB8111E" w14:textId="77777777" w:rsidR="0045386A" w:rsidRPr="00A241F5" w:rsidRDefault="0045386A" w:rsidP="0045386A">
      <w:pPr>
        <w:widowControl/>
        <w:tabs>
          <w:tab w:val="clear" w:pos="1418"/>
          <w:tab w:val="left" w:pos="1440"/>
        </w:tabs>
        <w:rPr>
          <w:rFonts w:cs="Arial"/>
          <w:i/>
        </w:rPr>
      </w:pPr>
    </w:p>
    <w:p w14:paraId="4975B0E5" w14:textId="77777777" w:rsidR="0045386A" w:rsidRPr="00A241F5" w:rsidRDefault="0045386A" w:rsidP="00BD5776">
      <w:pPr>
        <w:keepNext/>
        <w:keepLines/>
        <w:widowControl/>
        <w:tabs>
          <w:tab w:val="clear" w:pos="1418"/>
          <w:tab w:val="left" w:pos="1440"/>
        </w:tabs>
        <w:rPr>
          <w:i/>
        </w:rPr>
      </w:pPr>
      <w:r w:rsidRPr="00A241F5">
        <w:rPr>
          <w:i/>
        </w:rPr>
        <w:t>The suggested safeguards</w:t>
      </w:r>
    </w:p>
    <w:p w14:paraId="06BF7F63" w14:textId="77777777" w:rsidR="001C4520" w:rsidRPr="00A241F5" w:rsidRDefault="001C4520" w:rsidP="0045386A">
      <w:pPr>
        <w:widowControl/>
        <w:tabs>
          <w:tab w:val="clear" w:pos="1418"/>
          <w:tab w:val="left" w:pos="1440"/>
        </w:tabs>
      </w:pPr>
    </w:p>
    <w:p w14:paraId="43102AEA" w14:textId="77F59078" w:rsidR="0045386A" w:rsidRPr="00A241F5" w:rsidRDefault="0045386A" w:rsidP="0045386A">
      <w:pPr>
        <w:widowControl/>
        <w:tabs>
          <w:tab w:val="clear" w:pos="1418"/>
          <w:tab w:val="left" w:pos="1440"/>
        </w:tabs>
      </w:pPr>
      <w:r w:rsidRPr="00A241F5">
        <w:t>14.9</w:t>
      </w:r>
      <w:r w:rsidRPr="00A241F5">
        <w:tab/>
        <w:t xml:space="preserve">In terms of what precisely those safeguards should be, the majority of the Respondents who commented on Recommendation 13(a) agreed with the safeguards suggested in Recommendation 13(a), including </w:t>
      </w:r>
      <w:r w:rsidRPr="00A241F5">
        <w:rPr>
          <w:rFonts w:cs="Arial"/>
        </w:rPr>
        <w:t>a</w:t>
      </w:r>
      <w:r w:rsidRPr="00A241F5">
        <w:rPr>
          <w:rFonts w:cs="Arial"/>
          <w:i/>
        </w:rPr>
        <w:t xml:space="preserve"> </w:t>
      </w:r>
      <w:r w:rsidRPr="00A241F5">
        <w:rPr>
          <w:rFonts w:cs="Arial"/>
        </w:rPr>
        <w:t>requirement to give the client all relevant information relating to the ORFS that is being entered into, and to provide that information in a clear and accessible form</w:t>
      </w:r>
      <w:r w:rsidRPr="00A241F5">
        <w:t xml:space="preserve">.  Opinions mainly differed only in respect of whether a client should be required to disclose an ORFS for Arbitration.  One Respondent also disagreed with there being a </w:t>
      </w:r>
      <w:r w:rsidR="00C61F4B" w:rsidRPr="00A241F5">
        <w:t>"</w:t>
      </w:r>
      <w:r w:rsidRPr="00A241F5">
        <w:t>cooling-off</w:t>
      </w:r>
      <w:r w:rsidR="00C61F4B" w:rsidRPr="00A241F5">
        <w:t>"</w:t>
      </w:r>
      <w:r w:rsidRPr="00A241F5">
        <w:t xml:space="preserve"> period (see paragraphs 1</w:t>
      </w:r>
      <w:r w:rsidR="00F44171" w:rsidRPr="00A241F5">
        <w:t>4</w:t>
      </w:r>
      <w:r w:rsidRPr="00A241F5">
        <w:t>.11 to 1</w:t>
      </w:r>
      <w:r w:rsidR="00F44171" w:rsidRPr="00A241F5">
        <w:t>4</w:t>
      </w:r>
      <w:r w:rsidRPr="00A241F5">
        <w:t xml:space="preserve">.13 below).  </w:t>
      </w:r>
    </w:p>
    <w:p w14:paraId="5E4B3829" w14:textId="77777777" w:rsidR="0045386A" w:rsidRPr="00A241F5" w:rsidRDefault="0045386A" w:rsidP="0045386A">
      <w:pPr>
        <w:widowControl/>
        <w:tabs>
          <w:tab w:val="clear" w:pos="1418"/>
          <w:tab w:val="left" w:pos="1440"/>
        </w:tabs>
      </w:pPr>
    </w:p>
    <w:p w14:paraId="06B65EFB" w14:textId="77777777" w:rsidR="0045386A" w:rsidRPr="00A241F5" w:rsidRDefault="0045386A" w:rsidP="0045386A">
      <w:pPr>
        <w:widowControl/>
        <w:tabs>
          <w:tab w:val="clear" w:pos="1418"/>
          <w:tab w:val="left" w:pos="1440"/>
        </w:tabs>
        <w:rPr>
          <w:i/>
        </w:rPr>
      </w:pPr>
      <w:r w:rsidRPr="00A241F5">
        <w:rPr>
          <w:i/>
        </w:rPr>
        <w:t>(i)  Disclosure of the existence of ORFSs</w:t>
      </w:r>
    </w:p>
    <w:p w14:paraId="1D666DBF" w14:textId="77777777" w:rsidR="0045386A" w:rsidRPr="00A241F5" w:rsidRDefault="0045386A" w:rsidP="0045386A">
      <w:pPr>
        <w:widowControl/>
        <w:tabs>
          <w:tab w:val="clear" w:pos="1418"/>
          <w:tab w:val="left" w:pos="1440"/>
        </w:tabs>
      </w:pPr>
    </w:p>
    <w:p w14:paraId="014A2DAD" w14:textId="4C9CE49C" w:rsidR="00A86F08" w:rsidRPr="00A241F5" w:rsidRDefault="0045386A" w:rsidP="0045386A">
      <w:pPr>
        <w:widowControl/>
        <w:tabs>
          <w:tab w:val="clear" w:pos="1418"/>
          <w:tab w:val="left" w:pos="1440"/>
        </w:tabs>
      </w:pPr>
      <w:r w:rsidRPr="00A241F5">
        <w:t>14.10</w:t>
      </w:r>
      <w:r w:rsidRPr="00A241F5">
        <w:tab/>
        <w:t xml:space="preserve">On the question of disclosure, a number of Respondents agreed that the existence of an ORFS for Arbitration should be disclosed to the other party/ies and the Tribunal in the Arbitration.  However, a </w:t>
      </w:r>
      <w:r w:rsidR="00530EFB" w:rsidRPr="00A241F5">
        <w:rPr>
          <w:rFonts w:cs="Arial"/>
        </w:rPr>
        <w:t>consumer/public interest group</w:t>
      </w:r>
      <w:r w:rsidRPr="00A241F5">
        <w:t xml:space="preserve"> and an arbitral institution did not agree.  The </w:t>
      </w:r>
      <w:r w:rsidR="00530EFB" w:rsidRPr="00A241F5">
        <w:rPr>
          <w:rFonts w:cs="Arial"/>
        </w:rPr>
        <w:t>consumer/public interest group</w:t>
      </w:r>
      <w:r w:rsidRPr="00A241F5">
        <w:t xml:space="preserve"> commented that</w:t>
      </w:r>
      <w:r w:rsidR="00A86F08" w:rsidRPr="00A241F5">
        <w:t>:</w:t>
      </w:r>
      <w:r w:rsidR="00530EFB" w:rsidRPr="00A241F5">
        <w:t xml:space="preserve"> </w:t>
      </w:r>
    </w:p>
    <w:p w14:paraId="5947C696" w14:textId="77777777" w:rsidR="00A86F08" w:rsidRPr="00A241F5" w:rsidRDefault="00A86F08" w:rsidP="0045386A">
      <w:pPr>
        <w:widowControl/>
        <w:tabs>
          <w:tab w:val="clear" w:pos="1418"/>
          <w:tab w:val="left" w:pos="1440"/>
        </w:tabs>
      </w:pPr>
    </w:p>
    <w:p w14:paraId="32419EE6" w14:textId="05678560" w:rsidR="00A86F08" w:rsidRPr="00A241F5" w:rsidRDefault="00C61F4B" w:rsidP="008B04F6">
      <w:pPr>
        <w:pStyle w:val="BlockText"/>
      </w:pPr>
      <w:r w:rsidRPr="00A241F5">
        <w:t>"</w:t>
      </w:r>
      <w:r w:rsidR="006B2524" w:rsidRPr="00A241F5">
        <w:t>A</w:t>
      </w:r>
      <w:r w:rsidR="0045386A" w:rsidRPr="00A241F5">
        <w:t>n agreement entered between a lawyer and a client is a private agreement, the chosen type of which shall have no effect on the conduct of arbitration.  Notification to the respondent and Tribunal is only required by the legislation where third party funding is involved</w:t>
      </w:r>
      <w:r w:rsidR="00923002" w:rsidRPr="00A241F5">
        <w:t>.</w:t>
      </w:r>
      <w:r w:rsidRPr="00A241F5">
        <w:t>"</w:t>
      </w:r>
      <w:r w:rsidR="0045386A" w:rsidRPr="00A241F5">
        <w:t xml:space="preserve">  </w:t>
      </w:r>
    </w:p>
    <w:p w14:paraId="0441FD8F" w14:textId="77777777" w:rsidR="00A86F08" w:rsidRPr="00A241F5" w:rsidRDefault="00A86F08" w:rsidP="0045386A">
      <w:pPr>
        <w:widowControl/>
        <w:tabs>
          <w:tab w:val="clear" w:pos="1418"/>
          <w:tab w:val="left" w:pos="1440"/>
        </w:tabs>
      </w:pPr>
    </w:p>
    <w:p w14:paraId="5B713232" w14:textId="20A23DA7" w:rsidR="00A86F08" w:rsidRPr="00A241F5" w:rsidRDefault="0045386A" w:rsidP="0045386A">
      <w:pPr>
        <w:widowControl/>
        <w:tabs>
          <w:tab w:val="clear" w:pos="1418"/>
          <w:tab w:val="left" w:pos="1440"/>
        </w:tabs>
      </w:pPr>
      <w:r w:rsidRPr="00A241F5">
        <w:t xml:space="preserve">An arbitral institution was of the same view, stating that there should be </w:t>
      </w:r>
      <w:r w:rsidR="00C61F4B" w:rsidRPr="00A241F5">
        <w:rPr>
          <w:i/>
        </w:rPr>
        <w:t>"</w:t>
      </w:r>
      <w:r w:rsidRPr="00A241F5">
        <w:rPr>
          <w:i/>
        </w:rPr>
        <w:t xml:space="preserve">different policy considerations for TPF </w:t>
      </w:r>
      <w:r w:rsidRPr="00A241F5">
        <w:t>[</w:t>
      </w:r>
      <w:r w:rsidRPr="00A241F5">
        <w:rPr>
          <w:i/>
        </w:rPr>
        <w:t>third party funding</w:t>
      </w:r>
      <w:r w:rsidRPr="00A241F5">
        <w:t>]</w:t>
      </w:r>
      <w:r w:rsidRPr="00A241F5">
        <w:rPr>
          <w:i/>
        </w:rPr>
        <w:t xml:space="preserve"> and ORFSs</w:t>
      </w:r>
      <w:r w:rsidR="00C61F4B" w:rsidRPr="00A241F5">
        <w:rPr>
          <w:i/>
        </w:rPr>
        <w:t>"</w:t>
      </w:r>
      <w:r w:rsidR="00923002" w:rsidRPr="00A241F5">
        <w:rPr>
          <w:i/>
        </w:rPr>
        <w:t>.</w:t>
      </w:r>
      <w:r w:rsidR="00A86F08" w:rsidRPr="00A241F5">
        <w:rPr>
          <w:i/>
        </w:rPr>
        <w:t xml:space="preserve">  </w:t>
      </w:r>
      <w:r w:rsidRPr="00A241F5">
        <w:t>The institution added that:</w:t>
      </w:r>
    </w:p>
    <w:p w14:paraId="5F886248" w14:textId="77777777" w:rsidR="00A86F08" w:rsidRPr="00A241F5" w:rsidRDefault="00A86F08" w:rsidP="0045386A">
      <w:pPr>
        <w:widowControl/>
        <w:tabs>
          <w:tab w:val="clear" w:pos="1418"/>
          <w:tab w:val="left" w:pos="1440"/>
        </w:tabs>
      </w:pPr>
    </w:p>
    <w:p w14:paraId="7D8CF274" w14:textId="77A2D7F6" w:rsidR="0045386A" w:rsidRPr="00A241F5" w:rsidRDefault="00C61F4B" w:rsidP="00A86F08">
      <w:pPr>
        <w:pStyle w:val="BlockText"/>
      </w:pPr>
      <w:r w:rsidRPr="00A241F5">
        <w:t>"</w:t>
      </w:r>
      <w:r w:rsidR="0045386A" w:rsidRPr="00A241F5">
        <w:t>Disclosure of TPF is appropriate because it involves a third party that has an interest in the arbitration.  In contrast, ORFSs are arrangements between a client and its counsel, the identities of which have already been disclosed in the arbitration.  ORFS arrangements are usually confidential unless and until a costs application is made.  For those reasons, we recommend that no disclosure of ORFSs should be required under Hong Kong law</w:t>
      </w:r>
      <w:r w:rsidR="00923002" w:rsidRPr="00A241F5">
        <w:t>.</w:t>
      </w:r>
      <w:r w:rsidRPr="00A241F5">
        <w:t>"</w:t>
      </w:r>
      <w:r w:rsidR="0045386A" w:rsidRPr="00A241F5">
        <w:t xml:space="preserve">    </w:t>
      </w:r>
    </w:p>
    <w:p w14:paraId="233E4394" w14:textId="77777777" w:rsidR="0045386A" w:rsidRPr="00A241F5" w:rsidRDefault="0045386A" w:rsidP="0045386A">
      <w:pPr>
        <w:widowControl/>
        <w:tabs>
          <w:tab w:val="clear" w:pos="1418"/>
          <w:tab w:val="left" w:pos="1440"/>
        </w:tabs>
      </w:pPr>
    </w:p>
    <w:p w14:paraId="26B34CEC" w14:textId="47937727" w:rsidR="0045386A" w:rsidRPr="00A241F5" w:rsidRDefault="0045386A" w:rsidP="0045386A">
      <w:pPr>
        <w:widowControl/>
        <w:tabs>
          <w:tab w:val="clear" w:pos="1418"/>
          <w:tab w:val="left" w:pos="1440"/>
        </w:tabs>
        <w:rPr>
          <w:i/>
        </w:rPr>
      </w:pPr>
      <w:r w:rsidRPr="00A241F5">
        <w:rPr>
          <w:i/>
        </w:rPr>
        <w:t xml:space="preserve">(ii)  </w:t>
      </w:r>
      <w:r w:rsidR="00C61F4B" w:rsidRPr="00A241F5">
        <w:rPr>
          <w:i/>
        </w:rPr>
        <w:t>"</w:t>
      </w:r>
      <w:r w:rsidRPr="00A241F5">
        <w:rPr>
          <w:i/>
        </w:rPr>
        <w:t>Cooling-off</w:t>
      </w:r>
      <w:r w:rsidR="00C61F4B" w:rsidRPr="00A241F5">
        <w:rPr>
          <w:i/>
        </w:rPr>
        <w:t>"</w:t>
      </w:r>
      <w:r w:rsidRPr="00A241F5">
        <w:rPr>
          <w:i/>
        </w:rPr>
        <w:t xml:space="preserve"> period</w:t>
      </w:r>
    </w:p>
    <w:p w14:paraId="479AD080" w14:textId="77777777" w:rsidR="0045386A" w:rsidRPr="00A241F5" w:rsidRDefault="0045386A" w:rsidP="0045386A">
      <w:pPr>
        <w:widowControl/>
        <w:tabs>
          <w:tab w:val="clear" w:pos="1418"/>
          <w:tab w:val="left" w:pos="1440"/>
        </w:tabs>
        <w:rPr>
          <w:i/>
        </w:rPr>
      </w:pPr>
    </w:p>
    <w:p w14:paraId="193DA561" w14:textId="2056F6B4" w:rsidR="0045386A" w:rsidRPr="00A241F5" w:rsidRDefault="0045386A" w:rsidP="00AF3A2D">
      <w:r w:rsidRPr="00A241F5">
        <w:t>14.11</w:t>
      </w:r>
      <w:r w:rsidRPr="00A241F5">
        <w:tab/>
        <w:t xml:space="preserve">The other area of divergence arose in relation to </w:t>
      </w:r>
      <w:r w:rsidR="00C61F4B" w:rsidRPr="00A241F5">
        <w:t>"</w:t>
      </w:r>
      <w:r w:rsidRPr="00A241F5">
        <w:t>cooling-off</w:t>
      </w:r>
      <w:r w:rsidR="00C61F4B" w:rsidRPr="00A241F5">
        <w:t>"</w:t>
      </w:r>
      <w:r w:rsidRPr="00A241F5">
        <w:t xml:space="preserve"> periods.  The majority of Respondents who commented on the </w:t>
      </w:r>
      <w:r w:rsidR="00C61F4B" w:rsidRPr="00A241F5">
        <w:t>"</w:t>
      </w:r>
      <w:r w:rsidRPr="00A241F5">
        <w:t>cooling-off</w:t>
      </w:r>
      <w:r w:rsidR="00C61F4B" w:rsidRPr="00A241F5">
        <w:t>"</w:t>
      </w:r>
      <w:r w:rsidRPr="00A241F5">
        <w:t xml:space="preserve"> period were in favour.  A regulator observed that</w:t>
      </w:r>
      <w:r w:rsidR="00F16A03" w:rsidRPr="00A241F5">
        <w:t xml:space="preserve"> </w:t>
      </w:r>
      <w:r w:rsidR="00C61F4B" w:rsidRPr="00A241F5">
        <w:rPr>
          <w:i/>
        </w:rPr>
        <w:t>"</w:t>
      </w:r>
      <w:r w:rsidRPr="00A241F5">
        <w:rPr>
          <w:i/>
        </w:rPr>
        <w:t xml:space="preserve">the requirement to include a </w:t>
      </w:r>
      <w:r w:rsidR="00C61F4B" w:rsidRPr="00A241F5">
        <w:rPr>
          <w:rFonts w:cs="Arial"/>
          <w:i/>
        </w:rPr>
        <w:t>'</w:t>
      </w:r>
      <w:r w:rsidRPr="00A241F5">
        <w:rPr>
          <w:i/>
        </w:rPr>
        <w:t>cooling-off</w:t>
      </w:r>
      <w:r w:rsidR="00C61F4B" w:rsidRPr="00A241F5">
        <w:rPr>
          <w:rFonts w:cs="Arial"/>
          <w:i/>
        </w:rPr>
        <w:t>'</w:t>
      </w:r>
      <w:r w:rsidRPr="00A241F5">
        <w:rPr>
          <w:i/>
        </w:rPr>
        <w:t xml:space="preserve"> measure when purchasing life insurance provides a solid policy holder protection measure in the insurance regulatory framework</w:t>
      </w:r>
      <w:r w:rsidR="00C61F4B" w:rsidRPr="00A241F5">
        <w:rPr>
          <w:i/>
        </w:rPr>
        <w:t>"</w:t>
      </w:r>
      <w:r w:rsidRPr="00A241F5">
        <w:t xml:space="preserve"> and considered </w:t>
      </w:r>
      <w:r w:rsidR="00C61F4B" w:rsidRPr="00A241F5">
        <w:rPr>
          <w:i/>
        </w:rPr>
        <w:t>"</w:t>
      </w:r>
      <w:r w:rsidRPr="00A241F5">
        <w:rPr>
          <w:i/>
        </w:rPr>
        <w:t xml:space="preserve">a similar mechanism in the case </w:t>
      </w:r>
      <w:r w:rsidRPr="00A241F5">
        <w:t>[</w:t>
      </w:r>
      <w:r w:rsidRPr="00A241F5">
        <w:rPr>
          <w:i/>
        </w:rPr>
        <w:t>sic</w:t>
      </w:r>
      <w:r w:rsidRPr="00A241F5">
        <w:t>]</w:t>
      </w:r>
      <w:r w:rsidRPr="00A241F5">
        <w:rPr>
          <w:i/>
        </w:rPr>
        <w:t xml:space="preserve"> ORFS arrangements would be appropriate</w:t>
      </w:r>
      <w:r w:rsidR="00C61F4B" w:rsidRPr="00A241F5">
        <w:rPr>
          <w:i/>
        </w:rPr>
        <w:t>"</w:t>
      </w:r>
      <w:r w:rsidR="00923002" w:rsidRPr="00A241F5">
        <w:t>.</w:t>
      </w:r>
    </w:p>
    <w:p w14:paraId="6CFE3CC6" w14:textId="77777777" w:rsidR="0045386A" w:rsidRPr="00A241F5" w:rsidRDefault="0045386A" w:rsidP="0045386A">
      <w:pPr>
        <w:widowControl/>
        <w:tabs>
          <w:tab w:val="clear" w:pos="1418"/>
          <w:tab w:val="left" w:pos="1440"/>
        </w:tabs>
      </w:pPr>
      <w:r w:rsidRPr="00A241F5">
        <w:t xml:space="preserve"> </w:t>
      </w:r>
    </w:p>
    <w:p w14:paraId="485D6D27" w14:textId="77777777" w:rsidR="008437A8" w:rsidRPr="00A241F5" w:rsidRDefault="0045386A" w:rsidP="00AF3A2D">
      <w:pPr>
        <w:keepNext/>
        <w:keepLines/>
        <w:tabs>
          <w:tab w:val="clear" w:pos="1418"/>
          <w:tab w:val="left" w:pos="1440"/>
        </w:tabs>
      </w:pPr>
      <w:r w:rsidRPr="00A241F5">
        <w:lastRenderedPageBreak/>
        <w:t>14.12</w:t>
      </w:r>
      <w:r w:rsidRPr="00A241F5">
        <w:tab/>
        <w:t>The Consumer Council agreed:</w:t>
      </w:r>
    </w:p>
    <w:p w14:paraId="2DAAFA72" w14:textId="77777777" w:rsidR="008437A8" w:rsidRPr="00A241F5" w:rsidRDefault="008437A8" w:rsidP="0045386A">
      <w:pPr>
        <w:widowControl/>
        <w:tabs>
          <w:tab w:val="clear" w:pos="1418"/>
          <w:tab w:val="left" w:pos="1440"/>
        </w:tabs>
      </w:pPr>
    </w:p>
    <w:p w14:paraId="706E5D28" w14:textId="7540239A" w:rsidR="0045386A" w:rsidRPr="00A241F5" w:rsidRDefault="00C61F4B" w:rsidP="009B0FF6">
      <w:pPr>
        <w:pStyle w:val="BlockText"/>
      </w:pPr>
      <w:r w:rsidRPr="00A241F5">
        <w:t>"</w:t>
      </w:r>
      <w:r w:rsidR="0045386A" w:rsidRPr="00A241F5">
        <w:t>The Council has always advocated in favour of the imposition of a mandatory cooling-off period to prevent unscrupulous traders from using undesirable trade practices or high pressure to induce con</w:t>
      </w:r>
      <w:r w:rsidR="005B46DC" w:rsidRPr="00A241F5">
        <w:t>sumers to enter into contracts.</w:t>
      </w:r>
      <w:r w:rsidR="0045386A" w:rsidRPr="00A241F5">
        <w:t xml:space="preserve"> </w:t>
      </w:r>
      <w:r w:rsidR="005B46DC" w:rsidRPr="00A241F5">
        <w:t xml:space="preserve"> </w:t>
      </w:r>
      <w:r w:rsidR="0045386A" w:rsidRPr="00A241F5">
        <w:t xml:space="preserve">For ORFSs, in order that consumers have the same level of protection, the Council is of the view that there should be in place such a cooling-off period.  As legal professionals are already required to abide by their respective codes of conduct which expect them to practice with the highest levels of ethics and </w:t>
      </w:r>
      <w:r w:rsidR="0005012E" w:rsidRPr="00A241F5">
        <w:t>propriety</w:t>
      </w:r>
      <w:r w:rsidR="0045386A" w:rsidRPr="00A241F5">
        <w:t>, there should not be much opposition to this cooling-off period being mandatorily imposed</w:t>
      </w:r>
      <w:r w:rsidR="00923002" w:rsidRPr="00A241F5">
        <w:t>.</w:t>
      </w:r>
      <w:r w:rsidRPr="00A241F5">
        <w:t>"</w:t>
      </w:r>
    </w:p>
    <w:p w14:paraId="54F8B0A8" w14:textId="77777777" w:rsidR="0045386A" w:rsidRPr="00A241F5" w:rsidRDefault="0045386A" w:rsidP="0045386A">
      <w:pPr>
        <w:widowControl/>
        <w:tabs>
          <w:tab w:val="clear" w:pos="1418"/>
          <w:tab w:val="left" w:pos="1440"/>
        </w:tabs>
      </w:pPr>
      <w:r w:rsidRPr="00A241F5">
        <w:rPr>
          <w:i/>
        </w:rPr>
        <w:t xml:space="preserve"> </w:t>
      </w:r>
    </w:p>
    <w:p w14:paraId="639DF0E0" w14:textId="72B0BB60" w:rsidR="0045386A" w:rsidRPr="00A241F5" w:rsidRDefault="0045386A" w:rsidP="0045386A">
      <w:pPr>
        <w:widowControl/>
        <w:tabs>
          <w:tab w:val="clear" w:pos="1418"/>
          <w:tab w:val="left" w:pos="1440"/>
        </w:tabs>
      </w:pPr>
      <w:r w:rsidRPr="00A241F5">
        <w:t>14.13</w:t>
      </w:r>
      <w:r w:rsidRPr="00A241F5">
        <w:tab/>
        <w:t xml:space="preserve">Only one Respondent, another professional body, disagreed slightly, only for what this Respondent referred to as </w:t>
      </w:r>
      <w:r w:rsidR="00C61F4B" w:rsidRPr="00A241F5">
        <w:t>"</w:t>
      </w:r>
      <w:r w:rsidRPr="00A241F5">
        <w:t>urgent cases</w:t>
      </w:r>
      <w:r w:rsidR="00C61F4B" w:rsidRPr="00A241F5">
        <w:t>"</w:t>
      </w:r>
      <w:r w:rsidRPr="00A241F5">
        <w:t xml:space="preserve">.  This Respondent therefore stated that </w:t>
      </w:r>
      <w:r w:rsidR="00C61F4B" w:rsidRPr="00A241F5">
        <w:t>"</w:t>
      </w:r>
      <w:r w:rsidRPr="00A241F5">
        <w:t>cooling-off</w:t>
      </w:r>
      <w:r w:rsidR="00C61F4B" w:rsidRPr="00A241F5">
        <w:t>"</w:t>
      </w:r>
      <w:r w:rsidRPr="00A241F5">
        <w:t xml:space="preserve"> periods are not appropriate for </w:t>
      </w:r>
      <w:r w:rsidR="00C61F4B" w:rsidRPr="00A241F5">
        <w:t>"</w:t>
      </w:r>
      <w:r w:rsidRPr="00A241F5">
        <w:t>urgent cases</w:t>
      </w:r>
      <w:r w:rsidR="00C61F4B" w:rsidRPr="00A241F5">
        <w:t>"</w:t>
      </w:r>
      <w:r w:rsidRPr="00A241F5">
        <w:t xml:space="preserve">, albeit without clarifying when, and in what circumstances, a case should be treated as </w:t>
      </w:r>
      <w:r w:rsidR="00C61F4B" w:rsidRPr="00A241F5">
        <w:t>"</w:t>
      </w:r>
      <w:r w:rsidRPr="00A241F5">
        <w:t>urgent</w:t>
      </w:r>
      <w:r w:rsidR="00C61F4B" w:rsidRPr="00A241F5">
        <w:t>"</w:t>
      </w:r>
      <w:r w:rsidRPr="00A241F5">
        <w:t>.</w:t>
      </w:r>
    </w:p>
    <w:p w14:paraId="3D2EA508" w14:textId="77777777" w:rsidR="0045386A" w:rsidRPr="00A241F5" w:rsidRDefault="0045386A" w:rsidP="0045386A">
      <w:pPr>
        <w:widowControl/>
        <w:tabs>
          <w:tab w:val="clear" w:pos="1418"/>
          <w:tab w:val="left" w:pos="1440"/>
        </w:tabs>
      </w:pPr>
    </w:p>
    <w:p w14:paraId="417DEDB6" w14:textId="77777777" w:rsidR="0045386A" w:rsidRPr="00A241F5" w:rsidRDefault="0045386A" w:rsidP="0045386A">
      <w:pPr>
        <w:widowControl/>
        <w:tabs>
          <w:tab w:val="clear" w:pos="1418"/>
          <w:tab w:val="left" w:pos="1440"/>
        </w:tabs>
        <w:rPr>
          <w:i/>
        </w:rPr>
      </w:pPr>
      <w:r w:rsidRPr="00A241F5">
        <w:rPr>
          <w:i/>
        </w:rPr>
        <w:t>(iii)  Other proposed safeguards</w:t>
      </w:r>
    </w:p>
    <w:p w14:paraId="171535BD" w14:textId="77777777" w:rsidR="0045386A" w:rsidRPr="00A241F5" w:rsidRDefault="0045386A" w:rsidP="0045386A">
      <w:pPr>
        <w:widowControl/>
        <w:tabs>
          <w:tab w:val="clear" w:pos="1418"/>
          <w:tab w:val="left" w:pos="1440"/>
        </w:tabs>
        <w:rPr>
          <w:i/>
        </w:rPr>
      </w:pPr>
    </w:p>
    <w:p w14:paraId="23BB463D" w14:textId="74BC583F" w:rsidR="0045386A" w:rsidRPr="00A241F5" w:rsidRDefault="0045386A" w:rsidP="0045386A">
      <w:pPr>
        <w:widowControl/>
        <w:tabs>
          <w:tab w:val="clear" w:pos="1418"/>
          <w:tab w:val="left" w:pos="1440"/>
        </w:tabs>
      </w:pPr>
      <w:r w:rsidRPr="00A241F5">
        <w:t>14.14</w:t>
      </w:r>
      <w:r w:rsidRPr="00A241F5">
        <w:tab/>
        <w:t xml:space="preserve">A number of Respondents also gave suggestions about other specific safeguards that might be adopted.  For example, a number of Respondents agreed that the ORFS should be in writing and signed by the clients and Lawyers.  </w:t>
      </w:r>
    </w:p>
    <w:p w14:paraId="62825CF0" w14:textId="77777777" w:rsidR="0045386A" w:rsidRPr="00A241F5" w:rsidRDefault="0045386A" w:rsidP="0045386A">
      <w:pPr>
        <w:widowControl/>
        <w:tabs>
          <w:tab w:val="clear" w:pos="1418"/>
          <w:tab w:val="left" w:pos="1440"/>
        </w:tabs>
      </w:pPr>
    </w:p>
    <w:p w14:paraId="3E3447AB" w14:textId="0193EF54" w:rsidR="0045386A" w:rsidRPr="00A241F5" w:rsidRDefault="0045386A" w:rsidP="0045386A">
      <w:pPr>
        <w:widowControl/>
        <w:tabs>
          <w:tab w:val="clear" w:pos="1418"/>
          <w:tab w:val="left" w:pos="1440"/>
        </w:tabs>
      </w:pPr>
      <w:r w:rsidRPr="00A241F5">
        <w:t>14.15</w:t>
      </w:r>
      <w:r w:rsidRPr="00A241F5">
        <w:tab/>
        <w:t xml:space="preserve"> Other Respondents suggested that provisions similar to those contained in the Code of Practice for Third Party Funding for Arbitration should be adopted.  These provisions include requirements for Lawyers not to take any steps that cause or may cause any conflict of interest and reinforcement of the Lawyer</w:t>
      </w:r>
      <w:r w:rsidR="00C61F4B" w:rsidRPr="00A241F5">
        <w:t>'</w:t>
      </w:r>
      <w:r w:rsidRPr="00A241F5">
        <w:t>s duty to act in the best interests of the client</w:t>
      </w:r>
      <w:r w:rsidR="000D1328" w:rsidRPr="00A241F5">
        <w:t>,</w:t>
      </w:r>
      <w:r w:rsidRPr="00A241F5">
        <w:t xml:space="preserve"> and provide that the client is to retain control over the conduct of the Arbitration. </w:t>
      </w:r>
    </w:p>
    <w:p w14:paraId="76AE34D9" w14:textId="77777777" w:rsidR="0045386A" w:rsidRPr="00A241F5" w:rsidRDefault="0045386A" w:rsidP="00BD5776">
      <w:pPr>
        <w:tabs>
          <w:tab w:val="clear" w:pos="1418"/>
          <w:tab w:val="left" w:pos="1440"/>
        </w:tabs>
      </w:pPr>
    </w:p>
    <w:p w14:paraId="142E5ED9" w14:textId="77777777" w:rsidR="0045386A" w:rsidRPr="00A241F5" w:rsidRDefault="0045386A" w:rsidP="00BD5776">
      <w:pPr>
        <w:tabs>
          <w:tab w:val="clear" w:pos="1418"/>
          <w:tab w:val="left" w:pos="1440"/>
        </w:tabs>
      </w:pPr>
    </w:p>
    <w:p w14:paraId="51F9619B" w14:textId="77777777" w:rsidR="0045386A" w:rsidRPr="00A241F5" w:rsidRDefault="0045386A" w:rsidP="0045386A">
      <w:pPr>
        <w:pStyle w:val="Heading3"/>
      </w:pPr>
      <w:r w:rsidRPr="00A241F5">
        <w:t>Comments from Respondents who opposed Recommendation 13(a)</w:t>
      </w:r>
    </w:p>
    <w:p w14:paraId="672248AE" w14:textId="77777777" w:rsidR="0045386A" w:rsidRPr="00A241F5" w:rsidRDefault="0045386A" w:rsidP="00BD5776"/>
    <w:p w14:paraId="294B1F18" w14:textId="205B5132" w:rsidR="0045386A" w:rsidRPr="00A241F5" w:rsidRDefault="0045386A" w:rsidP="00BD5776">
      <w:r w:rsidRPr="00A241F5">
        <w:t>14.16</w:t>
      </w:r>
      <w:r w:rsidRPr="00A241F5">
        <w:tab/>
        <w:t>There were no objections to Recommendation 13(a).</w:t>
      </w:r>
    </w:p>
    <w:p w14:paraId="41F49411" w14:textId="4B384835" w:rsidR="0045386A" w:rsidRPr="00A241F5" w:rsidRDefault="0045386A" w:rsidP="00BD5776"/>
    <w:p w14:paraId="4936FF62" w14:textId="77777777" w:rsidR="006537C5" w:rsidRPr="00A241F5" w:rsidRDefault="006537C5" w:rsidP="00BD5776"/>
    <w:p w14:paraId="5EE11A6E" w14:textId="77777777" w:rsidR="0045386A" w:rsidRPr="00A241F5" w:rsidRDefault="0045386A" w:rsidP="0045386A">
      <w:pPr>
        <w:pStyle w:val="Heading2"/>
      </w:pPr>
      <w:r w:rsidRPr="00A241F5">
        <w:t>Our analysis and response</w:t>
      </w:r>
    </w:p>
    <w:p w14:paraId="7CBFC805" w14:textId="77777777" w:rsidR="0045386A" w:rsidRPr="00A241F5" w:rsidRDefault="0045386A" w:rsidP="0045386A">
      <w:pPr>
        <w:widowControl/>
        <w:tabs>
          <w:tab w:val="clear" w:pos="1418"/>
          <w:tab w:val="left" w:pos="1440"/>
        </w:tabs>
        <w:rPr>
          <w:rFonts w:cs="Arial"/>
        </w:rPr>
      </w:pPr>
    </w:p>
    <w:p w14:paraId="646974C1" w14:textId="79733236" w:rsidR="0045386A" w:rsidRPr="00A241F5" w:rsidRDefault="0045386A" w:rsidP="0045386A">
      <w:pPr>
        <w:widowControl/>
        <w:tabs>
          <w:tab w:val="clear" w:pos="1418"/>
          <w:tab w:val="left" w:pos="1440"/>
        </w:tabs>
        <w:rPr>
          <w:rFonts w:cs="Arial"/>
          <w:b/>
          <w:i/>
        </w:rPr>
      </w:pPr>
      <w:r w:rsidRPr="00A241F5">
        <w:rPr>
          <w:rFonts w:cs="Arial"/>
        </w:rPr>
        <w:t>14.17</w:t>
      </w:r>
      <w:r w:rsidRPr="00A241F5">
        <w:rPr>
          <w:rFonts w:cs="Arial"/>
        </w:rPr>
        <w:tab/>
        <w:t>As we outlined in Chapters 1</w:t>
      </w:r>
      <w:r w:rsidR="00FA2379" w:rsidRPr="00A241F5">
        <w:rPr>
          <w:rFonts w:cs="Arial"/>
        </w:rPr>
        <w:t>2</w:t>
      </w:r>
      <w:r w:rsidRPr="00A241F5">
        <w:rPr>
          <w:rFonts w:cs="Arial"/>
        </w:rPr>
        <w:t xml:space="preserve"> and 1</w:t>
      </w:r>
      <w:r w:rsidR="00FA2379" w:rsidRPr="00A241F5">
        <w:rPr>
          <w:rFonts w:cs="Arial"/>
        </w:rPr>
        <w:t>3</w:t>
      </w:r>
      <w:r w:rsidRPr="00A241F5">
        <w:rPr>
          <w:rFonts w:cs="Arial"/>
        </w:rPr>
        <w:t>, we consider that appropriate amendments to the applicable legislation, including subsidiary legislation and Lawyers</w:t>
      </w:r>
      <w:r w:rsidR="00C61F4B" w:rsidRPr="00A241F5">
        <w:rPr>
          <w:rFonts w:cs="Arial"/>
        </w:rPr>
        <w:t>'</w:t>
      </w:r>
      <w:r w:rsidRPr="00A241F5">
        <w:rPr>
          <w:rFonts w:cs="Arial"/>
        </w:rPr>
        <w:t xml:space="preserve"> codes of conduct, should be </w:t>
      </w:r>
      <w:r w:rsidR="007373BA" w:rsidRPr="00A241F5">
        <w:rPr>
          <w:rFonts w:cs="Arial"/>
        </w:rPr>
        <w:t xml:space="preserve">as </w:t>
      </w:r>
      <w:r w:rsidRPr="00A241F5">
        <w:rPr>
          <w:rFonts w:cs="Arial"/>
        </w:rPr>
        <w:t>simple and clear</w:t>
      </w:r>
      <w:r w:rsidR="007373BA" w:rsidRPr="00A241F5">
        <w:rPr>
          <w:rFonts w:cs="Arial"/>
        </w:rPr>
        <w:t xml:space="preserve"> as possible</w:t>
      </w:r>
      <w:r w:rsidRPr="00A241F5">
        <w:rPr>
          <w:rFonts w:cs="Arial"/>
        </w:rPr>
        <w:t xml:space="preserve">.  In terms of the more detailed provisions required to implement the legal regime, we agree with the Sub-committee that these should be introduced via stand-alone subsidiary legislation, and not by way of further amendments to the relevant Ordinances.  Thus, we recommend that the specific safeguards should be set out in subsidiary legislation.  If necessary, these safeguards can </w:t>
      </w:r>
      <w:r w:rsidRPr="00A241F5">
        <w:rPr>
          <w:rFonts w:cs="Arial"/>
        </w:rPr>
        <w:lastRenderedPageBreak/>
        <w:t xml:space="preserve">be supplemented by amendments to the professional codes of conduct, but at this stage we consider that the key features and safeguards of the ORFS regime for Arbitration should be contained in subsidiary legislation and that, at this stage at least, a separate code of conduct is not necessary.  </w:t>
      </w:r>
    </w:p>
    <w:p w14:paraId="3CB10394" w14:textId="77777777" w:rsidR="0045386A" w:rsidRPr="00A241F5" w:rsidRDefault="0045386A" w:rsidP="0045386A">
      <w:pPr>
        <w:widowControl/>
        <w:tabs>
          <w:tab w:val="clear" w:pos="1418"/>
          <w:tab w:val="left" w:pos="1440"/>
        </w:tabs>
        <w:rPr>
          <w:rFonts w:cs="Arial"/>
        </w:rPr>
      </w:pPr>
    </w:p>
    <w:p w14:paraId="6DE31B15" w14:textId="66A57351" w:rsidR="0045386A" w:rsidRPr="00A241F5" w:rsidRDefault="0045386A" w:rsidP="0045386A">
      <w:pPr>
        <w:widowControl/>
        <w:tabs>
          <w:tab w:val="clear" w:pos="1418"/>
          <w:tab w:val="left" w:pos="1440"/>
        </w:tabs>
        <w:rPr>
          <w:rFonts w:cs="Arial"/>
        </w:rPr>
      </w:pPr>
      <w:r w:rsidRPr="00A241F5">
        <w:rPr>
          <w:rFonts w:cs="Arial"/>
        </w:rPr>
        <w:t>14.18</w:t>
      </w:r>
      <w:r w:rsidRPr="00A241F5">
        <w:rPr>
          <w:rFonts w:cs="Arial"/>
        </w:rPr>
        <w:tab/>
        <w:t>As we pointed out in the paragraph 14.9</w:t>
      </w:r>
      <w:r w:rsidR="00BC7A93" w:rsidRPr="00A241F5">
        <w:rPr>
          <w:rFonts w:cs="Arial"/>
        </w:rPr>
        <w:t xml:space="preserve"> </w:t>
      </w:r>
      <w:r w:rsidRPr="00A241F5">
        <w:rPr>
          <w:rFonts w:cs="Arial"/>
        </w:rPr>
        <w:t xml:space="preserve">above, the majority of Respondents who commented on Recommendation 13(a) agreed with the specific safeguards that the Sub-committee had identified and discussed in </w:t>
      </w:r>
      <w:r w:rsidR="00445525" w:rsidRPr="00A241F5">
        <w:rPr>
          <w:rFonts w:cs="Arial"/>
        </w:rPr>
        <w:t xml:space="preserve">Chapter 5 </w:t>
      </w:r>
      <w:r w:rsidR="00016011" w:rsidRPr="00A241F5">
        <w:rPr>
          <w:rFonts w:cs="Arial"/>
        </w:rPr>
        <w:t xml:space="preserve">of </w:t>
      </w:r>
      <w:r w:rsidRPr="00A241F5">
        <w:rPr>
          <w:rFonts w:cs="Arial"/>
        </w:rPr>
        <w:t>the Consultation Paper.</w:t>
      </w:r>
      <w:r w:rsidR="00A10EC2" w:rsidRPr="00A241F5">
        <w:rPr>
          <w:rStyle w:val="FootnoteReference"/>
          <w:rFonts w:cs="Arial"/>
          <w:sz w:val="24"/>
        </w:rPr>
        <w:footnoteReference w:id="70"/>
      </w:r>
      <w:r w:rsidRPr="00A241F5">
        <w:rPr>
          <w:rFonts w:cs="Arial"/>
        </w:rPr>
        <w:t xml:space="preserve">  </w:t>
      </w:r>
    </w:p>
    <w:p w14:paraId="3C92D80F" w14:textId="77777777" w:rsidR="0045386A" w:rsidRPr="00A241F5" w:rsidRDefault="0045386A" w:rsidP="0045386A">
      <w:pPr>
        <w:widowControl/>
        <w:tabs>
          <w:tab w:val="clear" w:pos="1418"/>
          <w:tab w:val="left" w:pos="1440"/>
        </w:tabs>
        <w:rPr>
          <w:rFonts w:cs="Arial"/>
        </w:rPr>
      </w:pPr>
    </w:p>
    <w:p w14:paraId="687792C9" w14:textId="563199D9" w:rsidR="0045386A" w:rsidRPr="00A241F5" w:rsidRDefault="0045386A" w:rsidP="0045386A">
      <w:pPr>
        <w:widowControl/>
        <w:tabs>
          <w:tab w:val="clear" w:pos="1418"/>
          <w:tab w:val="left" w:pos="1440"/>
        </w:tabs>
        <w:rPr>
          <w:rFonts w:cs="Arial"/>
        </w:rPr>
      </w:pPr>
      <w:r w:rsidRPr="00A241F5">
        <w:rPr>
          <w:rFonts w:cs="Arial"/>
        </w:rPr>
        <w:t>14.19</w:t>
      </w:r>
      <w:r w:rsidRPr="00A241F5">
        <w:rPr>
          <w:rFonts w:cs="Arial"/>
        </w:rPr>
        <w:tab/>
        <w:t>Similar safeguards - in one form or another - are in place to varying degrees in all of the jurisdictions that permit ORFS that the Sub-committee reviewed, as discussed in Chapter 3 of the Consultation Paper.</w:t>
      </w:r>
      <w:r w:rsidRPr="00A241F5">
        <w:rPr>
          <w:rStyle w:val="FootnoteReference"/>
          <w:rFonts w:cs="Arial"/>
          <w:sz w:val="24"/>
        </w:rPr>
        <w:footnoteReference w:id="71"/>
      </w:r>
      <w:r w:rsidRPr="00A241F5">
        <w:rPr>
          <w:rFonts w:cs="Arial"/>
        </w:rPr>
        <w:t xml:space="preserve">  We consider that Hong Kong</w:t>
      </w:r>
      <w:r w:rsidR="00EB55E9" w:rsidRPr="00A241F5">
        <w:rPr>
          <w:rFonts w:cs="Arial"/>
        </w:rPr>
        <w:t>, informed by the experience and approach of other relevant jurisdictions,</w:t>
      </w:r>
      <w:r w:rsidRPr="00A241F5">
        <w:rPr>
          <w:rFonts w:cs="Arial"/>
        </w:rPr>
        <w:t xml:space="preserve"> should develop its own model of regulation that suits its culture and needs.  </w:t>
      </w:r>
    </w:p>
    <w:p w14:paraId="4E4712F8" w14:textId="77777777" w:rsidR="0045386A" w:rsidRPr="00A241F5" w:rsidRDefault="0045386A" w:rsidP="0045386A">
      <w:pPr>
        <w:widowControl/>
        <w:tabs>
          <w:tab w:val="clear" w:pos="1418"/>
          <w:tab w:val="left" w:pos="1440"/>
        </w:tabs>
        <w:rPr>
          <w:rFonts w:cs="Arial"/>
        </w:rPr>
      </w:pPr>
    </w:p>
    <w:p w14:paraId="17AF87CB" w14:textId="7FD521C0" w:rsidR="0045386A" w:rsidRPr="00A241F5" w:rsidRDefault="0045386A" w:rsidP="0045386A">
      <w:pPr>
        <w:widowControl/>
        <w:tabs>
          <w:tab w:val="clear" w:pos="1418"/>
          <w:tab w:val="left" w:pos="1440"/>
        </w:tabs>
        <w:rPr>
          <w:rFonts w:cs="Arial"/>
        </w:rPr>
      </w:pPr>
      <w:r w:rsidRPr="00A241F5">
        <w:rPr>
          <w:rFonts w:cs="Arial"/>
        </w:rPr>
        <w:t>14.20</w:t>
      </w:r>
      <w:r w:rsidRPr="00A241F5">
        <w:rPr>
          <w:rFonts w:cs="Arial"/>
        </w:rPr>
        <w:tab/>
        <w:t>After considering the relevant discussion in the Consultation Paper, all the responses received in the consultation as summarised in this Report, and Hong Kong</w:t>
      </w:r>
      <w:r w:rsidR="00C61F4B" w:rsidRPr="00A241F5">
        <w:rPr>
          <w:rFonts w:cs="Arial"/>
        </w:rPr>
        <w:t>'</w:t>
      </w:r>
      <w:r w:rsidRPr="00A241F5">
        <w:rPr>
          <w:rFonts w:cs="Arial"/>
        </w:rPr>
        <w:t>s current legal framework and regulatory culture, we are of the view that the subsidiary legislation should include at least the following specific safeguards (in addition to the matters covered in the Final Recommendations above):</w:t>
      </w:r>
    </w:p>
    <w:p w14:paraId="43F9261A" w14:textId="77777777" w:rsidR="0045386A" w:rsidRPr="00A241F5" w:rsidRDefault="0045386A" w:rsidP="0045386A">
      <w:pPr>
        <w:widowControl/>
        <w:tabs>
          <w:tab w:val="clear" w:pos="1418"/>
          <w:tab w:val="left" w:pos="1440"/>
        </w:tabs>
        <w:rPr>
          <w:rFonts w:cs="Arial"/>
        </w:rPr>
      </w:pPr>
    </w:p>
    <w:p w14:paraId="4837857E" w14:textId="4C19A3E7" w:rsidR="0045386A" w:rsidRPr="00A241F5" w:rsidRDefault="0045386A" w:rsidP="0045386A">
      <w:pPr>
        <w:pStyle w:val="ListParagraph"/>
        <w:widowControl/>
        <w:numPr>
          <w:ilvl w:val="0"/>
          <w:numId w:val="9"/>
        </w:numPr>
        <w:tabs>
          <w:tab w:val="clear" w:pos="1418"/>
          <w:tab w:val="left" w:pos="1440"/>
        </w:tabs>
        <w:ind w:leftChars="0" w:left="1440"/>
        <w:rPr>
          <w:rFonts w:cs="Arial"/>
        </w:rPr>
      </w:pPr>
      <w:r w:rsidRPr="00A241F5">
        <w:rPr>
          <w:rFonts w:cs="Arial"/>
          <w:b/>
        </w:rPr>
        <w:t>the ORFS must be in writing and signed by the client</w:t>
      </w:r>
      <w:r w:rsidRPr="00A241F5">
        <w:rPr>
          <w:rFonts w:cs="Arial"/>
        </w:rPr>
        <w:t>;</w:t>
      </w:r>
      <w:r w:rsidRPr="00A241F5">
        <w:rPr>
          <w:rStyle w:val="FootnoteReference"/>
          <w:rFonts w:cs="Arial"/>
          <w:sz w:val="24"/>
        </w:rPr>
        <w:footnoteReference w:id="72"/>
      </w:r>
    </w:p>
    <w:p w14:paraId="150908A5" w14:textId="77777777" w:rsidR="0045386A" w:rsidRPr="00A241F5" w:rsidRDefault="0045386A" w:rsidP="0045386A">
      <w:pPr>
        <w:pStyle w:val="ListParagraph"/>
        <w:widowControl/>
        <w:tabs>
          <w:tab w:val="clear" w:pos="1418"/>
          <w:tab w:val="left" w:pos="1440"/>
        </w:tabs>
        <w:ind w:leftChars="0" w:left="1440"/>
        <w:rPr>
          <w:rFonts w:cs="Arial"/>
        </w:rPr>
      </w:pPr>
    </w:p>
    <w:p w14:paraId="169D5B90" w14:textId="6F99004F" w:rsidR="0045386A" w:rsidRPr="00A241F5" w:rsidRDefault="0045386A" w:rsidP="0045386A">
      <w:pPr>
        <w:pStyle w:val="ListParagraph"/>
        <w:widowControl/>
        <w:numPr>
          <w:ilvl w:val="0"/>
          <w:numId w:val="9"/>
        </w:numPr>
        <w:tabs>
          <w:tab w:val="clear" w:pos="1418"/>
          <w:tab w:val="left" w:pos="1440"/>
        </w:tabs>
        <w:ind w:leftChars="0" w:left="1440"/>
        <w:rPr>
          <w:rFonts w:cs="Arial"/>
        </w:rPr>
      </w:pPr>
      <w:r w:rsidRPr="00A241F5">
        <w:rPr>
          <w:rFonts w:cs="Arial"/>
          <w:b/>
        </w:rPr>
        <w:t>the ORFS should be clear in what circumstances a Lawyer</w:t>
      </w:r>
      <w:r w:rsidR="00C61F4B" w:rsidRPr="00A241F5">
        <w:rPr>
          <w:rFonts w:cs="Arial"/>
          <w:b/>
        </w:rPr>
        <w:t>'</w:t>
      </w:r>
      <w:r w:rsidRPr="00A241F5">
        <w:rPr>
          <w:rFonts w:cs="Arial"/>
          <w:b/>
        </w:rPr>
        <w:t>s fees and expenses, or part of them, will be payable</w:t>
      </w:r>
      <w:r w:rsidRPr="00A241F5">
        <w:rPr>
          <w:rFonts w:cs="Arial"/>
        </w:rPr>
        <w:t>;</w:t>
      </w:r>
      <w:r w:rsidRPr="00A241F5">
        <w:rPr>
          <w:rStyle w:val="FootnoteReference"/>
          <w:rFonts w:cs="Arial"/>
          <w:sz w:val="24"/>
        </w:rPr>
        <w:footnoteReference w:id="73"/>
      </w:r>
    </w:p>
    <w:p w14:paraId="2DCE70F1" w14:textId="77777777" w:rsidR="0045386A" w:rsidRPr="00A241F5" w:rsidRDefault="0045386A" w:rsidP="0045386A">
      <w:pPr>
        <w:pStyle w:val="ListParagraph"/>
        <w:widowControl/>
        <w:tabs>
          <w:tab w:val="clear" w:pos="1418"/>
          <w:tab w:val="left" w:pos="1440"/>
        </w:tabs>
        <w:ind w:leftChars="0" w:left="0"/>
      </w:pPr>
    </w:p>
    <w:p w14:paraId="63CF87EB" w14:textId="43FE28C1" w:rsidR="0045386A" w:rsidRPr="00A241F5" w:rsidRDefault="0045386A" w:rsidP="0045386A">
      <w:pPr>
        <w:pStyle w:val="ListParagraph"/>
        <w:widowControl/>
        <w:numPr>
          <w:ilvl w:val="0"/>
          <w:numId w:val="9"/>
        </w:numPr>
        <w:tabs>
          <w:tab w:val="clear" w:pos="1418"/>
          <w:tab w:val="left" w:pos="1440"/>
        </w:tabs>
        <w:ind w:leftChars="0" w:left="1440"/>
      </w:pPr>
      <w:r w:rsidRPr="00A241F5">
        <w:rPr>
          <w:b/>
        </w:rPr>
        <w:t xml:space="preserve">the Lawyer should give the client all relevant information relating to the ORFS that is being entered into, and </w:t>
      </w:r>
      <w:r w:rsidR="00A10EC2" w:rsidRPr="00A241F5">
        <w:rPr>
          <w:b/>
        </w:rPr>
        <w:t xml:space="preserve">should </w:t>
      </w:r>
      <w:r w:rsidRPr="00A241F5">
        <w:rPr>
          <w:b/>
        </w:rPr>
        <w:t>provide that information in a clear and accessible form</w:t>
      </w:r>
      <w:r w:rsidRPr="00A241F5">
        <w:t>;</w:t>
      </w:r>
      <w:r w:rsidRPr="00A241F5">
        <w:rPr>
          <w:rStyle w:val="FootnoteReference"/>
          <w:sz w:val="24"/>
        </w:rPr>
        <w:footnoteReference w:id="74"/>
      </w:r>
      <w:r w:rsidRPr="00A241F5">
        <w:t xml:space="preserve"> </w:t>
      </w:r>
    </w:p>
    <w:p w14:paraId="2B9E2F52" w14:textId="77777777" w:rsidR="0045386A" w:rsidRPr="00A241F5" w:rsidRDefault="0045386A" w:rsidP="0045386A">
      <w:pPr>
        <w:pStyle w:val="ListParagraph"/>
        <w:widowControl/>
        <w:tabs>
          <w:tab w:val="clear" w:pos="1418"/>
          <w:tab w:val="left" w:pos="1440"/>
        </w:tabs>
        <w:ind w:leftChars="0" w:left="1440"/>
        <w:rPr>
          <w:rFonts w:cs="Arial"/>
        </w:rPr>
      </w:pPr>
    </w:p>
    <w:p w14:paraId="6E8A144F" w14:textId="34262F9B" w:rsidR="0045386A" w:rsidRPr="00A241F5" w:rsidRDefault="0045386A" w:rsidP="0045386A">
      <w:pPr>
        <w:pStyle w:val="ListParagraph"/>
        <w:widowControl/>
        <w:numPr>
          <w:ilvl w:val="0"/>
          <w:numId w:val="9"/>
        </w:numPr>
        <w:tabs>
          <w:tab w:val="clear" w:pos="1418"/>
          <w:tab w:val="left" w:pos="1440"/>
        </w:tabs>
        <w:ind w:leftChars="0" w:left="1440"/>
        <w:rPr>
          <w:rFonts w:cs="Arial"/>
        </w:rPr>
      </w:pPr>
      <w:r w:rsidRPr="00A241F5">
        <w:rPr>
          <w:b/>
        </w:rPr>
        <w:t>the Lawyer should inform</w:t>
      </w:r>
      <w:r w:rsidRPr="00A241F5">
        <w:rPr>
          <w:rFonts w:cs="Arial"/>
          <w:b/>
        </w:rPr>
        <w:t xml:space="preserve"> clients of their right to take independent legal advice, and the ORFS should include a corresponding statement that the client has been informed of the right to seek such independent legal advice</w:t>
      </w:r>
      <w:r w:rsidRPr="00A241F5">
        <w:rPr>
          <w:rFonts w:cs="Arial"/>
        </w:rPr>
        <w:t>.</w:t>
      </w:r>
      <w:r w:rsidRPr="00A241F5">
        <w:rPr>
          <w:rStyle w:val="FootnoteReference"/>
          <w:rFonts w:cs="Arial"/>
          <w:sz w:val="24"/>
        </w:rPr>
        <w:footnoteReference w:id="75"/>
      </w:r>
      <w:r w:rsidRPr="00A241F5">
        <w:rPr>
          <w:rFonts w:cs="Arial"/>
        </w:rPr>
        <w:t xml:space="preserve">  However, as noted by one law firm Respondent, we agree that the Lawyer</w:t>
      </w:r>
      <w:r w:rsidR="00C61F4B" w:rsidRPr="00A241F5">
        <w:rPr>
          <w:rFonts w:cs="Arial"/>
        </w:rPr>
        <w:t>'</w:t>
      </w:r>
      <w:r w:rsidRPr="00A241F5">
        <w:rPr>
          <w:rFonts w:cs="Arial"/>
        </w:rPr>
        <w:t>s duty should be discharged on so informing the client, such that an ORFS will not be invalid if the client chooses not to obtain such independent legal advice;</w:t>
      </w:r>
    </w:p>
    <w:p w14:paraId="423A0B64" w14:textId="77777777" w:rsidR="0045386A" w:rsidRPr="00A241F5" w:rsidRDefault="0045386A" w:rsidP="0045386A">
      <w:pPr>
        <w:widowControl/>
        <w:tabs>
          <w:tab w:val="clear" w:pos="1418"/>
          <w:tab w:val="left" w:pos="1440"/>
        </w:tabs>
        <w:rPr>
          <w:rFonts w:eastAsiaTheme="minorEastAsia" w:cs="Arial"/>
        </w:rPr>
      </w:pPr>
    </w:p>
    <w:p w14:paraId="47D3DC5C" w14:textId="0C7415FF" w:rsidR="0045386A" w:rsidRPr="00A241F5" w:rsidRDefault="0045386A" w:rsidP="0045386A">
      <w:pPr>
        <w:pStyle w:val="ListParagraph"/>
        <w:widowControl/>
        <w:numPr>
          <w:ilvl w:val="0"/>
          <w:numId w:val="9"/>
        </w:numPr>
        <w:tabs>
          <w:tab w:val="clear" w:pos="1418"/>
          <w:tab w:val="left" w:pos="1440"/>
        </w:tabs>
        <w:ind w:leftChars="0" w:left="1440"/>
        <w:rPr>
          <w:rFonts w:cs="Arial"/>
        </w:rPr>
      </w:pPr>
      <w:r w:rsidRPr="00A241F5">
        <w:rPr>
          <w:rFonts w:cs="Arial"/>
          <w:b/>
        </w:rPr>
        <w:lastRenderedPageBreak/>
        <w:t xml:space="preserve">the ORFS should be subject to a minimum </w:t>
      </w:r>
      <w:r w:rsidR="00C61F4B" w:rsidRPr="00A241F5">
        <w:rPr>
          <w:rFonts w:cs="Arial"/>
          <w:b/>
        </w:rPr>
        <w:t>"</w:t>
      </w:r>
      <w:r w:rsidRPr="00A241F5">
        <w:rPr>
          <w:rFonts w:cs="Arial"/>
          <w:b/>
        </w:rPr>
        <w:t>cooling-off</w:t>
      </w:r>
      <w:r w:rsidR="00C61F4B" w:rsidRPr="00A241F5">
        <w:rPr>
          <w:rFonts w:cs="Arial"/>
          <w:b/>
        </w:rPr>
        <w:t>"</w:t>
      </w:r>
      <w:r w:rsidRPr="00A241F5">
        <w:rPr>
          <w:rFonts w:cs="Arial"/>
          <w:b/>
        </w:rPr>
        <w:t xml:space="preserve"> period of seven days during which the client, by written notice, may terminate the ORFS</w:t>
      </w:r>
      <w:r w:rsidRPr="00A241F5">
        <w:rPr>
          <w:rFonts w:cs="Arial"/>
        </w:rPr>
        <w:t>.</w:t>
      </w:r>
      <w:r w:rsidRPr="00A241F5">
        <w:rPr>
          <w:rStyle w:val="FootnoteReference"/>
          <w:rFonts w:cs="Arial"/>
          <w:sz w:val="24"/>
        </w:rPr>
        <w:footnoteReference w:id="76"/>
      </w:r>
      <w:r w:rsidRPr="00A241F5">
        <w:rPr>
          <w:rFonts w:cs="Arial"/>
        </w:rPr>
        <w:t xml:space="preserve">  We acknowledge the comment made about </w:t>
      </w:r>
      <w:r w:rsidR="00C61F4B" w:rsidRPr="00A241F5">
        <w:rPr>
          <w:rFonts w:cs="Arial"/>
        </w:rPr>
        <w:t>"</w:t>
      </w:r>
      <w:r w:rsidRPr="00A241F5">
        <w:rPr>
          <w:rFonts w:cs="Arial"/>
        </w:rPr>
        <w:t>urgent cases</w:t>
      </w:r>
      <w:r w:rsidR="00C61F4B" w:rsidRPr="00A241F5">
        <w:rPr>
          <w:rFonts w:cs="Arial"/>
        </w:rPr>
        <w:t>"</w:t>
      </w:r>
      <w:r w:rsidRPr="00A241F5">
        <w:rPr>
          <w:rFonts w:cs="Arial"/>
        </w:rPr>
        <w:t xml:space="preserve"> but consider that some form of </w:t>
      </w:r>
      <w:r w:rsidR="00C61F4B" w:rsidRPr="00A241F5">
        <w:rPr>
          <w:rFonts w:cs="Arial"/>
        </w:rPr>
        <w:t>"</w:t>
      </w:r>
      <w:r w:rsidRPr="00A241F5">
        <w:rPr>
          <w:rFonts w:cs="Arial"/>
        </w:rPr>
        <w:t>cooling off</w:t>
      </w:r>
      <w:r w:rsidR="00C61F4B" w:rsidRPr="00A241F5">
        <w:rPr>
          <w:rFonts w:cs="Arial"/>
        </w:rPr>
        <w:t>"</w:t>
      </w:r>
      <w:r w:rsidRPr="00A241F5">
        <w:rPr>
          <w:rFonts w:cs="Arial"/>
        </w:rPr>
        <w:t xml:space="preserve"> period should always be adopted.  We note too that it is difficult to define precisely when a case is </w:t>
      </w:r>
      <w:r w:rsidR="00C61F4B" w:rsidRPr="00A241F5">
        <w:rPr>
          <w:rFonts w:cs="Arial"/>
        </w:rPr>
        <w:t>"</w:t>
      </w:r>
      <w:r w:rsidRPr="00A241F5">
        <w:rPr>
          <w:rFonts w:cs="Arial"/>
        </w:rPr>
        <w:t>urgent</w:t>
      </w:r>
      <w:r w:rsidR="00C61F4B" w:rsidRPr="00A241F5">
        <w:rPr>
          <w:rFonts w:cs="Arial"/>
        </w:rPr>
        <w:t>"</w:t>
      </w:r>
      <w:r w:rsidRPr="00A241F5">
        <w:rPr>
          <w:rFonts w:cs="Arial"/>
        </w:rPr>
        <w:t xml:space="preserve">.  As the recommended </w:t>
      </w:r>
      <w:r w:rsidR="00C61F4B" w:rsidRPr="00A241F5">
        <w:rPr>
          <w:rFonts w:cs="Arial"/>
        </w:rPr>
        <w:t>"</w:t>
      </w:r>
      <w:r w:rsidRPr="00A241F5">
        <w:rPr>
          <w:rFonts w:cs="Arial"/>
        </w:rPr>
        <w:t>cooling off</w:t>
      </w:r>
      <w:r w:rsidR="00C61F4B" w:rsidRPr="00A241F5">
        <w:rPr>
          <w:rFonts w:cs="Arial"/>
        </w:rPr>
        <w:t>"</w:t>
      </w:r>
      <w:r w:rsidRPr="00A241F5">
        <w:rPr>
          <w:rFonts w:cs="Arial"/>
        </w:rPr>
        <w:t xml:space="preserve"> period is relatively short, we do not believe that this will cause undue hardship to the Lawyer, while still providing protection for the client;</w:t>
      </w:r>
    </w:p>
    <w:p w14:paraId="25B997E1" w14:textId="77777777" w:rsidR="0045386A" w:rsidRPr="00A241F5" w:rsidRDefault="0045386A" w:rsidP="0045386A">
      <w:pPr>
        <w:widowControl/>
        <w:tabs>
          <w:tab w:val="clear" w:pos="1418"/>
          <w:tab w:val="left" w:pos="1440"/>
        </w:tabs>
        <w:ind w:left="720"/>
        <w:rPr>
          <w:rFonts w:cs="Arial"/>
        </w:rPr>
      </w:pPr>
    </w:p>
    <w:p w14:paraId="5C046023" w14:textId="017580CA" w:rsidR="0045386A" w:rsidRPr="00A241F5" w:rsidRDefault="0045386A" w:rsidP="0045386A">
      <w:pPr>
        <w:pStyle w:val="ListParagraph"/>
        <w:widowControl/>
        <w:numPr>
          <w:ilvl w:val="0"/>
          <w:numId w:val="9"/>
        </w:numPr>
        <w:tabs>
          <w:tab w:val="clear" w:pos="1418"/>
          <w:tab w:val="left" w:pos="1440"/>
        </w:tabs>
        <w:ind w:leftChars="0" w:left="1440"/>
        <w:rPr>
          <w:rFonts w:cs="Arial"/>
        </w:rPr>
      </w:pPr>
      <w:r w:rsidRPr="00A241F5">
        <w:rPr>
          <w:rFonts w:cs="Arial"/>
        </w:rPr>
        <w:t xml:space="preserve">consistent with Final Recommendation 8, </w:t>
      </w:r>
      <w:r w:rsidRPr="00A241F5">
        <w:rPr>
          <w:rFonts w:cs="Arial"/>
          <w:b/>
        </w:rPr>
        <w:t>the ORFS should state clearly the circumstances in which the Lawyer</w:t>
      </w:r>
      <w:r w:rsidR="00C61F4B" w:rsidRPr="00A241F5">
        <w:rPr>
          <w:rFonts w:cs="Arial"/>
          <w:b/>
        </w:rPr>
        <w:t>'</w:t>
      </w:r>
      <w:r w:rsidRPr="00A241F5">
        <w:rPr>
          <w:rFonts w:cs="Arial"/>
          <w:b/>
        </w:rPr>
        <w:t>s payment, expenses and costs, or part of them, are payable by the client in the event that the ORFS is terminated by the Lawyer or the client</w:t>
      </w:r>
      <w:r w:rsidRPr="00A241F5">
        <w:rPr>
          <w:rFonts w:cs="Arial"/>
        </w:rPr>
        <w:t>;</w:t>
      </w:r>
      <w:r w:rsidRPr="00A241F5">
        <w:rPr>
          <w:rStyle w:val="FootnoteReference"/>
          <w:rFonts w:cs="Arial"/>
          <w:sz w:val="24"/>
        </w:rPr>
        <w:footnoteReference w:id="77"/>
      </w:r>
      <w:r w:rsidRPr="00A241F5">
        <w:rPr>
          <w:rFonts w:cs="Arial"/>
        </w:rPr>
        <w:t xml:space="preserve"> and</w:t>
      </w:r>
    </w:p>
    <w:p w14:paraId="2EE910E8" w14:textId="77777777" w:rsidR="0045386A" w:rsidRPr="00A241F5" w:rsidRDefault="0045386A" w:rsidP="0045386A">
      <w:pPr>
        <w:pStyle w:val="ListParagraph"/>
        <w:widowControl/>
        <w:tabs>
          <w:tab w:val="clear" w:pos="1418"/>
          <w:tab w:val="left" w:pos="1440"/>
        </w:tabs>
        <w:ind w:leftChars="0" w:left="1440"/>
        <w:rPr>
          <w:rFonts w:cs="Arial"/>
        </w:rPr>
      </w:pPr>
    </w:p>
    <w:p w14:paraId="3E3A673A" w14:textId="3E10D078" w:rsidR="0045386A" w:rsidRPr="00A241F5" w:rsidRDefault="0045386A" w:rsidP="0045386A">
      <w:pPr>
        <w:pStyle w:val="ListParagraph"/>
        <w:widowControl/>
        <w:numPr>
          <w:ilvl w:val="0"/>
          <w:numId w:val="9"/>
        </w:numPr>
        <w:tabs>
          <w:tab w:val="clear" w:pos="1418"/>
          <w:tab w:val="left" w:pos="1440"/>
        </w:tabs>
        <w:ind w:leftChars="0" w:left="1440"/>
        <w:rPr>
          <w:rFonts w:cs="Arial"/>
        </w:rPr>
      </w:pPr>
      <w:r w:rsidRPr="00A241F5">
        <w:rPr>
          <w:rFonts w:cs="Arial"/>
          <w:b/>
        </w:rPr>
        <w:t>the ORFS should state whether disbursements, including barristers</w:t>
      </w:r>
      <w:r w:rsidR="00C61F4B" w:rsidRPr="00A241F5">
        <w:rPr>
          <w:rFonts w:cs="Arial"/>
          <w:b/>
        </w:rPr>
        <w:t>'</w:t>
      </w:r>
      <w:r w:rsidRPr="00A241F5">
        <w:rPr>
          <w:rFonts w:cs="Arial"/>
          <w:b/>
        </w:rPr>
        <w:t xml:space="preserve"> fees, are to be paid irrespective of the outcome of the matter</w:t>
      </w:r>
      <w:r w:rsidR="00A75376" w:rsidRPr="00A241F5">
        <w:rPr>
          <w:rFonts w:cs="Arial"/>
        </w:rPr>
        <w:t>.</w:t>
      </w:r>
      <w:r w:rsidRPr="00A241F5">
        <w:rPr>
          <w:rStyle w:val="FootnoteReference"/>
          <w:rFonts w:cs="Arial"/>
          <w:sz w:val="24"/>
        </w:rPr>
        <w:footnoteReference w:id="78"/>
      </w:r>
    </w:p>
    <w:p w14:paraId="6196F8D4" w14:textId="77777777" w:rsidR="0045386A" w:rsidRPr="00A241F5" w:rsidRDefault="0045386A" w:rsidP="0045386A">
      <w:pPr>
        <w:pStyle w:val="ListParagraph"/>
        <w:rPr>
          <w:rFonts w:cs="Arial"/>
        </w:rPr>
      </w:pPr>
    </w:p>
    <w:p w14:paraId="77D4D845" w14:textId="38F7F32E" w:rsidR="0045386A" w:rsidRPr="00A241F5" w:rsidRDefault="0045386A" w:rsidP="0045386A">
      <w:pPr>
        <w:pStyle w:val="ListParagraph"/>
        <w:widowControl/>
        <w:tabs>
          <w:tab w:val="clear" w:pos="1418"/>
          <w:tab w:val="left" w:pos="1440"/>
        </w:tabs>
        <w:ind w:leftChars="0" w:left="0"/>
        <w:rPr>
          <w:rFonts w:cs="Arial"/>
        </w:rPr>
      </w:pPr>
      <w:r w:rsidRPr="00A241F5">
        <w:rPr>
          <w:rFonts w:cs="Arial"/>
        </w:rPr>
        <w:t>14.21</w:t>
      </w:r>
      <w:r w:rsidRPr="00A241F5">
        <w:rPr>
          <w:rFonts w:cs="Arial"/>
        </w:rPr>
        <w:tab/>
        <w:t xml:space="preserve">On the question of disclosure, we have considered carefully the responses provided, including those which suggested that an ORFS should not be disclosed in the Arbitration, at least not unless and until a costs application is made.  We accept that an ORFS - being an arrangement between Lawyer and client – is different to a Third Party Funding agreement in the sense that an ORFS does not involve a third party.  Nevertheless, we agree with the Sub-committee that in the interests of transparency and fairness, the relevant stakeholders are entitled to know whether an ORFS is in place, </w:t>
      </w:r>
      <w:r w:rsidR="00EB55E9" w:rsidRPr="00A241F5">
        <w:rPr>
          <w:rFonts w:cs="Arial"/>
        </w:rPr>
        <w:t xml:space="preserve">and if so, </w:t>
      </w:r>
      <w:r w:rsidRPr="00A241F5">
        <w:rPr>
          <w:rFonts w:cs="Arial"/>
        </w:rPr>
        <w:t xml:space="preserve">in respect of which aspect of the Arbitration.  We note too that, consistent with its third party funding regime, Singapore has also recommended </w:t>
      </w:r>
      <w:r w:rsidR="00C61F4B" w:rsidRPr="00A241F5">
        <w:rPr>
          <w:rFonts w:cs="Arial"/>
          <w:i/>
        </w:rPr>
        <w:t>"</w:t>
      </w:r>
      <w:r w:rsidRPr="00A241F5">
        <w:rPr>
          <w:rFonts w:cs="Arial"/>
        </w:rPr>
        <w:t>[</w:t>
      </w:r>
      <w:r w:rsidRPr="00A241F5">
        <w:rPr>
          <w:rFonts w:cs="Arial"/>
          <w:i/>
        </w:rPr>
        <w:t>d</w:t>
      </w:r>
      <w:r w:rsidRPr="00A241F5">
        <w:rPr>
          <w:rFonts w:cs="Arial"/>
        </w:rPr>
        <w:t>]</w:t>
      </w:r>
      <w:r w:rsidRPr="00A241F5">
        <w:rPr>
          <w:rFonts w:cs="Arial"/>
          <w:i/>
        </w:rPr>
        <w:t>isclosure obligations placed on solicitors to disclose the existence of the CFA</w:t>
      </w:r>
      <w:r w:rsidR="008B535C">
        <w:rPr>
          <w:rFonts w:cs="Arial"/>
          <w:i/>
        </w:rPr>
        <w:t>,</w:t>
      </w:r>
      <w:r w:rsidRPr="00A241F5">
        <w:rPr>
          <w:rFonts w:cs="Arial"/>
          <w:i/>
        </w:rPr>
        <w:t xml:space="preserve"> to the Court or tribunal (where relevant), and to every other party to those proceedings</w:t>
      </w:r>
      <w:r w:rsidR="00C61F4B" w:rsidRPr="00A241F5">
        <w:rPr>
          <w:rFonts w:cs="Arial"/>
          <w:i/>
        </w:rPr>
        <w:t>"</w:t>
      </w:r>
      <w:r w:rsidRPr="00A241F5">
        <w:rPr>
          <w:rFonts w:cs="Arial"/>
        </w:rPr>
        <w:t>.</w:t>
      </w:r>
      <w:r w:rsidRPr="00A241F5">
        <w:rPr>
          <w:rStyle w:val="FootnoteReference"/>
          <w:rFonts w:cs="Arial"/>
          <w:sz w:val="24"/>
        </w:rPr>
        <w:footnoteReference w:id="79"/>
      </w:r>
      <w:r w:rsidRPr="00A241F5">
        <w:rPr>
          <w:rFonts w:cs="Arial"/>
        </w:rPr>
        <w:t xml:space="preserve">      </w:t>
      </w:r>
    </w:p>
    <w:p w14:paraId="3B79C78D" w14:textId="77777777" w:rsidR="0045386A" w:rsidRPr="00A241F5" w:rsidRDefault="0045386A" w:rsidP="0045386A">
      <w:pPr>
        <w:pStyle w:val="ListParagraph"/>
        <w:widowControl/>
        <w:tabs>
          <w:tab w:val="clear" w:pos="1418"/>
          <w:tab w:val="left" w:pos="1440"/>
        </w:tabs>
        <w:ind w:leftChars="0" w:left="0"/>
        <w:rPr>
          <w:rFonts w:cs="Arial"/>
        </w:rPr>
      </w:pPr>
    </w:p>
    <w:p w14:paraId="49E9490F" w14:textId="26FCC7E2" w:rsidR="0045386A" w:rsidRPr="00A241F5" w:rsidRDefault="0045386A" w:rsidP="0045386A">
      <w:pPr>
        <w:pStyle w:val="ListParagraph"/>
        <w:widowControl/>
        <w:tabs>
          <w:tab w:val="clear" w:pos="1418"/>
          <w:tab w:val="left" w:pos="1440"/>
        </w:tabs>
        <w:ind w:leftChars="0" w:left="0"/>
        <w:rPr>
          <w:rFonts w:cs="Arial"/>
        </w:rPr>
      </w:pPr>
      <w:r w:rsidRPr="00A241F5">
        <w:rPr>
          <w:rFonts w:cs="Arial"/>
        </w:rPr>
        <w:t>14.22</w:t>
      </w:r>
      <w:r w:rsidRPr="00A241F5">
        <w:rPr>
          <w:rFonts w:cs="Arial"/>
        </w:rPr>
        <w:tab/>
        <w:t>We believe that Hong Kong should adopt the same position. Similar to Third Party Funding, the primary disclosure requirements should be contained in the new Part 10B of the Arbitration Ordinance, and require the Lawyer to disclose only the existence (and ending) of any ORFS for Arbitration in place.</w:t>
      </w:r>
      <w:r w:rsidR="00E82CB4" w:rsidRPr="00A241F5">
        <w:rPr>
          <w:rStyle w:val="FootnoteReference"/>
          <w:rFonts w:cs="Arial"/>
          <w:sz w:val="24"/>
        </w:rPr>
        <w:footnoteReference w:id="80"/>
      </w:r>
      <w:r w:rsidRPr="00A241F5">
        <w:rPr>
          <w:rFonts w:cs="Arial"/>
        </w:rPr>
        <w:t xml:space="preserve">  The precise terms of the ORFS would not need to be disclosed, unless otherwise ordered by the Tribunal or the court.  </w:t>
      </w:r>
    </w:p>
    <w:p w14:paraId="15A4A050" w14:textId="77777777" w:rsidR="0045386A" w:rsidRPr="00A241F5" w:rsidRDefault="0045386A" w:rsidP="00C61F4B">
      <w:pPr>
        <w:widowControl/>
        <w:tabs>
          <w:tab w:val="clear" w:pos="1418"/>
          <w:tab w:val="left" w:pos="1440"/>
        </w:tabs>
        <w:rPr>
          <w:rFonts w:cs="Arial"/>
        </w:rPr>
      </w:pPr>
    </w:p>
    <w:p w14:paraId="67A6EB10" w14:textId="77777777" w:rsidR="0045386A" w:rsidRPr="00A241F5" w:rsidRDefault="0045386A" w:rsidP="00C61F4B">
      <w:pPr>
        <w:pStyle w:val="ListParagraph"/>
        <w:widowControl/>
        <w:tabs>
          <w:tab w:val="clear" w:pos="1418"/>
          <w:tab w:val="left" w:pos="1440"/>
        </w:tabs>
        <w:ind w:leftChars="0" w:left="0"/>
        <w:rPr>
          <w:rFonts w:cs="Arial"/>
        </w:rPr>
      </w:pPr>
    </w:p>
    <w:p w14:paraId="43374E31" w14:textId="77777777" w:rsidR="00883469" w:rsidRDefault="00883469" w:rsidP="0045386A">
      <w:pPr>
        <w:pStyle w:val="Heading2"/>
        <w:widowControl/>
        <w:tabs>
          <w:tab w:val="clear" w:pos="1418"/>
          <w:tab w:val="left" w:pos="1440"/>
        </w:tabs>
        <w:rPr>
          <w:rFonts w:cs="Arial"/>
        </w:rPr>
      </w:pPr>
    </w:p>
    <w:p w14:paraId="0994A207" w14:textId="4B6D8294" w:rsidR="0045386A" w:rsidRPr="00A241F5" w:rsidRDefault="0045386A" w:rsidP="0045386A">
      <w:pPr>
        <w:pStyle w:val="Heading2"/>
        <w:widowControl/>
        <w:tabs>
          <w:tab w:val="clear" w:pos="1418"/>
          <w:tab w:val="left" w:pos="1440"/>
        </w:tabs>
        <w:rPr>
          <w:rFonts w:cs="Arial"/>
        </w:rPr>
      </w:pPr>
      <w:r w:rsidRPr="00A241F5">
        <w:rPr>
          <w:rFonts w:cs="Arial"/>
        </w:rPr>
        <w:t>Responses to the Sub-committee</w:t>
      </w:r>
      <w:r w:rsidR="00C61F4B" w:rsidRPr="00A241F5">
        <w:rPr>
          <w:rFonts w:cs="Arial"/>
        </w:rPr>
        <w:t>'</w:t>
      </w:r>
      <w:r w:rsidRPr="00A241F5">
        <w:rPr>
          <w:rFonts w:cs="Arial"/>
        </w:rPr>
        <w:t>s Recommendation 13(b), (e), (f), (g) and (h)</w:t>
      </w:r>
    </w:p>
    <w:p w14:paraId="26189886" w14:textId="77777777" w:rsidR="0045386A" w:rsidRPr="00A241F5" w:rsidRDefault="0045386A" w:rsidP="0045386A">
      <w:pPr>
        <w:widowControl/>
        <w:tabs>
          <w:tab w:val="clear" w:pos="1418"/>
          <w:tab w:val="left" w:pos="1440"/>
        </w:tabs>
        <w:rPr>
          <w:rFonts w:cs="Arial"/>
        </w:rPr>
      </w:pPr>
    </w:p>
    <w:p w14:paraId="18A00614" w14:textId="6FA7C66A" w:rsidR="0045386A" w:rsidRPr="00A241F5" w:rsidRDefault="0045386A" w:rsidP="0045386A">
      <w:pPr>
        <w:rPr>
          <w:rFonts w:cs="Arial"/>
        </w:rPr>
      </w:pPr>
      <w:r w:rsidRPr="00A241F5">
        <w:rPr>
          <w:rFonts w:cs="Arial"/>
        </w:rPr>
        <w:t>14.23</w:t>
      </w:r>
      <w:r w:rsidRPr="00A241F5">
        <w:rPr>
          <w:rFonts w:cs="Arial"/>
        </w:rPr>
        <w:tab/>
      </w:r>
      <w:r w:rsidRPr="00A241F5">
        <w:rPr>
          <w:rFonts w:cs="Arial"/>
        </w:rPr>
        <w:tab/>
        <w:t xml:space="preserve">Below is a summary of the responses regarding Recommendation 13(b), (e), (f), (g) and (h) of the Consultation Paper.  We have grouped these together, as all discuss the criteria for payment of Success Fee or DBA Payment to a Lawyer under an ORFS for Arbitration. </w:t>
      </w:r>
    </w:p>
    <w:p w14:paraId="4E15E5FC" w14:textId="685B3EB0" w:rsidR="0045386A" w:rsidRPr="00A241F5" w:rsidRDefault="0045386A" w:rsidP="0045386A"/>
    <w:p w14:paraId="7A5F127A" w14:textId="2A3A7633" w:rsidR="008F0A89" w:rsidRPr="00A241F5" w:rsidRDefault="008F0A89" w:rsidP="008F0A89">
      <w:pPr>
        <w:keepNext/>
        <w:keepLines/>
        <w:rPr>
          <w:rFonts w:cs="Arial"/>
          <w:b/>
          <w:i/>
        </w:rPr>
      </w:pPr>
    </w:p>
    <w:p w14:paraId="3924E1A5" w14:textId="09A0D6DA" w:rsidR="0045386A" w:rsidRPr="00A241F5" w:rsidRDefault="0045386A" w:rsidP="008F0A89">
      <w:pPr>
        <w:keepNext/>
        <w:keepLines/>
        <w:rPr>
          <w:rFonts w:cs="Arial"/>
          <w:b/>
          <w:i/>
        </w:rPr>
      </w:pPr>
      <w:r w:rsidRPr="00A241F5">
        <w:rPr>
          <w:rFonts w:cs="Arial"/>
          <w:b/>
          <w:i/>
        </w:rPr>
        <w:t>CFAs</w:t>
      </w:r>
    </w:p>
    <w:p w14:paraId="56F13C66" w14:textId="77777777" w:rsidR="0045386A" w:rsidRPr="00A241F5" w:rsidRDefault="0045386A" w:rsidP="008F0A89">
      <w:pPr>
        <w:keepNext/>
        <w:keepLines/>
        <w:rPr>
          <w:rFonts w:cs="Arial"/>
          <w:b/>
          <w:i/>
        </w:rPr>
      </w:pPr>
    </w:p>
    <w:p w14:paraId="7FA6FD80" w14:textId="58470354" w:rsidR="0045386A" w:rsidRPr="00A241F5" w:rsidRDefault="0045386A" w:rsidP="008F0A89">
      <w:pPr>
        <w:keepNext/>
        <w:keepLines/>
        <w:rPr>
          <w:rFonts w:cs="Arial"/>
          <w:i/>
        </w:rPr>
      </w:pPr>
      <w:r w:rsidRPr="00A241F5">
        <w:rPr>
          <w:rFonts w:cs="Arial"/>
        </w:rPr>
        <w:t>14.24</w:t>
      </w:r>
      <w:r w:rsidRPr="00A241F5">
        <w:rPr>
          <w:rFonts w:cs="Arial"/>
        </w:rPr>
        <w:tab/>
      </w:r>
      <w:r w:rsidRPr="00A241F5">
        <w:rPr>
          <w:rFonts w:cs="Arial"/>
        </w:rPr>
        <w:tab/>
        <w:t>At Recommendation 13(b)</w:t>
      </w:r>
      <w:r w:rsidRPr="00A241F5">
        <w:rPr>
          <w:rFonts w:cs="Arial"/>
          <w:i/>
        </w:rPr>
        <w:t xml:space="preserve"> </w:t>
      </w:r>
      <w:r w:rsidRPr="00A241F5">
        <w:rPr>
          <w:rFonts w:cs="Arial"/>
        </w:rPr>
        <w:t xml:space="preserve">of the Consultation Paper, the Sub-committee sought views as to: </w:t>
      </w:r>
      <w:r w:rsidR="00C61F4B" w:rsidRPr="00A241F5">
        <w:rPr>
          <w:rFonts w:cs="Arial"/>
          <w:i/>
        </w:rPr>
        <w:t>"</w:t>
      </w:r>
      <w:r w:rsidR="00AD75E1" w:rsidRPr="00A241F5">
        <w:rPr>
          <w:rFonts w:cs="Arial"/>
          <w:i/>
        </w:rPr>
        <w:t>W</w:t>
      </w:r>
      <w:r w:rsidRPr="00A241F5">
        <w:rPr>
          <w:rFonts w:cs="Arial"/>
          <w:i/>
        </w:rPr>
        <w:t xml:space="preserve">hat should be the relevant method and criteria for fixing </w:t>
      </w:r>
      <w:r w:rsidR="00C61F4B" w:rsidRPr="00A241F5">
        <w:rPr>
          <w:rFonts w:cs="Arial"/>
          <w:i/>
        </w:rPr>
        <w:t>'</w:t>
      </w:r>
      <w:r w:rsidRPr="00A241F5">
        <w:rPr>
          <w:rFonts w:cs="Arial"/>
          <w:i/>
        </w:rPr>
        <w:t>Success Fees</w:t>
      </w:r>
      <w:r w:rsidR="00C61F4B" w:rsidRPr="00A241F5">
        <w:rPr>
          <w:rFonts w:cs="Arial"/>
          <w:i/>
        </w:rPr>
        <w:t>'</w:t>
      </w:r>
      <w:r w:rsidRPr="00A241F5">
        <w:rPr>
          <w:rFonts w:cs="Arial"/>
          <w:i/>
        </w:rPr>
        <w:t xml:space="preserve"> in CFAs.</w:t>
      </w:r>
      <w:r w:rsidR="009E6E87" w:rsidRPr="00A241F5">
        <w:rPr>
          <w:rFonts w:cs="Arial"/>
          <w:i/>
        </w:rPr>
        <w:t>"</w:t>
      </w:r>
    </w:p>
    <w:p w14:paraId="44581FA5" w14:textId="77777777" w:rsidR="0045386A" w:rsidRPr="00A241F5" w:rsidRDefault="0045386A" w:rsidP="0045386A">
      <w:pPr>
        <w:rPr>
          <w:rFonts w:cs="Arial"/>
        </w:rPr>
      </w:pPr>
    </w:p>
    <w:p w14:paraId="03C2D86F" w14:textId="4E3885BF" w:rsidR="0045386A" w:rsidRPr="00A241F5" w:rsidRDefault="0045386A" w:rsidP="0045386A">
      <w:pPr>
        <w:rPr>
          <w:lang w:val="en-HK"/>
        </w:rPr>
      </w:pPr>
      <w:r w:rsidRPr="00A241F5">
        <w:t>14.25</w:t>
      </w:r>
      <w:r w:rsidRPr="00A241F5">
        <w:tab/>
      </w:r>
      <w:r w:rsidRPr="00A241F5">
        <w:tab/>
        <w:t xml:space="preserve">Few Respondents commented specifically on this question.  Most chose to express general support for Recommendation 13(b), (e), (f), (g) and (h) together.  The only comment specifically addressed to Recommendation 13(b) stated that the criteria for fixing Success Fees in CFAs </w:t>
      </w:r>
      <w:r w:rsidR="00C61F4B" w:rsidRPr="00A241F5">
        <w:rPr>
          <w:i/>
        </w:rPr>
        <w:t>"</w:t>
      </w:r>
      <w:r w:rsidR="00AD75E1" w:rsidRPr="00A241F5">
        <w:t>[</w:t>
      </w:r>
      <w:r w:rsidRPr="00A241F5">
        <w:rPr>
          <w:i/>
        </w:rPr>
        <w:t>s</w:t>
      </w:r>
      <w:r w:rsidR="00AD75E1" w:rsidRPr="00A241F5">
        <w:t>]</w:t>
      </w:r>
      <w:r w:rsidRPr="00A241F5">
        <w:rPr>
          <w:i/>
        </w:rPr>
        <w:t>hould be a matter of negotiation between lawyers and clients</w:t>
      </w:r>
      <w:r w:rsidR="00C61F4B" w:rsidRPr="00A241F5">
        <w:rPr>
          <w:i/>
        </w:rPr>
        <w:t>"</w:t>
      </w:r>
      <w:r w:rsidRPr="00A241F5">
        <w:t>.</w:t>
      </w:r>
    </w:p>
    <w:p w14:paraId="64F5C57B" w14:textId="77777777" w:rsidR="0045386A" w:rsidRPr="00A241F5" w:rsidRDefault="0045386A" w:rsidP="0045386A">
      <w:pPr>
        <w:rPr>
          <w:lang w:val="en-HK"/>
        </w:rPr>
      </w:pPr>
    </w:p>
    <w:p w14:paraId="43A5F180" w14:textId="77777777" w:rsidR="0045386A" w:rsidRPr="00A241F5" w:rsidRDefault="0045386A" w:rsidP="0045386A">
      <w:pPr>
        <w:rPr>
          <w:lang w:val="en-HK"/>
        </w:rPr>
      </w:pPr>
    </w:p>
    <w:p w14:paraId="502E91F7" w14:textId="77777777" w:rsidR="0045386A" w:rsidRPr="00A241F5" w:rsidRDefault="0045386A" w:rsidP="0045386A">
      <w:pPr>
        <w:rPr>
          <w:rFonts w:cs="Arial"/>
          <w:b/>
          <w:i/>
        </w:rPr>
      </w:pPr>
      <w:r w:rsidRPr="00A241F5">
        <w:rPr>
          <w:rFonts w:cs="Arial"/>
          <w:b/>
          <w:i/>
        </w:rPr>
        <w:t>DBAs</w:t>
      </w:r>
    </w:p>
    <w:p w14:paraId="25A2A219" w14:textId="77777777" w:rsidR="0045386A" w:rsidRPr="00A241F5" w:rsidRDefault="0045386A" w:rsidP="0045386A"/>
    <w:p w14:paraId="6B316C1A" w14:textId="22D617FE" w:rsidR="0045386A" w:rsidRPr="00A241F5" w:rsidRDefault="0045386A" w:rsidP="0045386A">
      <w:pPr>
        <w:rPr>
          <w:rFonts w:cs="Arial"/>
        </w:rPr>
      </w:pPr>
      <w:r w:rsidRPr="00A241F5">
        <w:rPr>
          <w:rFonts w:cs="Arial"/>
        </w:rPr>
        <w:t>14.26</w:t>
      </w:r>
      <w:r w:rsidRPr="00A241F5">
        <w:rPr>
          <w:rFonts w:cs="Arial"/>
        </w:rPr>
        <w:tab/>
      </w:r>
      <w:r w:rsidRPr="00A241F5">
        <w:rPr>
          <w:rFonts w:cs="Arial"/>
        </w:rPr>
        <w:tab/>
        <w:t>With respect to DBAs, responses were sought to the following questions:</w:t>
      </w:r>
    </w:p>
    <w:p w14:paraId="620D052C" w14:textId="77777777" w:rsidR="0045386A" w:rsidRPr="00A241F5" w:rsidRDefault="0045386A" w:rsidP="0045386A">
      <w:pPr>
        <w:rPr>
          <w:rFonts w:cs="Arial"/>
        </w:rPr>
      </w:pPr>
    </w:p>
    <w:p w14:paraId="288C6032" w14:textId="3757803D" w:rsidR="0045386A" w:rsidRPr="00A241F5" w:rsidRDefault="00C61F4B" w:rsidP="00883469">
      <w:pPr>
        <w:ind w:left="1440" w:right="720" w:hanging="720"/>
        <w:rPr>
          <w:rFonts w:cs="Arial"/>
        </w:rPr>
      </w:pPr>
      <w:r w:rsidRPr="00A241F5">
        <w:rPr>
          <w:rFonts w:cs="Arial"/>
          <w:i/>
        </w:rPr>
        <w:t>"</w:t>
      </w:r>
      <w:r w:rsidR="0045386A" w:rsidRPr="00A241F5">
        <w:rPr>
          <w:rFonts w:cs="Arial"/>
          <w:i/>
        </w:rPr>
        <w:t>13</w:t>
      </w:r>
      <w:r w:rsidR="0045386A" w:rsidRPr="00A241F5">
        <w:rPr>
          <w:rFonts w:cs="Arial"/>
          <w:bCs/>
          <w:i/>
        </w:rPr>
        <w:t>(e) whether a DBA Payment may be payable (depending on the terms agreed between Lawyer and client) wherever a financial benefit is received by the client, based on the value of that financial benefit</w:t>
      </w:r>
      <w:r w:rsidR="00AD75E1" w:rsidRPr="00A241F5">
        <w:rPr>
          <w:rFonts w:cs="Arial"/>
        </w:rPr>
        <w:t>.</w:t>
      </w:r>
      <w:r w:rsidR="0045386A" w:rsidRPr="00A241F5">
        <w:rPr>
          <w:rFonts w:cs="Arial"/>
        </w:rPr>
        <w:t xml:space="preserve"> </w:t>
      </w:r>
    </w:p>
    <w:p w14:paraId="2C5337A1" w14:textId="77777777" w:rsidR="0045386A" w:rsidRPr="00A241F5" w:rsidRDefault="0045386A" w:rsidP="00883469">
      <w:pPr>
        <w:ind w:left="1440" w:right="720" w:hanging="720"/>
        <w:rPr>
          <w:rFonts w:cs="Arial"/>
        </w:rPr>
      </w:pPr>
    </w:p>
    <w:p w14:paraId="0F89F0AF" w14:textId="32DF6C04" w:rsidR="0045386A" w:rsidRPr="00A241F5" w:rsidRDefault="0045386A" w:rsidP="00883469">
      <w:pPr>
        <w:ind w:left="1440" w:right="720" w:hanging="720"/>
        <w:rPr>
          <w:rFonts w:cs="Arial"/>
          <w:i/>
        </w:rPr>
      </w:pPr>
      <w:r w:rsidRPr="00A241F5">
        <w:rPr>
          <w:rFonts w:cs="Arial"/>
          <w:i/>
        </w:rPr>
        <w:t xml:space="preserve">13(f) </w:t>
      </w:r>
      <w:r w:rsidRPr="00A241F5">
        <w:rPr>
          <w:rFonts w:cs="Arial"/>
          <w:i/>
        </w:rPr>
        <w:tab/>
        <w:t>whether the relevant financial benefit may be a debt owed to a client, eg under a judgment or settlement, rather than money or property actually received</w:t>
      </w:r>
      <w:r w:rsidR="00AD75E1" w:rsidRPr="00A241F5">
        <w:rPr>
          <w:rFonts w:cs="Arial"/>
          <w:i/>
        </w:rPr>
        <w:t>.</w:t>
      </w:r>
      <w:r w:rsidRPr="00A241F5">
        <w:rPr>
          <w:rFonts w:cs="Arial"/>
          <w:i/>
        </w:rPr>
        <w:t xml:space="preserve"> </w:t>
      </w:r>
    </w:p>
    <w:p w14:paraId="39E33135" w14:textId="77777777" w:rsidR="0045386A" w:rsidRPr="00A241F5" w:rsidRDefault="0045386A" w:rsidP="00883469">
      <w:pPr>
        <w:ind w:left="1440" w:right="720" w:hanging="720"/>
        <w:rPr>
          <w:rFonts w:cs="Arial"/>
          <w:i/>
        </w:rPr>
      </w:pPr>
    </w:p>
    <w:p w14:paraId="5BE38A9B" w14:textId="403FB6B6" w:rsidR="0045386A" w:rsidRPr="00A241F5" w:rsidRDefault="0045386A" w:rsidP="00883469">
      <w:pPr>
        <w:ind w:left="1440" w:right="720" w:hanging="720"/>
        <w:rPr>
          <w:rFonts w:cs="Arial"/>
          <w:i/>
        </w:rPr>
      </w:pPr>
      <w:r w:rsidRPr="00A241F5">
        <w:rPr>
          <w:rFonts w:cs="Arial"/>
          <w:i/>
        </w:rPr>
        <w:t xml:space="preserve">13(g) </w:t>
      </w:r>
      <w:r w:rsidRPr="00A241F5">
        <w:rPr>
          <w:rFonts w:cs="Arial"/>
          <w:i/>
        </w:rPr>
        <w:tab/>
        <w:t>whether provision should be made for cases in which the result will not involve monetary damages by providing a definition of money or money</w:t>
      </w:r>
      <w:r w:rsidR="00C61F4B" w:rsidRPr="00A241F5">
        <w:rPr>
          <w:rFonts w:cs="Arial"/>
          <w:i/>
        </w:rPr>
        <w:t>'</w:t>
      </w:r>
      <w:r w:rsidRPr="00A241F5">
        <w:rPr>
          <w:rFonts w:cs="Arial"/>
          <w:i/>
        </w:rPr>
        <w:t>s worth that includes consideration reducible to a monetary value</w:t>
      </w:r>
      <w:r w:rsidR="00AD75E1" w:rsidRPr="00A241F5">
        <w:rPr>
          <w:rFonts w:cs="Arial"/>
          <w:i/>
        </w:rPr>
        <w:t>.</w:t>
      </w:r>
      <w:r w:rsidRPr="00A241F5">
        <w:rPr>
          <w:rFonts w:cs="Arial"/>
          <w:i/>
        </w:rPr>
        <w:t xml:space="preserve"> </w:t>
      </w:r>
    </w:p>
    <w:p w14:paraId="434939AB" w14:textId="77777777" w:rsidR="0045386A" w:rsidRPr="00A241F5" w:rsidRDefault="0045386A" w:rsidP="00883469">
      <w:pPr>
        <w:ind w:left="1440" w:right="720" w:hanging="720"/>
        <w:rPr>
          <w:rFonts w:cs="Arial"/>
          <w:i/>
        </w:rPr>
      </w:pPr>
    </w:p>
    <w:p w14:paraId="6B363B65" w14:textId="385D7203" w:rsidR="0045386A" w:rsidRPr="00A241F5" w:rsidRDefault="0045386A" w:rsidP="00883469">
      <w:pPr>
        <w:widowControl/>
        <w:ind w:left="1440" w:right="720" w:hanging="720"/>
        <w:rPr>
          <w:rFonts w:cs="Arial"/>
        </w:rPr>
      </w:pPr>
      <w:r w:rsidRPr="00A241F5">
        <w:rPr>
          <w:rFonts w:cs="Arial"/>
          <w:i/>
        </w:rPr>
        <w:t>13(h)</w:t>
      </w:r>
      <w:r w:rsidR="00883469">
        <w:rPr>
          <w:rFonts w:cs="Arial"/>
          <w:i/>
        </w:rPr>
        <w:tab/>
      </w:r>
      <w:r w:rsidRPr="00A241F5">
        <w:rPr>
          <w:rFonts w:cs="Arial"/>
          <w:i/>
        </w:rPr>
        <w:t>whether respondents should be permitted to use DBAs, eg to provide for a DBA Payment in the event the respondent is held liable for less than the amount claimed or less than an agreed threshold</w:t>
      </w:r>
      <w:r w:rsidR="00A10EC2" w:rsidRPr="00A241F5">
        <w:rPr>
          <w:rFonts w:cs="Arial"/>
          <w:i/>
        </w:rPr>
        <w:t>.</w:t>
      </w:r>
      <w:r w:rsidR="00C61F4B" w:rsidRPr="00A241F5">
        <w:rPr>
          <w:rFonts w:cs="Arial"/>
          <w:i/>
        </w:rPr>
        <w:t>"</w:t>
      </w:r>
      <w:r w:rsidRPr="00A241F5">
        <w:rPr>
          <w:rStyle w:val="FootnoteReference"/>
          <w:rFonts w:cs="Arial"/>
          <w:sz w:val="24"/>
        </w:rPr>
        <w:footnoteReference w:id="81"/>
      </w:r>
      <w:r w:rsidRPr="00A241F5">
        <w:rPr>
          <w:rFonts w:cs="Arial"/>
        </w:rPr>
        <w:t xml:space="preserve"> </w:t>
      </w:r>
    </w:p>
    <w:p w14:paraId="1A918F93" w14:textId="77777777" w:rsidR="0045386A" w:rsidRPr="00A241F5" w:rsidRDefault="0045386A" w:rsidP="0045386A">
      <w:pPr>
        <w:rPr>
          <w:rFonts w:cs="Arial"/>
        </w:rPr>
      </w:pPr>
    </w:p>
    <w:p w14:paraId="5D3DB3DF" w14:textId="0A631E01" w:rsidR="0045386A" w:rsidRPr="00A241F5" w:rsidRDefault="0045386A" w:rsidP="00E73BCE">
      <w:pPr>
        <w:widowControl/>
        <w:rPr>
          <w:rFonts w:cs="Arial"/>
        </w:rPr>
      </w:pPr>
      <w:r w:rsidRPr="00A241F5">
        <w:rPr>
          <w:rFonts w:cs="Arial"/>
        </w:rPr>
        <w:lastRenderedPageBreak/>
        <w:t>14.27</w:t>
      </w:r>
      <w:r w:rsidRPr="00A241F5">
        <w:rPr>
          <w:rFonts w:cs="Arial"/>
        </w:rPr>
        <w:tab/>
      </w:r>
      <w:r w:rsidRPr="00A241F5">
        <w:rPr>
          <w:rFonts w:cs="Arial"/>
        </w:rPr>
        <w:tab/>
        <w:t>A handful of Respondents addressed these questions together.  A litigation funder commented:</w:t>
      </w:r>
    </w:p>
    <w:p w14:paraId="232A5811" w14:textId="77777777" w:rsidR="0045386A" w:rsidRPr="00A241F5" w:rsidRDefault="0045386A" w:rsidP="0045386A">
      <w:pPr>
        <w:rPr>
          <w:rFonts w:cs="Arial"/>
        </w:rPr>
      </w:pPr>
    </w:p>
    <w:p w14:paraId="2A8146CA" w14:textId="7538D809" w:rsidR="0045386A" w:rsidRPr="00A241F5" w:rsidRDefault="00C61F4B" w:rsidP="00883469">
      <w:pPr>
        <w:pStyle w:val="BlockText"/>
      </w:pPr>
      <w:r w:rsidRPr="00A241F5">
        <w:t>"</w:t>
      </w:r>
      <w:r w:rsidR="0045386A" w:rsidRPr="00A241F5">
        <w:t>… the ORFS regime should be flexible to enable such arrangements to be left to the parties to negotiate and structure in the most appropriate way, depending on the circumstances of the case, provided there is a requirement … for clients to receive independent advice</w:t>
      </w:r>
      <w:r w:rsidR="00FD3F6D" w:rsidRPr="00A241F5">
        <w:t>…</w:t>
      </w:r>
      <w:r w:rsidRPr="00A241F5">
        <w:t>"</w:t>
      </w:r>
      <w:r w:rsidR="0045386A" w:rsidRPr="00A241F5">
        <w:t xml:space="preserve">. </w:t>
      </w:r>
    </w:p>
    <w:p w14:paraId="3C857937" w14:textId="77777777" w:rsidR="0045386A" w:rsidRPr="00A241F5" w:rsidRDefault="0045386A" w:rsidP="0045386A">
      <w:pPr>
        <w:rPr>
          <w:rFonts w:cs="Arial"/>
        </w:rPr>
      </w:pPr>
    </w:p>
    <w:p w14:paraId="678817E8" w14:textId="6751351D" w:rsidR="0045386A" w:rsidRPr="00A241F5" w:rsidRDefault="0045386A" w:rsidP="0045386A">
      <w:pPr>
        <w:widowControl/>
        <w:rPr>
          <w:rFonts w:cs="Arial"/>
        </w:rPr>
      </w:pPr>
      <w:r w:rsidRPr="00A241F5">
        <w:rPr>
          <w:rFonts w:cs="Arial"/>
        </w:rPr>
        <w:t>14.28</w:t>
      </w:r>
      <w:r w:rsidRPr="00A241F5">
        <w:rPr>
          <w:rFonts w:cs="Arial"/>
        </w:rPr>
        <w:tab/>
      </w:r>
      <w:r w:rsidRPr="00A241F5">
        <w:rPr>
          <w:rFonts w:cs="Arial"/>
        </w:rPr>
        <w:tab/>
        <w:t xml:space="preserve">A large law firm commented that </w:t>
      </w:r>
      <w:r w:rsidR="00C61F4B" w:rsidRPr="00A241F5">
        <w:rPr>
          <w:rFonts w:cs="Arial"/>
          <w:i/>
        </w:rPr>
        <w:t>"</w:t>
      </w:r>
      <w:r w:rsidRPr="00A241F5">
        <w:rPr>
          <w:rFonts w:cs="Arial"/>
          <w:i/>
        </w:rPr>
        <w:t xml:space="preserve">an encompassing definition of </w:t>
      </w:r>
      <w:r w:rsidR="00C61F4B" w:rsidRPr="00A241F5">
        <w:rPr>
          <w:rFonts w:cs="Arial"/>
          <w:i/>
        </w:rPr>
        <w:t>'</w:t>
      </w:r>
      <w:r w:rsidRPr="00A241F5">
        <w:rPr>
          <w:rFonts w:cs="Arial"/>
          <w:i/>
        </w:rPr>
        <w:t>financial benefit</w:t>
      </w:r>
      <w:r w:rsidR="00C61F4B" w:rsidRPr="00A241F5">
        <w:rPr>
          <w:rFonts w:cs="Arial"/>
          <w:i/>
        </w:rPr>
        <w:t>'</w:t>
      </w:r>
      <w:r w:rsidRPr="00A241F5">
        <w:rPr>
          <w:rFonts w:cs="Arial"/>
          <w:i/>
        </w:rPr>
        <w:t xml:space="preserve"> (as described in §5.74 </w:t>
      </w:r>
      <w:r w:rsidRPr="00A241F5">
        <w:rPr>
          <w:rFonts w:cs="Arial"/>
        </w:rPr>
        <w:t>[</w:t>
      </w:r>
      <w:r w:rsidRPr="00A241F5">
        <w:rPr>
          <w:rFonts w:cs="Arial"/>
          <w:i/>
        </w:rPr>
        <w:t>of the Consultation Paper</w:t>
      </w:r>
      <w:r w:rsidRPr="00A241F5">
        <w:rPr>
          <w:rFonts w:cs="Arial"/>
        </w:rPr>
        <w:t>]</w:t>
      </w:r>
      <w:r w:rsidR="00AD75E1" w:rsidRPr="00A241F5">
        <w:rPr>
          <w:rFonts w:cs="Arial"/>
          <w:i/>
        </w:rPr>
        <w:t>)</w:t>
      </w:r>
      <w:r w:rsidRPr="00A241F5">
        <w:rPr>
          <w:rFonts w:cs="Arial"/>
        </w:rPr>
        <w:t xml:space="preserve"> </w:t>
      </w:r>
      <w:r w:rsidRPr="00A241F5">
        <w:rPr>
          <w:rFonts w:cs="Arial"/>
          <w:i/>
        </w:rPr>
        <w:t>should be adopted</w:t>
      </w:r>
      <w:r w:rsidR="00C61F4B" w:rsidRPr="00A241F5">
        <w:rPr>
          <w:rFonts w:cs="Arial"/>
          <w:i/>
        </w:rPr>
        <w:t>"</w:t>
      </w:r>
      <w:r w:rsidRPr="00A241F5">
        <w:rPr>
          <w:rFonts w:cs="Arial"/>
          <w:i/>
        </w:rPr>
        <w:t xml:space="preserve">.  </w:t>
      </w:r>
      <w:r w:rsidRPr="00A241F5">
        <w:rPr>
          <w:rFonts w:cs="Arial"/>
        </w:rPr>
        <w:t xml:space="preserve">Another two Respondents agreed, saying that DBA Payments should be </w:t>
      </w:r>
      <w:r w:rsidR="00C61F4B" w:rsidRPr="00A241F5">
        <w:rPr>
          <w:rFonts w:cs="Arial"/>
          <w:i/>
        </w:rPr>
        <w:t>"</w:t>
      </w:r>
      <w:r w:rsidRPr="00A241F5">
        <w:rPr>
          <w:rFonts w:cs="Arial"/>
          <w:i/>
        </w:rPr>
        <w:t xml:space="preserve">based on the value of the </w:t>
      </w:r>
      <w:r w:rsidR="00C61F4B" w:rsidRPr="00A241F5">
        <w:rPr>
          <w:rFonts w:cs="Arial"/>
          <w:i/>
        </w:rPr>
        <w:t>'</w:t>
      </w:r>
      <w:r w:rsidRPr="00A241F5">
        <w:rPr>
          <w:rFonts w:cs="Arial"/>
          <w:i/>
        </w:rPr>
        <w:t>financial benefit</w:t>
      </w:r>
      <w:r w:rsidR="00C61F4B" w:rsidRPr="00A241F5">
        <w:rPr>
          <w:rFonts w:cs="Arial"/>
          <w:i/>
        </w:rPr>
        <w:t>'</w:t>
      </w:r>
      <w:r w:rsidRPr="00A241F5">
        <w:rPr>
          <w:rFonts w:cs="Arial"/>
          <w:i/>
        </w:rPr>
        <w:t xml:space="preserve"> when received by the client; and that </w:t>
      </w:r>
      <w:r w:rsidR="00C61F4B" w:rsidRPr="00A241F5">
        <w:rPr>
          <w:rFonts w:cs="Arial"/>
          <w:i/>
        </w:rPr>
        <w:t>'</w:t>
      </w:r>
      <w:r w:rsidRPr="00A241F5">
        <w:rPr>
          <w:rFonts w:cs="Arial"/>
          <w:i/>
        </w:rPr>
        <w:t>financial benefits</w:t>
      </w:r>
      <w:r w:rsidR="00C61F4B" w:rsidRPr="00A241F5">
        <w:rPr>
          <w:rFonts w:cs="Arial"/>
          <w:i/>
        </w:rPr>
        <w:t>'</w:t>
      </w:r>
      <w:r w:rsidRPr="00A241F5">
        <w:rPr>
          <w:rFonts w:cs="Arial"/>
          <w:i/>
        </w:rPr>
        <w:t xml:space="preserve"> could include </w:t>
      </w:r>
      <w:r w:rsidR="00C61F4B" w:rsidRPr="00A241F5">
        <w:rPr>
          <w:rFonts w:cs="Arial"/>
          <w:i/>
        </w:rPr>
        <w:t>'</w:t>
      </w:r>
      <w:r w:rsidRPr="00A241F5">
        <w:rPr>
          <w:rFonts w:cs="Arial"/>
          <w:i/>
        </w:rPr>
        <w:t>money and/or money</w:t>
      </w:r>
      <w:r w:rsidR="00C61F4B" w:rsidRPr="00A241F5">
        <w:rPr>
          <w:rFonts w:cs="Arial"/>
          <w:i/>
        </w:rPr>
        <w:t>'</w:t>
      </w:r>
      <w:r w:rsidRPr="00A241F5">
        <w:rPr>
          <w:rFonts w:cs="Arial"/>
          <w:i/>
        </w:rPr>
        <w:t>s worth</w:t>
      </w:r>
      <w:r w:rsidR="00C61F4B" w:rsidRPr="00A241F5">
        <w:rPr>
          <w:rFonts w:cs="Arial"/>
          <w:i/>
        </w:rPr>
        <w:t>'"</w:t>
      </w:r>
      <w:r w:rsidRPr="00A241F5">
        <w:rPr>
          <w:rFonts w:cs="Arial"/>
          <w:i/>
        </w:rPr>
        <w:t xml:space="preserve">, </w:t>
      </w:r>
      <w:r w:rsidRPr="00A241F5">
        <w:rPr>
          <w:rFonts w:cs="Arial"/>
        </w:rPr>
        <w:t xml:space="preserve">based on what the client and the </w:t>
      </w:r>
      <w:r w:rsidR="00EB55E9" w:rsidRPr="00A241F5">
        <w:rPr>
          <w:rFonts w:cs="Arial"/>
        </w:rPr>
        <w:t>L</w:t>
      </w:r>
      <w:r w:rsidRPr="00A241F5">
        <w:rPr>
          <w:rFonts w:cs="Arial"/>
        </w:rPr>
        <w:t xml:space="preserve">awyers agree in writing. </w:t>
      </w:r>
    </w:p>
    <w:p w14:paraId="6B0A12D2" w14:textId="77777777" w:rsidR="0045386A" w:rsidRPr="00A241F5" w:rsidRDefault="0045386A" w:rsidP="0045386A">
      <w:pPr>
        <w:rPr>
          <w:rFonts w:cs="Arial"/>
        </w:rPr>
      </w:pPr>
    </w:p>
    <w:p w14:paraId="7C80DF92" w14:textId="326A1C59" w:rsidR="0045386A" w:rsidRPr="00A241F5" w:rsidRDefault="0045386A" w:rsidP="0045386A">
      <w:pPr>
        <w:rPr>
          <w:rFonts w:cs="Arial"/>
        </w:rPr>
      </w:pPr>
      <w:r w:rsidRPr="00A241F5">
        <w:rPr>
          <w:rFonts w:cs="Arial"/>
        </w:rPr>
        <w:t>14.29</w:t>
      </w:r>
      <w:r w:rsidRPr="00A241F5">
        <w:rPr>
          <w:rFonts w:cs="Arial"/>
        </w:rPr>
        <w:tab/>
      </w:r>
      <w:r w:rsidRPr="00A241F5">
        <w:rPr>
          <w:rFonts w:cs="Arial"/>
        </w:rPr>
        <w:tab/>
        <w:t xml:space="preserve">Across the responses to Recommendation 13(g), a majority agreed that the definition of </w:t>
      </w:r>
      <w:r w:rsidR="00C61F4B" w:rsidRPr="00A241F5">
        <w:rPr>
          <w:rFonts w:cs="Arial"/>
        </w:rPr>
        <w:t>"</w:t>
      </w:r>
      <w:r w:rsidRPr="00A241F5">
        <w:rPr>
          <w:rFonts w:cs="Arial"/>
        </w:rPr>
        <w:t>money or money</w:t>
      </w:r>
      <w:r w:rsidR="00C61F4B" w:rsidRPr="00A241F5">
        <w:rPr>
          <w:rFonts w:cs="Arial"/>
        </w:rPr>
        <w:t>'</w:t>
      </w:r>
      <w:r w:rsidRPr="00A241F5">
        <w:rPr>
          <w:rFonts w:cs="Arial"/>
        </w:rPr>
        <w:t>s worth</w:t>
      </w:r>
      <w:r w:rsidR="00C61F4B" w:rsidRPr="00A241F5">
        <w:rPr>
          <w:rFonts w:cs="Arial"/>
        </w:rPr>
        <w:t>"</w:t>
      </w:r>
      <w:r w:rsidRPr="00A241F5">
        <w:rPr>
          <w:rFonts w:cs="Arial"/>
        </w:rPr>
        <w:t xml:space="preserve"> should include </w:t>
      </w:r>
      <w:r w:rsidR="00C61F4B" w:rsidRPr="00A241F5">
        <w:rPr>
          <w:rFonts w:cs="Arial"/>
          <w:i/>
        </w:rPr>
        <w:t>"</w:t>
      </w:r>
      <w:r w:rsidRPr="00A241F5">
        <w:rPr>
          <w:rFonts w:cs="Arial"/>
          <w:i/>
        </w:rPr>
        <w:t>consideration reducible to a monetary value</w:t>
      </w:r>
      <w:r w:rsidR="00C61F4B" w:rsidRPr="00A241F5">
        <w:rPr>
          <w:rFonts w:cs="Arial"/>
          <w:i/>
        </w:rPr>
        <w:t>"</w:t>
      </w:r>
      <w:r w:rsidRPr="00A241F5">
        <w:rPr>
          <w:rFonts w:cs="Arial"/>
        </w:rPr>
        <w:t xml:space="preserve">.  The same majority agreed that </w:t>
      </w:r>
      <w:r w:rsidR="00FF4819" w:rsidRPr="00A241F5">
        <w:rPr>
          <w:rFonts w:cs="Arial"/>
        </w:rPr>
        <w:t>f</w:t>
      </w:r>
      <w:r w:rsidRPr="00A241F5">
        <w:rPr>
          <w:rFonts w:cs="Arial"/>
        </w:rPr>
        <w:t xml:space="preserve">inancial </w:t>
      </w:r>
      <w:r w:rsidR="00FF4819" w:rsidRPr="00A241F5">
        <w:rPr>
          <w:rFonts w:cs="Arial"/>
        </w:rPr>
        <w:t>b</w:t>
      </w:r>
      <w:r w:rsidRPr="00A241F5">
        <w:rPr>
          <w:rFonts w:cs="Arial"/>
        </w:rPr>
        <w:t xml:space="preserve">enefit could include a debt owed to a client, eg under a judgment or settlement, rather than </w:t>
      </w:r>
      <w:r w:rsidR="00FD3F6D" w:rsidRPr="00A241F5">
        <w:rPr>
          <w:rFonts w:cs="Arial"/>
        </w:rPr>
        <w:t xml:space="preserve">only </w:t>
      </w:r>
      <w:r w:rsidRPr="00A241F5">
        <w:rPr>
          <w:rFonts w:cs="Arial"/>
        </w:rPr>
        <w:t xml:space="preserve">money or property actually received, and that respondent parties should be permitted to use DBAs, eg </w:t>
      </w:r>
      <w:r w:rsidR="00C61F4B" w:rsidRPr="00A241F5">
        <w:rPr>
          <w:rFonts w:cs="Arial"/>
          <w:i/>
        </w:rPr>
        <w:t>"</w:t>
      </w:r>
      <w:r w:rsidRPr="00A241F5">
        <w:rPr>
          <w:rFonts w:cs="Arial"/>
          <w:i/>
        </w:rPr>
        <w:t>to provide for a DBA payment in the event the respondent is held liable for less than the amount claimed or less than an agreed threshold</w:t>
      </w:r>
      <w:r w:rsidR="00C61F4B" w:rsidRPr="00A241F5">
        <w:rPr>
          <w:rFonts w:cs="Arial"/>
          <w:i/>
        </w:rPr>
        <w:t>"</w:t>
      </w:r>
      <w:r w:rsidRPr="00A241F5">
        <w:rPr>
          <w:rFonts w:cs="Arial"/>
        </w:rPr>
        <w:t>.</w:t>
      </w:r>
      <w:r w:rsidRPr="00A241F5">
        <w:rPr>
          <w:rStyle w:val="FootnoteReference"/>
          <w:rFonts w:cs="Arial"/>
          <w:sz w:val="24"/>
        </w:rPr>
        <w:footnoteReference w:id="82"/>
      </w:r>
    </w:p>
    <w:p w14:paraId="770DE9C8" w14:textId="77777777" w:rsidR="0045386A" w:rsidRPr="00A241F5" w:rsidRDefault="0045386A" w:rsidP="0045386A">
      <w:pPr>
        <w:rPr>
          <w:rFonts w:cs="Arial"/>
        </w:rPr>
      </w:pPr>
    </w:p>
    <w:p w14:paraId="6BCEA6B3" w14:textId="729DF9AC" w:rsidR="0045386A" w:rsidRPr="00A241F5" w:rsidRDefault="0045386A" w:rsidP="0045386A">
      <w:pPr>
        <w:rPr>
          <w:rFonts w:cs="Arial"/>
        </w:rPr>
      </w:pPr>
      <w:r w:rsidRPr="00A241F5">
        <w:rPr>
          <w:rFonts w:cs="Arial"/>
        </w:rPr>
        <w:t>14.30</w:t>
      </w:r>
      <w:r w:rsidRPr="00A241F5">
        <w:rPr>
          <w:rFonts w:cs="Arial"/>
        </w:rPr>
        <w:tab/>
      </w:r>
      <w:r w:rsidRPr="00A241F5">
        <w:rPr>
          <w:rFonts w:cs="Arial"/>
        </w:rPr>
        <w:tab/>
        <w:t xml:space="preserve">Only one Respondent, a chamber of commerce, preferred a narrower approach.  It argued for </w:t>
      </w:r>
      <w:r w:rsidR="00C61F4B" w:rsidRPr="00A241F5">
        <w:rPr>
          <w:rFonts w:cs="Arial"/>
          <w:i/>
        </w:rPr>
        <w:t>"</w:t>
      </w:r>
      <w:r w:rsidRPr="00A241F5">
        <w:rPr>
          <w:rFonts w:cs="Arial"/>
          <w:i/>
        </w:rPr>
        <w:t>a cautious and incremental approach … especially in the initial years of the new regime</w:t>
      </w:r>
      <w:r w:rsidR="00C61F4B" w:rsidRPr="00A241F5">
        <w:rPr>
          <w:rFonts w:cs="Arial"/>
          <w:i/>
        </w:rPr>
        <w:t>"</w:t>
      </w:r>
      <w:r w:rsidRPr="00A241F5">
        <w:rPr>
          <w:rFonts w:cs="Arial"/>
        </w:rPr>
        <w:t xml:space="preserve">, and advocated for limiting DBA </w:t>
      </w:r>
      <w:r w:rsidR="00473C11" w:rsidRPr="00A241F5">
        <w:rPr>
          <w:rFonts w:cs="Arial"/>
        </w:rPr>
        <w:t xml:space="preserve">Payments </w:t>
      </w:r>
      <w:r w:rsidRPr="00A241F5">
        <w:rPr>
          <w:rFonts w:cs="Arial"/>
        </w:rPr>
        <w:t xml:space="preserve">to </w:t>
      </w:r>
      <w:r w:rsidR="00C61F4B" w:rsidRPr="00A241F5">
        <w:rPr>
          <w:rFonts w:cs="Arial"/>
          <w:i/>
        </w:rPr>
        <w:t>"</w:t>
      </w:r>
      <w:r w:rsidRPr="00A241F5">
        <w:rPr>
          <w:rFonts w:cs="Arial"/>
          <w:i/>
        </w:rPr>
        <w:t>a percentage of the damages recovered by the claimant in commercial arbitrations, and not to any other financial benefit that the claimant receives from the arbitration</w:t>
      </w:r>
      <w:r w:rsidR="00C61F4B" w:rsidRPr="00A241F5">
        <w:rPr>
          <w:rFonts w:cs="Arial"/>
          <w:i/>
        </w:rPr>
        <w:t>"</w:t>
      </w:r>
      <w:r w:rsidR="00923002" w:rsidRPr="00A241F5">
        <w:rPr>
          <w:rFonts w:cs="Arial"/>
        </w:rPr>
        <w:t>.</w:t>
      </w:r>
    </w:p>
    <w:p w14:paraId="71DE0368" w14:textId="77777777" w:rsidR="0045386A" w:rsidRPr="00A241F5" w:rsidRDefault="0045386A" w:rsidP="0045386A"/>
    <w:p w14:paraId="6D3599A6" w14:textId="77777777" w:rsidR="0045386A" w:rsidRPr="00A241F5" w:rsidRDefault="0045386A" w:rsidP="0045386A"/>
    <w:p w14:paraId="3C5472A9" w14:textId="77777777" w:rsidR="0045386A" w:rsidRPr="00A241F5" w:rsidRDefault="0045386A" w:rsidP="0045386A">
      <w:pPr>
        <w:pStyle w:val="Heading2"/>
        <w:keepLines/>
        <w:widowControl/>
        <w:tabs>
          <w:tab w:val="clear" w:pos="1418"/>
          <w:tab w:val="left" w:pos="1440"/>
        </w:tabs>
        <w:rPr>
          <w:rFonts w:cs="Arial"/>
        </w:rPr>
      </w:pPr>
      <w:r w:rsidRPr="00A241F5">
        <w:rPr>
          <w:rFonts w:cs="Arial"/>
        </w:rPr>
        <w:t>Our analysis and response</w:t>
      </w:r>
    </w:p>
    <w:p w14:paraId="0EBF92E4" w14:textId="77777777" w:rsidR="0045386A" w:rsidRPr="00A241F5" w:rsidRDefault="0045386A" w:rsidP="0045386A">
      <w:pPr>
        <w:keepNext/>
        <w:keepLines/>
        <w:widowControl/>
        <w:tabs>
          <w:tab w:val="clear" w:pos="1418"/>
          <w:tab w:val="left" w:pos="1440"/>
        </w:tabs>
        <w:rPr>
          <w:rFonts w:cs="Arial"/>
        </w:rPr>
      </w:pPr>
    </w:p>
    <w:p w14:paraId="6672F1F8" w14:textId="1DB24424" w:rsidR="0045386A" w:rsidRPr="00A241F5" w:rsidRDefault="0045386A" w:rsidP="0045386A">
      <w:pPr>
        <w:widowControl/>
        <w:tabs>
          <w:tab w:val="clear" w:pos="1418"/>
          <w:tab w:val="left" w:pos="1440"/>
        </w:tabs>
        <w:rPr>
          <w:rFonts w:cs="Arial"/>
        </w:rPr>
      </w:pPr>
      <w:r w:rsidRPr="00A241F5">
        <w:rPr>
          <w:rFonts w:cs="Arial"/>
        </w:rPr>
        <w:t>14.31</w:t>
      </w:r>
      <w:r w:rsidRPr="00A241F5">
        <w:rPr>
          <w:rFonts w:cs="Arial"/>
        </w:rPr>
        <w:tab/>
        <w:t xml:space="preserve">The majority of Respondents who commented on Recommendation 13(b), (e), (f), (g) and (h) preferred any ORFS </w:t>
      </w:r>
      <w:r w:rsidR="00FD3F6D" w:rsidRPr="00A241F5">
        <w:rPr>
          <w:rFonts w:cs="Arial"/>
        </w:rPr>
        <w:t xml:space="preserve">regime </w:t>
      </w:r>
      <w:r w:rsidRPr="00A241F5">
        <w:rPr>
          <w:rFonts w:cs="Arial"/>
        </w:rPr>
        <w:t xml:space="preserve">for Arbitration to be as flexible as possible, so that Lawyers and clients can negotiate appropriate arrangements on a case-by-case basis. </w:t>
      </w:r>
    </w:p>
    <w:p w14:paraId="62B99953" w14:textId="77777777" w:rsidR="0045386A" w:rsidRPr="00A241F5" w:rsidRDefault="0045386A" w:rsidP="0045386A">
      <w:pPr>
        <w:widowControl/>
        <w:tabs>
          <w:tab w:val="clear" w:pos="1418"/>
          <w:tab w:val="left" w:pos="1440"/>
        </w:tabs>
        <w:rPr>
          <w:rFonts w:cs="Arial"/>
        </w:rPr>
      </w:pPr>
    </w:p>
    <w:p w14:paraId="053BE404" w14:textId="228AFDA0" w:rsidR="0045386A" w:rsidRPr="00A241F5" w:rsidRDefault="0045386A" w:rsidP="0045386A">
      <w:pPr>
        <w:widowControl/>
        <w:tabs>
          <w:tab w:val="clear" w:pos="1418"/>
          <w:tab w:val="left" w:pos="1440"/>
        </w:tabs>
        <w:rPr>
          <w:rFonts w:cs="Arial"/>
        </w:rPr>
      </w:pPr>
      <w:r w:rsidRPr="00A241F5">
        <w:rPr>
          <w:rFonts w:cs="Arial"/>
        </w:rPr>
        <w:t>14.32</w:t>
      </w:r>
      <w:r w:rsidRPr="00A241F5">
        <w:rPr>
          <w:rFonts w:cs="Arial"/>
        </w:rPr>
        <w:tab/>
        <w:t>We share this preference, which we believe is consistent with the overall approach to ORFS proposed in this Report.  We believe that it is in the best interests of both clients and the legal profession to allow not only a broad range of ORFSs (CFAs, DBAs and Hybrid DBAs), but also the flexibility to apply ORFSs as best fit their specific circumstances.  Such flexibility must, of course,</w:t>
      </w:r>
      <w:r w:rsidR="00883469">
        <w:rPr>
          <w:rFonts w:cs="Arial"/>
        </w:rPr>
        <w:t> </w:t>
      </w:r>
      <w:r w:rsidRPr="00A241F5">
        <w:rPr>
          <w:rFonts w:cs="Arial"/>
        </w:rPr>
        <w:t>be limited by effective safeguards, as noted in paragraph 1</w:t>
      </w:r>
      <w:r w:rsidR="00F44171" w:rsidRPr="00A241F5">
        <w:rPr>
          <w:rFonts w:cs="Arial"/>
        </w:rPr>
        <w:t>4</w:t>
      </w:r>
      <w:r w:rsidRPr="00A241F5">
        <w:rPr>
          <w:rFonts w:cs="Arial"/>
        </w:rPr>
        <w:t>.20</w:t>
      </w:r>
      <w:r w:rsidR="00234163" w:rsidRPr="00A241F5">
        <w:rPr>
          <w:rFonts w:cs="Arial"/>
        </w:rPr>
        <w:t xml:space="preserve"> </w:t>
      </w:r>
      <w:r w:rsidRPr="00A241F5">
        <w:rPr>
          <w:rFonts w:cs="Arial"/>
        </w:rPr>
        <w:t xml:space="preserve">above.  However, we do not consider that defining </w:t>
      </w:r>
      <w:r w:rsidR="00F44171" w:rsidRPr="00A241F5">
        <w:rPr>
          <w:rFonts w:cs="Arial"/>
        </w:rPr>
        <w:t>F</w:t>
      </w:r>
      <w:r w:rsidRPr="00A241F5">
        <w:rPr>
          <w:rFonts w:cs="Arial"/>
        </w:rPr>
        <w:t xml:space="preserve">inancial </w:t>
      </w:r>
      <w:r w:rsidR="00F44171" w:rsidRPr="00A241F5">
        <w:rPr>
          <w:rFonts w:cs="Arial"/>
        </w:rPr>
        <w:t>B</w:t>
      </w:r>
      <w:r w:rsidRPr="00A241F5">
        <w:rPr>
          <w:rFonts w:cs="Arial"/>
        </w:rPr>
        <w:t xml:space="preserve">enefit widely, for the purposes of calculating Success Fees and DBA Payments, places clients at </w:t>
      </w:r>
      <w:r w:rsidRPr="00A241F5">
        <w:rPr>
          <w:rFonts w:cs="Arial"/>
        </w:rPr>
        <w:lastRenderedPageBreak/>
        <w:t xml:space="preserve">greater risk than defining it narrowly.  Similarly, we cannot see a justification for restricting ORFS arrangements for Arbitration to claimants and prohibiting respondents from agreeing CFAs or DBAs </w:t>
      </w:r>
      <w:r w:rsidR="00C70814" w:rsidRPr="00A241F5">
        <w:rPr>
          <w:rFonts w:cs="Arial"/>
        </w:rPr>
        <w:t xml:space="preserve">(including </w:t>
      </w:r>
      <w:r w:rsidR="00473C11" w:rsidRPr="00A241F5">
        <w:rPr>
          <w:rFonts w:cs="Arial"/>
        </w:rPr>
        <w:t>Hybrid DBAs</w:t>
      </w:r>
      <w:r w:rsidR="00C70814" w:rsidRPr="00A241F5">
        <w:rPr>
          <w:rFonts w:cs="Arial"/>
        </w:rPr>
        <w:t>)</w:t>
      </w:r>
      <w:r w:rsidR="00473C11" w:rsidRPr="00A241F5">
        <w:rPr>
          <w:rFonts w:cs="Arial"/>
        </w:rPr>
        <w:t xml:space="preserve"> </w:t>
      </w:r>
      <w:r w:rsidRPr="00A241F5">
        <w:rPr>
          <w:rFonts w:cs="Arial"/>
        </w:rPr>
        <w:t xml:space="preserve">with their Lawyers in appropriate circumstances. </w:t>
      </w:r>
    </w:p>
    <w:p w14:paraId="65A71F47" w14:textId="77777777" w:rsidR="0045386A" w:rsidRPr="00A241F5" w:rsidRDefault="0045386A" w:rsidP="0045386A">
      <w:pPr>
        <w:widowControl/>
        <w:tabs>
          <w:tab w:val="clear" w:pos="1418"/>
          <w:tab w:val="left" w:pos="1440"/>
        </w:tabs>
        <w:rPr>
          <w:rFonts w:cs="Arial"/>
        </w:rPr>
      </w:pPr>
    </w:p>
    <w:p w14:paraId="5767DEFA" w14:textId="77777777" w:rsidR="0045386A" w:rsidRPr="00A241F5" w:rsidRDefault="0045386A" w:rsidP="0045386A">
      <w:pPr>
        <w:widowControl/>
        <w:tabs>
          <w:tab w:val="clear" w:pos="1418"/>
          <w:tab w:val="left" w:pos="1440"/>
        </w:tabs>
        <w:rPr>
          <w:rFonts w:cs="Arial"/>
        </w:rPr>
      </w:pPr>
    </w:p>
    <w:p w14:paraId="46E20425" w14:textId="77777777" w:rsidR="0045386A" w:rsidRPr="00A241F5" w:rsidRDefault="0045386A" w:rsidP="00067CD8">
      <w:pPr>
        <w:keepNext/>
        <w:keepLines/>
        <w:widowControl/>
        <w:tabs>
          <w:tab w:val="clear" w:pos="1418"/>
          <w:tab w:val="left" w:pos="1440"/>
        </w:tabs>
        <w:rPr>
          <w:rFonts w:cs="Arial"/>
          <w:b/>
          <w:i/>
        </w:rPr>
      </w:pPr>
      <w:r w:rsidRPr="00A241F5">
        <w:rPr>
          <w:rFonts w:cs="Arial"/>
          <w:b/>
          <w:i/>
        </w:rPr>
        <w:t xml:space="preserve">Recommendation 13(b) </w:t>
      </w:r>
    </w:p>
    <w:p w14:paraId="67C5EBC9" w14:textId="77777777" w:rsidR="0045386A" w:rsidRPr="00A241F5" w:rsidRDefault="0045386A" w:rsidP="00067CD8">
      <w:pPr>
        <w:keepNext/>
        <w:keepLines/>
        <w:widowControl/>
        <w:tabs>
          <w:tab w:val="clear" w:pos="1418"/>
          <w:tab w:val="left" w:pos="1440"/>
        </w:tabs>
        <w:rPr>
          <w:rFonts w:cs="Arial"/>
        </w:rPr>
      </w:pPr>
    </w:p>
    <w:p w14:paraId="2EF370E3" w14:textId="16E773FD" w:rsidR="0045386A" w:rsidRPr="00A241F5" w:rsidRDefault="00F44171" w:rsidP="0045386A">
      <w:pPr>
        <w:widowControl/>
        <w:tabs>
          <w:tab w:val="clear" w:pos="1418"/>
          <w:tab w:val="left" w:pos="1440"/>
        </w:tabs>
        <w:rPr>
          <w:rFonts w:cs="Arial"/>
        </w:rPr>
      </w:pPr>
      <w:r w:rsidRPr="00A241F5">
        <w:rPr>
          <w:rFonts w:cs="Arial"/>
        </w:rPr>
        <w:t>14.</w:t>
      </w:r>
      <w:r w:rsidR="0045386A" w:rsidRPr="00A241F5">
        <w:rPr>
          <w:rFonts w:cs="Arial"/>
        </w:rPr>
        <w:t>33</w:t>
      </w:r>
      <w:r w:rsidR="0045386A" w:rsidRPr="00A241F5">
        <w:rPr>
          <w:rFonts w:cs="Arial"/>
        </w:rPr>
        <w:tab/>
        <w:t>Where there is no ORFS in place, Lawyers commonly charge by reference to the number of hours they spend on the case, multiplied by the Lawyer</w:t>
      </w:r>
      <w:r w:rsidR="00C61F4B" w:rsidRPr="00A241F5">
        <w:rPr>
          <w:rFonts w:cs="Arial"/>
        </w:rPr>
        <w:t>'</w:t>
      </w:r>
      <w:r w:rsidR="0045386A" w:rsidRPr="00A241F5">
        <w:rPr>
          <w:rFonts w:cs="Arial"/>
        </w:rPr>
        <w:t xml:space="preserve">s hourly rate.  That rate may be referred to as the </w:t>
      </w:r>
      <w:r w:rsidR="00C61F4B" w:rsidRPr="00A241F5">
        <w:rPr>
          <w:rFonts w:cs="Arial"/>
        </w:rPr>
        <w:t>"</w:t>
      </w:r>
      <w:r w:rsidR="0045386A" w:rsidRPr="00A241F5">
        <w:rPr>
          <w:rFonts w:cs="Arial"/>
        </w:rPr>
        <w:t>usual</w:t>
      </w:r>
      <w:r w:rsidR="00C61F4B" w:rsidRPr="00A241F5">
        <w:rPr>
          <w:rFonts w:cs="Arial"/>
        </w:rPr>
        <w:t>"</w:t>
      </w:r>
      <w:r w:rsidR="0045386A" w:rsidRPr="00A241F5">
        <w:rPr>
          <w:rFonts w:cs="Arial"/>
        </w:rPr>
        <w:t xml:space="preserve">, </w:t>
      </w:r>
      <w:r w:rsidR="00C61F4B" w:rsidRPr="00A241F5">
        <w:rPr>
          <w:rFonts w:cs="Arial"/>
        </w:rPr>
        <w:t>"</w:t>
      </w:r>
      <w:r w:rsidR="0045386A" w:rsidRPr="00A241F5">
        <w:rPr>
          <w:rFonts w:cs="Arial"/>
        </w:rPr>
        <w:t>normal</w:t>
      </w:r>
      <w:r w:rsidR="00C61F4B" w:rsidRPr="00A241F5">
        <w:rPr>
          <w:rFonts w:cs="Arial"/>
        </w:rPr>
        <w:t>"</w:t>
      </w:r>
      <w:r w:rsidR="0045386A" w:rsidRPr="00A241F5">
        <w:rPr>
          <w:rFonts w:cs="Arial"/>
        </w:rPr>
        <w:t xml:space="preserve">, </w:t>
      </w:r>
      <w:r w:rsidR="00C61F4B" w:rsidRPr="00A241F5">
        <w:rPr>
          <w:rFonts w:cs="Arial"/>
        </w:rPr>
        <w:t>"</w:t>
      </w:r>
      <w:r w:rsidR="0045386A" w:rsidRPr="00A241F5">
        <w:rPr>
          <w:rFonts w:cs="Arial"/>
        </w:rPr>
        <w:t>basic</w:t>
      </w:r>
      <w:r w:rsidR="00C61F4B" w:rsidRPr="00A241F5">
        <w:rPr>
          <w:rFonts w:cs="Arial"/>
        </w:rPr>
        <w:t>"</w:t>
      </w:r>
      <w:r w:rsidR="0045386A" w:rsidRPr="00A241F5">
        <w:rPr>
          <w:rFonts w:cs="Arial"/>
        </w:rPr>
        <w:t xml:space="preserve"> or </w:t>
      </w:r>
      <w:r w:rsidR="00C61F4B" w:rsidRPr="00A241F5">
        <w:rPr>
          <w:rFonts w:cs="Arial"/>
        </w:rPr>
        <w:t>"</w:t>
      </w:r>
      <w:r w:rsidR="0045386A" w:rsidRPr="00A241F5">
        <w:rPr>
          <w:rFonts w:cs="Arial"/>
        </w:rPr>
        <w:t>benchmark</w:t>
      </w:r>
      <w:r w:rsidR="00C61F4B" w:rsidRPr="00A241F5">
        <w:rPr>
          <w:rFonts w:cs="Arial"/>
        </w:rPr>
        <w:t>"</w:t>
      </w:r>
      <w:r w:rsidR="0045386A" w:rsidRPr="00A241F5">
        <w:rPr>
          <w:rFonts w:cs="Arial"/>
        </w:rPr>
        <w:t xml:space="preserve"> rate.</w:t>
      </w:r>
      <w:r w:rsidR="0045386A" w:rsidRPr="00A241F5">
        <w:rPr>
          <w:rFonts w:cs="Arial"/>
        </w:rPr>
        <w:tab/>
      </w:r>
    </w:p>
    <w:p w14:paraId="4C3E7966" w14:textId="77777777" w:rsidR="0045386A" w:rsidRPr="00A241F5" w:rsidRDefault="0045386A" w:rsidP="0045386A">
      <w:pPr>
        <w:widowControl/>
        <w:tabs>
          <w:tab w:val="clear" w:pos="1418"/>
          <w:tab w:val="left" w:pos="1440"/>
        </w:tabs>
        <w:rPr>
          <w:rFonts w:cs="Arial"/>
        </w:rPr>
      </w:pPr>
    </w:p>
    <w:p w14:paraId="13C41C18" w14:textId="518150F3" w:rsidR="0045386A" w:rsidRPr="00A241F5" w:rsidRDefault="0045386A" w:rsidP="0045386A">
      <w:pPr>
        <w:widowControl/>
        <w:tabs>
          <w:tab w:val="clear" w:pos="1418"/>
          <w:tab w:val="left" w:pos="1440"/>
        </w:tabs>
        <w:rPr>
          <w:rFonts w:cs="Arial"/>
        </w:rPr>
      </w:pPr>
      <w:r w:rsidRPr="00A241F5">
        <w:rPr>
          <w:rFonts w:cs="Arial"/>
        </w:rPr>
        <w:t>14.34</w:t>
      </w:r>
      <w:r w:rsidRPr="00A241F5">
        <w:rPr>
          <w:rFonts w:cs="Arial"/>
        </w:rPr>
        <w:tab/>
        <w:t>After careful consideration of the responses received and the position in other jurisdictions, we propose the following method and criteria for fixing Success Fees in CFAs.</w:t>
      </w:r>
    </w:p>
    <w:p w14:paraId="6576769E" w14:textId="77777777" w:rsidR="0045386A" w:rsidRPr="00A241F5" w:rsidRDefault="0045386A" w:rsidP="0045386A">
      <w:pPr>
        <w:widowControl/>
        <w:tabs>
          <w:tab w:val="clear" w:pos="1418"/>
          <w:tab w:val="left" w:pos="1440"/>
        </w:tabs>
        <w:rPr>
          <w:rFonts w:cs="Arial"/>
        </w:rPr>
      </w:pPr>
    </w:p>
    <w:p w14:paraId="0CB18A8E" w14:textId="29922E72" w:rsidR="0045386A" w:rsidRPr="00A241F5" w:rsidRDefault="0045386A" w:rsidP="0045386A">
      <w:pPr>
        <w:widowControl/>
        <w:tabs>
          <w:tab w:val="clear" w:pos="1418"/>
          <w:tab w:val="left" w:pos="1440"/>
        </w:tabs>
        <w:rPr>
          <w:rFonts w:cs="Arial"/>
        </w:rPr>
      </w:pPr>
      <w:r w:rsidRPr="00A241F5">
        <w:rPr>
          <w:rFonts w:cs="Arial"/>
        </w:rPr>
        <w:t>14.35</w:t>
      </w:r>
      <w:r w:rsidRPr="00A241F5">
        <w:rPr>
          <w:rFonts w:cs="Arial"/>
        </w:rPr>
        <w:tab/>
        <w:t>When negotiating a CFA, Lawyers and clients will generally take into account the fee that the Lawyer would charge if there were no ORFS in place.  That might be a fixed amount, but is more usually calculated by reference to the number of hours the Lawyer expects to spend on the case, multiplied by the Lawyer</w:t>
      </w:r>
      <w:r w:rsidR="00C61F4B" w:rsidRPr="00A241F5">
        <w:rPr>
          <w:rFonts w:cs="Arial"/>
        </w:rPr>
        <w:t>'</w:t>
      </w:r>
      <w:r w:rsidRPr="00A241F5">
        <w:rPr>
          <w:rFonts w:cs="Arial"/>
        </w:rPr>
        <w:t>s hourly rate.  The Lawyer will then propose either to waive the hourly fee altogether,</w:t>
      </w:r>
      <w:r w:rsidRPr="00A241F5">
        <w:rPr>
          <w:rStyle w:val="FootnoteReference"/>
          <w:rFonts w:cs="Arial"/>
          <w:sz w:val="24"/>
        </w:rPr>
        <w:footnoteReference w:id="83"/>
      </w:r>
      <w:r w:rsidRPr="00A241F5">
        <w:rPr>
          <w:rFonts w:cs="Arial"/>
        </w:rPr>
        <w:t xml:space="preserve"> or to discount it,</w:t>
      </w:r>
      <w:r w:rsidRPr="00A241F5">
        <w:rPr>
          <w:rStyle w:val="FootnoteReference"/>
          <w:rFonts w:cs="Arial"/>
          <w:sz w:val="24"/>
        </w:rPr>
        <w:footnoteReference w:id="84"/>
      </w:r>
      <w:r w:rsidRPr="00A241F5">
        <w:rPr>
          <w:rFonts w:cs="Arial"/>
        </w:rPr>
        <w:t xml:space="preserve"> in exchange for an additional payment in the event of a successful outcome for the client in the matter.  That additional payment is the Success Fee.  The Success Fee may be an agreed flat fee, or calculated as a percentage </w:t>
      </w:r>
      <w:r w:rsidR="00C61F4B" w:rsidRPr="00A241F5">
        <w:rPr>
          <w:rFonts w:cs="Arial"/>
        </w:rPr>
        <w:t>"</w:t>
      </w:r>
      <w:r w:rsidRPr="00A241F5">
        <w:rPr>
          <w:rFonts w:cs="Arial"/>
        </w:rPr>
        <w:t>uplift</w:t>
      </w:r>
      <w:r w:rsidR="00C61F4B" w:rsidRPr="00A241F5">
        <w:rPr>
          <w:rFonts w:cs="Arial"/>
        </w:rPr>
        <w:t>"</w:t>
      </w:r>
      <w:r w:rsidRPr="00A241F5">
        <w:rPr>
          <w:rFonts w:cs="Arial"/>
        </w:rPr>
        <w:t xml:space="preserve"> on the fee that the Lawyer would have charged if there were no ORFS in place during the course of the Proceedings.</w:t>
      </w:r>
      <w:r w:rsidRPr="00A241F5">
        <w:rPr>
          <w:rStyle w:val="FootnoteReference"/>
          <w:rFonts w:cs="Arial"/>
          <w:sz w:val="24"/>
        </w:rPr>
        <w:footnoteReference w:id="85"/>
      </w:r>
    </w:p>
    <w:p w14:paraId="121D266E" w14:textId="77777777" w:rsidR="0045386A" w:rsidRPr="00A241F5" w:rsidRDefault="0045386A" w:rsidP="0045386A">
      <w:pPr>
        <w:widowControl/>
        <w:tabs>
          <w:tab w:val="clear" w:pos="1418"/>
          <w:tab w:val="left" w:pos="1440"/>
        </w:tabs>
        <w:rPr>
          <w:rFonts w:cs="Arial"/>
        </w:rPr>
      </w:pPr>
    </w:p>
    <w:p w14:paraId="03581053" w14:textId="147D09AC" w:rsidR="0045386A" w:rsidRPr="00A241F5" w:rsidRDefault="0045386A" w:rsidP="0045386A">
      <w:pPr>
        <w:widowControl/>
        <w:tabs>
          <w:tab w:val="clear" w:pos="1418"/>
          <w:tab w:val="left" w:pos="1440"/>
        </w:tabs>
        <w:rPr>
          <w:rFonts w:cs="Arial"/>
        </w:rPr>
      </w:pPr>
      <w:r w:rsidRPr="00A241F5">
        <w:rPr>
          <w:rFonts w:cs="Arial"/>
        </w:rPr>
        <w:t>14.36</w:t>
      </w:r>
      <w:r w:rsidRPr="00A241F5">
        <w:rPr>
          <w:rFonts w:cs="Arial"/>
        </w:rPr>
        <w:tab/>
        <w:t xml:space="preserve">Where the Success Fee is a flat fee, it is not necessary to fix a reference point.  The amount of the fee (subject to a cap of 100% of </w:t>
      </w:r>
      <w:r w:rsidR="00C61F4B" w:rsidRPr="00A241F5">
        <w:rPr>
          <w:rFonts w:cs="Arial"/>
        </w:rPr>
        <w:t>"</w:t>
      </w:r>
      <w:r w:rsidRPr="00A241F5">
        <w:rPr>
          <w:rFonts w:cs="Arial"/>
        </w:rPr>
        <w:t>benchmark</w:t>
      </w:r>
      <w:r w:rsidR="00C61F4B" w:rsidRPr="00A241F5">
        <w:rPr>
          <w:rFonts w:cs="Arial"/>
        </w:rPr>
        <w:t>"</w:t>
      </w:r>
      <w:r w:rsidRPr="00A241F5">
        <w:rPr>
          <w:rFonts w:cs="Arial"/>
        </w:rPr>
        <w:t xml:space="preserve"> costs as proposed in Final Recommendation 3(a)) will be entirely up to the Lawyer and client to decide, based on their respective views of what is reasonable in the circumstances of the case.</w:t>
      </w:r>
    </w:p>
    <w:p w14:paraId="6476E2C4" w14:textId="77777777" w:rsidR="0045386A" w:rsidRPr="00A241F5" w:rsidRDefault="0045386A" w:rsidP="0045386A">
      <w:pPr>
        <w:widowControl/>
        <w:tabs>
          <w:tab w:val="clear" w:pos="1418"/>
          <w:tab w:val="left" w:pos="1440"/>
        </w:tabs>
        <w:rPr>
          <w:rFonts w:cs="Arial"/>
        </w:rPr>
      </w:pPr>
    </w:p>
    <w:p w14:paraId="3FE67642" w14:textId="485A7E37" w:rsidR="0045386A" w:rsidRPr="00A241F5" w:rsidRDefault="0045386A" w:rsidP="0045386A">
      <w:pPr>
        <w:widowControl/>
        <w:tabs>
          <w:tab w:val="clear" w:pos="1418"/>
          <w:tab w:val="left" w:pos="1440"/>
        </w:tabs>
        <w:rPr>
          <w:rFonts w:cs="Arial"/>
        </w:rPr>
      </w:pPr>
      <w:r w:rsidRPr="00A241F5">
        <w:rPr>
          <w:rFonts w:cs="Arial"/>
        </w:rPr>
        <w:t>14.37</w:t>
      </w:r>
      <w:r w:rsidRPr="00A241F5">
        <w:rPr>
          <w:rFonts w:cs="Arial"/>
        </w:rPr>
        <w:tab/>
        <w:t xml:space="preserve">Where the Success Fee is calculated as a percentage </w:t>
      </w:r>
      <w:r w:rsidR="00C61F4B" w:rsidRPr="00A241F5">
        <w:rPr>
          <w:rFonts w:cs="Arial"/>
        </w:rPr>
        <w:t>"</w:t>
      </w:r>
      <w:r w:rsidRPr="00A241F5">
        <w:rPr>
          <w:rFonts w:cs="Arial"/>
        </w:rPr>
        <w:t>uplift</w:t>
      </w:r>
      <w:r w:rsidR="00C61F4B" w:rsidRPr="00A241F5">
        <w:rPr>
          <w:rFonts w:cs="Arial"/>
        </w:rPr>
        <w:t>"</w:t>
      </w:r>
      <w:r w:rsidRPr="00A241F5">
        <w:rPr>
          <w:rFonts w:cs="Arial"/>
        </w:rPr>
        <w:t>, we consider it advisable to fix in the legislative framework a reference point against which that uplift will be calculated.  In our view, that reference point should be the Lawyer</w:t>
      </w:r>
      <w:r w:rsidR="00C61F4B" w:rsidRPr="00A241F5">
        <w:rPr>
          <w:rFonts w:cs="Arial"/>
        </w:rPr>
        <w:t>'</w:t>
      </w:r>
      <w:r w:rsidRPr="00A241F5">
        <w:rPr>
          <w:rFonts w:cs="Arial"/>
        </w:rPr>
        <w:t xml:space="preserve">s </w:t>
      </w:r>
      <w:r w:rsidR="00C61F4B" w:rsidRPr="00A241F5">
        <w:rPr>
          <w:rFonts w:cs="Arial"/>
        </w:rPr>
        <w:t>"</w:t>
      </w:r>
      <w:r w:rsidRPr="00A241F5">
        <w:rPr>
          <w:rFonts w:cs="Arial"/>
        </w:rPr>
        <w:t>benchmark</w:t>
      </w:r>
      <w:r w:rsidR="00C61F4B" w:rsidRPr="00A241F5">
        <w:rPr>
          <w:rFonts w:cs="Arial"/>
        </w:rPr>
        <w:t>"</w:t>
      </w:r>
      <w:r w:rsidRPr="00A241F5">
        <w:rPr>
          <w:rFonts w:cs="Arial"/>
        </w:rPr>
        <w:t xml:space="preserve"> rate (ie the fee that the Lawyer would charge the client if there were no ORFS in place during the course of the Proceedings).</w:t>
      </w:r>
    </w:p>
    <w:p w14:paraId="0753A1E3" w14:textId="77777777" w:rsidR="0045386A" w:rsidRPr="00A241F5" w:rsidRDefault="0045386A" w:rsidP="0045386A">
      <w:pPr>
        <w:widowControl/>
        <w:tabs>
          <w:tab w:val="clear" w:pos="1418"/>
          <w:tab w:val="left" w:pos="1440"/>
        </w:tabs>
        <w:rPr>
          <w:rFonts w:cs="Arial"/>
        </w:rPr>
      </w:pPr>
    </w:p>
    <w:p w14:paraId="2E764820" w14:textId="50BE8A89" w:rsidR="0045386A" w:rsidRPr="00A241F5" w:rsidRDefault="0045386A" w:rsidP="0045386A">
      <w:pPr>
        <w:widowControl/>
        <w:tabs>
          <w:tab w:val="clear" w:pos="1418"/>
          <w:tab w:val="left" w:pos="1440"/>
        </w:tabs>
        <w:rPr>
          <w:rFonts w:cs="Arial"/>
        </w:rPr>
      </w:pPr>
      <w:r w:rsidRPr="00A241F5">
        <w:rPr>
          <w:rFonts w:cs="Arial"/>
        </w:rPr>
        <w:t>14.38</w:t>
      </w:r>
      <w:r w:rsidRPr="00A241F5">
        <w:rPr>
          <w:rFonts w:cs="Arial"/>
        </w:rPr>
        <w:tab/>
        <w:t xml:space="preserve">By contrast, we do not consider it necessary or advisable to </w:t>
      </w:r>
      <w:r w:rsidR="007373BA" w:rsidRPr="00A241F5">
        <w:rPr>
          <w:rFonts w:cs="Arial"/>
        </w:rPr>
        <w:t>prescribe or limit what particular situation(s) would constitute</w:t>
      </w:r>
      <w:r w:rsidR="00FB4381" w:rsidRPr="00A241F5">
        <w:rPr>
          <w:rFonts w:cs="Arial"/>
        </w:rPr>
        <w:t xml:space="preserve"> </w:t>
      </w:r>
      <w:r w:rsidR="00C61F4B" w:rsidRPr="00A241F5">
        <w:rPr>
          <w:rFonts w:cs="Arial"/>
        </w:rPr>
        <w:t>"</w:t>
      </w:r>
      <w:r w:rsidRPr="00A241F5">
        <w:rPr>
          <w:rFonts w:cs="Arial"/>
        </w:rPr>
        <w:t>success</w:t>
      </w:r>
      <w:r w:rsidR="00C61F4B" w:rsidRPr="00A241F5">
        <w:rPr>
          <w:rFonts w:cs="Arial"/>
        </w:rPr>
        <w:t>"</w:t>
      </w:r>
      <w:r w:rsidR="007373BA" w:rsidRPr="00A241F5">
        <w:rPr>
          <w:rFonts w:cs="Arial"/>
        </w:rPr>
        <w:t xml:space="preserve"> or a </w:t>
      </w:r>
      <w:r w:rsidR="00C61F4B" w:rsidRPr="00A241F5">
        <w:rPr>
          <w:rFonts w:cs="Arial"/>
        </w:rPr>
        <w:t>"</w:t>
      </w:r>
      <w:r w:rsidR="007373BA" w:rsidRPr="00A241F5">
        <w:rPr>
          <w:rFonts w:cs="Arial"/>
        </w:rPr>
        <w:t>successful outcome</w:t>
      </w:r>
      <w:r w:rsidR="00C61F4B" w:rsidRPr="00A241F5">
        <w:rPr>
          <w:rFonts w:cs="Arial"/>
        </w:rPr>
        <w:t>"</w:t>
      </w:r>
      <w:r w:rsidRPr="00A241F5">
        <w:rPr>
          <w:rFonts w:cs="Arial"/>
        </w:rPr>
        <w:t xml:space="preserve"> in the legislative framework.  Our preference, and the clear preference of Respondents, is to leave it to the Lawyer and the client to agree, by reference to the circumstances of each case, what will amount to </w:t>
      </w:r>
      <w:r w:rsidR="00C61F4B" w:rsidRPr="00A241F5">
        <w:rPr>
          <w:rFonts w:cs="Arial"/>
        </w:rPr>
        <w:lastRenderedPageBreak/>
        <w:t>"</w:t>
      </w:r>
      <w:r w:rsidRPr="00A241F5">
        <w:rPr>
          <w:rFonts w:cs="Arial"/>
        </w:rPr>
        <w:t>success</w:t>
      </w:r>
      <w:r w:rsidR="00C61F4B" w:rsidRPr="00A241F5">
        <w:rPr>
          <w:rFonts w:cs="Arial"/>
        </w:rPr>
        <w:t>"</w:t>
      </w:r>
      <w:r w:rsidRPr="00A241F5">
        <w:rPr>
          <w:rFonts w:cs="Arial"/>
        </w:rPr>
        <w:t xml:space="preserve"> and trigger payment of the Success Fee.</w:t>
      </w:r>
      <w:r w:rsidR="00482099" w:rsidRPr="00A241F5">
        <w:rPr>
          <w:rStyle w:val="FootnoteReference"/>
          <w:rFonts w:cs="Arial"/>
          <w:sz w:val="24"/>
        </w:rPr>
        <w:footnoteReference w:id="86"/>
      </w:r>
      <w:r w:rsidRPr="00A241F5">
        <w:rPr>
          <w:rFonts w:cs="Arial"/>
        </w:rPr>
        <w:t xml:space="preserve">  More detailed analysis is provided in Chapter </w:t>
      </w:r>
      <w:r w:rsidR="00F619B3" w:rsidRPr="00A241F5">
        <w:rPr>
          <w:rFonts w:cs="Arial"/>
        </w:rPr>
        <w:t>4</w:t>
      </w:r>
      <w:r w:rsidRPr="00A241F5">
        <w:rPr>
          <w:rFonts w:cs="Arial"/>
        </w:rPr>
        <w:t xml:space="preserve"> above.</w:t>
      </w:r>
    </w:p>
    <w:p w14:paraId="0AB9B21E" w14:textId="77777777" w:rsidR="0045386A" w:rsidRPr="00A241F5" w:rsidRDefault="0045386A" w:rsidP="0045386A">
      <w:pPr>
        <w:widowControl/>
        <w:tabs>
          <w:tab w:val="clear" w:pos="1418"/>
          <w:tab w:val="left" w:pos="1440"/>
        </w:tabs>
        <w:rPr>
          <w:rFonts w:cs="Arial"/>
          <w:b/>
        </w:rPr>
      </w:pPr>
    </w:p>
    <w:p w14:paraId="10F2EF1C" w14:textId="77777777" w:rsidR="0045386A" w:rsidRPr="00A241F5" w:rsidRDefault="0045386A" w:rsidP="0045386A">
      <w:pPr>
        <w:widowControl/>
        <w:tabs>
          <w:tab w:val="clear" w:pos="1418"/>
          <w:tab w:val="left" w:pos="1440"/>
        </w:tabs>
        <w:rPr>
          <w:rFonts w:cs="Arial"/>
          <w:b/>
        </w:rPr>
      </w:pPr>
    </w:p>
    <w:p w14:paraId="52CBC037" w14:textId="77777777" w:rsidR="0045386A" w:rsidRPr="00A241F5" w:rsidRDefault="0045386A" w:rsidP="00067CD8">
      <w:pPr>
        <w:keepNext/>
        <w:keepLines/>
        <w:widowControl/>
        <w:tabs>
          <w:tab w:val="clear" w:pos="1418"/>
          <w:tab w:val="left" w:pos="1440"/>
        </w:tabs>
        <w:jc w:val="left"/>
        <w:rPr>
          <w:rFonts w:cs="Arial"/>
          <w:b/>
          <w:i/>
        </w:rPr>
      </w:pPr>
      <w:r w:rsidRPr="00A241F5">
        <w:rPr>
          <w:rFonts w:cs="Arial"/>
          <w:b/>
          <w:i/>
        </w:rPr>
        <w:t>Recommendation 13(e), (f), (g) and (h)</w:t>
      </w:r>
    </w:p>
    <w:p w14:paraId="6D99DCEA" w14:textId="77777777" w:rsidR="0045386A" w:rsidRPr="00A241F5" w:rsidRDefault="0045386A" w:rsidP="00067CD8">
      <w:pPr>
        <w:keepNext/>
        <w:keepLines/>
        <w:widowControl/>
        <w:tabs>
          <w:tab w:val="clear" w:pos="1418"/>
          <w:tab w:val="left" w:pos="1440"/>
        </w:tabs>
        <w:rPr>
          <w:rFonts w:cs="Arial"/>
        </w:rPr>
      </w:pPr>
    </w:p>
    <w:p w14:paraId="42BCDC2B" w14:textId="4A3638BC" w:rsidR="0045386A" w:rsidRPr="00A241F5" w:rsidRDefault="0045386A" w:rsidP="0045386A">
      <w:pPr>
        <w:widowControl/>
        <w:tabs>
          <w:tab w:val="clear" w:pos="1418"/>
          <w:tab w:val="left" w:pos="1440"/>
        </w:tabs>
        <w:rPr>
          <w:rFonts w:cs="Arial"/>
        </w:rPr>
      </w:pPr>
      <w:r w:rsidRPr="00A241F5">
        <w:rPr>
          <w:rFonts w:cs="Arial"/>
        </w:rPr>
        <w:t>14.39</w:t>
      </w:r>
      <w:r w:rsidRPr="00A241F5">
        <w:rPr>
          <w:rFonts w:cs="Arial"/>
        </w:rPr>
        <w:tab/>
        <w:t>As noted in paragraphs 1</w:t>
      </w:r>
      <w:r w:rsidR="00F44171" w:rsidRPr="00A241F5">
        <w:rPr>
          <w:rFonts w:cs="Arial"/>
        </w:rPr>
        <w:t>4</w:t>
      </w:r>
      <w:r w:rsidRPr="00A241F5">
        <w:rPr>
          <w:rFonts w:cs="Arial"/>
        </w:rPr>
        <w:t>.33 to 1</w:t>
      </w:r>
      <w:r w:rsidR="00F44171" w:rsidRPr="00A241F5">
        <w:rPr>
          <w:rFonts w:cs="Arial"/>
        </w:rPr>
        <w:t>4</w:t>
      </w:r>
      <w:r w:rsidRPr="00A241F5">
        <w:rPr>
          <w:rFonts w:cs="Arial"/>
        </w:rPr>
        <w:t>.38 above, we do not consider it necessary or advisable to</w:t>
      </w:r>
      <w:r w:rsidR="007373BA" w:rsidRPr="00A241F5">
        <w:rPr>
          <w:rFonts w:cs="Arial"/>
        </w:rPr>
        <w:t xml:space="preserve"> prescribe or limit what particular situation(s) would constitute</w:t>
      </w:r>
      <w:r w:rsidRPr="00A241F5">
        <w:rPr>
          <w:rFonts w:cs="Arial"/>
        </w:rPr>
        <w:t xml:space="preserve"> </w:t>
      </w:r>
      <w:r w:rsidR="00C61F4B" w:rsidRPr="00A241F5">
        <w:rPr>
          <w:rFonts w:cs="Arial"/>
        </w:rPr>
        <w:t>"</w:t>
      </w:r>
      <w:r w:rsidRPr="00A241F5">
        <w:rPr>
          <w:rFonts w:cs="Arial"/>
        </w:rPr>
        <w:t>success</w:t>
      </w:r>
      <w:r w:rsidR="00C61F4B" w:rsidRPr="00A241F5">
        <w:rPr>
          <w:rFonts w:cs="Arial"/>
        </w:rPr>
        <w:t>"</w:t>
      </w:r>
      <w:r w:rsidRPr="00A241F5">
        <w:rPr>
          <w:rFonts w:cs="Arial"/>
        </w:rPr>
        <w:t xml:space="preserve"> </w:t>
      </w:r>
      <w:r w:rsidR="007373BA" w:rsidRPr="00A241F5">
        <w:rPr>
          <w:rFonts w:cs="Arial"/>
        </w:rPr>
        <w:t xml:space="preserve">or a </w:t>
      </w:r>
      <w:r w:rsidR="00C61F4B" w:rsidRPr="00A241F5">
        <w:rPr>
          <w:rFonts w:cs="Arial"/>
        </w:rPr>
        <w:t>"</w:t>
      </w:r>
      <w:r w:rsidR="007373BA" w:rsidRPr="00A241F5">
        <w:rPr>
          <w:rFonts w:cs="Arial"/>
        </w:rPr>
        <w:t>successful outcome</w:t>
      </w:r>
      <w:r w:rsidR="00C61F4B" w:rsidRPr="00A241F5">
        <w:rPr>
          <w:rFonts w:cs="Arial"/>
        </w:rPr>
        <w:t>"</w:t>
      </w:r>
      <w:r w:rsidR="007373BA" w:rsidRPr="00A241F5">
        <w:rPr>
          <w:rFonts w:cs="Arial"/>
        </w:rPr>
        <w:t xml:space="preserve"> </w:t>
      </w:r>
      <w:r w:rsidRPr="00A241F5">
        <w:rPr>
          <w:rFonts w:cs="Arial"/>
        </w:rPr>
        <w:t xml:space="preserve">in the legislative framework for CFAs or DBAs or Hybrid DBAs.  Similarly, we do not consider that defining </w:t>
      </w:r>
      <w:r w:rsidR="00F44171" w:rsidRPr="00A241F5">
        <w:rPr>
          <w:rFonts w:cs="Arial"/>
        </w:rPr>
        <w:t>F</w:t>
      </w:r>
      <w:r w:rsidRPr="00A241F5">
        <w:rPr>
          <w:rFonts w:cs="Arial"/>
        </w:rPr>
        <w:t xml:space="preserve">inancial </w:t>
      </w:r>
      <w:r w:rsidR="00F32ECE" w:rsidRPr="00A241F5">
        <w:rPr>
          <w:rFonts w:cs="Arial"/>
        </w:rPr>
        <w:t>B</w:t>
      </w:r>
      <w:r w:rsidRPr="00A241F5">
        <w:rPr>
          <w:rFonts w:cs="Arial"/>
        </w:rPr>
        <w:t>enefit widely, for the purposes of calculating Success Fees and DBA Payments, places clients at greater risk than defining it narrowly.</w:t>
      </w:r>
      <w:r w:rsidRPr="00A241F5">
        <w:rPr>
          <w:rStyle w:val="FootnoteReference"/>
          <w:rFonts w:cs="Arial"/>
          <w:sz w:val="24"/>
        </w:rPr>
        <w:footnoteReference w:id="87"/>
      </w:r>
      <w:r w:rsidRPr="00A241F5">
        <w:rPr>
          <w:rFonts w:cs="Arial"/>
        </w:rPr>
        <w:t xml:space="preserve"> </w:t>
      </w:r>
    </w:p>
    <w:p w14:paraId="62572B78" w14:textId="77777777" w:rsidR="0045386A" w:rsidRPr="00A241F5" w:rsidRDefault="0045386A" w:rsidP="0045386A">
      <w:pPr>
        <w:widowControl/>
        <w:tabs>
          <w:tab w:val="clear" w:pos="1418"/>
          <w:tab w:val="left" w:pos="1440"/>
        </w:tabs>
        <w:rPr>
          <w:rFonts w:cs="Arial"/>
        </w:rPr>
      </w:pPr>
    </w:p>
    <w:p w14:paraId="452B903B" w14:textId="0AC23833" w:rsidR="0045386A" w:rsidRPr="00A241F5" w:rsidRDefault="0045386A" w:rsidP="0045386A">
      <w:pPr>
        <w:widowControl/>
        <w:tabs>
          <w:tab w:val="clear" w:pos="1418"/>
          <w:tab w:val="left" w:pos="1440"/>
        </w:tabs>
        <w:rPr>
          <w:rFonts w:cs="Arial"/>
        </w:rPr>
      </w:pPr>
      <w:r w:rsidRPr="00A241F5">
        <w:rPr>
          <w:rFonts w:cs="Arial"/>
        </w:rPr>
        <w:t>14.40</w:t>
      </w:r>
      <w:r w:rsidRPr="00A241F5">
        <w:rPr>
          <w:rFonts w:cs="Arial"/>
        </w:rPr>
        <w:tab/>
        <w:t>Nor can we see a justification for restricting ORFS arrangements to claimants and prohibiting respondents from agreeing CFAs or DBAs</w:t>
      </w:r>
      <w:r w:rsidR="003831A5" w:rsidRPr="00A241F5">
        <w:rPr>
          <w:rFonts w:cs="Arial"/>
        </w:rPr>
        <w:t xml:space="preserve"> (including</w:t>
      </w:r>
      <w:r w:rsidR="00030E0F" w:rsidRPr="00A241F5">
        <w:rPr>
          <w:rFonts w:cs="Arial"/>
        </w:rPr>
        <w:t xml:space="preserve"> Hybrid DBAs</w:t>
      </w:r>
      <w:r w:rsidR="003831A5" w:rsidRPr="00A241F5">
        <w:rPr>
          <w:rFonts w:cs="Arial"/>
        </w:rPr>
        <w:t>)</w:t>
      </w:r>
      <w:r w:rsidRPr="00A241F5">
        <w:rPr>
          <w:rFonts w:cs="Arial"/>
        </w:rPr>
        <w:t xml:space="preserve"> with their Lawyers in appropriate circumstances.  A party sued for US$1 billion, but held liable for US$100 million, may well consider itself </w:t>
      </w:r>
      <w:r w:rsidR="00C61F4B" w:rsidRPr="00A241F5">
        <w:rPr>
          <w:rFonts w:cs="Arial"/>
        </w:rPr>
        <w:t>"</w:t>
      </w:r>
      <w:r w:rsidRPr="00A241F5">
        <w:rPr>
          <w:rFonts w:cs="Arial"/>
        </w:rPr>
        <w:t>successful</w:t>
      </w:r>
      <w:r w:rsidR="00C61F4B" w:rsidRPr="00A241F5">
        <w:rPr>
          <w:rFonts w:cs="Arial"/>
        </w:rPr>
        <w:t>"</w:t>
      </w:r>
      <w:r w:rsidRPr="00A241F5">
        <w:rPr>
          <w:rFonts w:cs="Arial"/>
        </w:rPr>
        <w:t xml:space="preserve"> and be willing to reward the Lawyer with a DBA Payment for helping to achieve that success.  A party whose intellectual property rights have been stolen may wish to pay the Lawyer who acts in infringement proceedings by reference to the monetary value of the intellectual property rights.  As a question of policy, we cannot see why the </w:t>
      </w:r>
      <w:r w:rsidR="00F32ECE" w:rsidRPr="00A241F5">
        <w:rPr>
          <w:rFonts w:cs="Arial"/>
        </w:rPr>
        <w:t>F</w:t>
      </w:r>
      <w:r w:rsidRPr="00A241F5">
        <w:rPr>
          <w:rFonts w:cs="Arial"/>
        </w:rPr>
        <w:t xml:space="preserve">inancial </w:t>
      </w:r>
      <w:r w:rsidR="00F32ECE" w:rsidRPr="00A241F5">
        <w:rPr>
          <w:rFonts w:cs="Arial"/>
        </w:rPr>
        <w:t>B</w:t>
      </w:r>
      <w:r w:rsidRPr="00A241F5">
        <w:rPr>
          <w:rFonts w:cs="Arial"/>
        </w:rPr>
        <w:t xml:space="preserve">enefits in each of these examples are fundamentally different to an award of monetary damages, such that obtaining them should not constitute </w:t>
      </w:r>
      <w:r w:rsidR="00C61F4B" w:rsidRPr="00A241F5">
        <w:rPr>
          <w:rFonts w:cs="Arial"/>
        </w:rPr>
        <w:t>"</w:t>
      </w:r>
      <w:r w:rsidRPr="00A241F5">
        <w:rPr>
          <w:rFonts w:cs="Arial"/>
        </w:rPr>
        <w:t>success</w:t>
      </w:r>
      <w:r w:rsidR="00C61F4B" w:rsidRPr="00A241F5">
        <w:rPr>
          <w:rFonts w:cs="Arial"/>
        </w:rPr>
        <w:t>"</w:t>
      </w:r>
      <w:r w:rsidRPr="00A241F5">
        <w:rPr>
          <w:rFonts w:cs="Arial"/>
        </w:rPr>
        <w:t xml:space="preserve"> for the purposes of triggering a DBA Payment.</w:t>
      </w:r>
    </w:p>
    <w:p w14:paraId="33490804" w14:textId="77777777" w:rsidR="0045386A" w:rsidRPr="00A241F5" w:rsidRDefault="0045386A" w:rsidP="0045386A">
      <w:pPr>
        <w:widowControl/>
        <w:tabs>
          <w:tab w:val="clear" w:pos="1418"/>
          <w:tab w:val="left" w:pos="1440"/>
        </w:tabs>
        <w:rPr>
          <w:rFonts w:cs="Arial"/>
        </w:rPr>
      </w:pPr>
    </w:p>
    <w:p w14:paraId="13C56077" w14:textId="7BB7D382" w:rsidR="0045386A" w:rsidRPr="00A241F5" w:rsidRDefault="0045386A" w:rsidP="0045386A">
      <w:pPr>
        <w:widowControl/>
        <w:tabs>
          <w:tab w:val="clear" w:pos="1418"/>
          <w:tab w:val="left" w:pos="1440"/>
        </w:tabs>
        <w:rPr>
          <w:rFonts w:cs="Arial"/>
        </w:rPr>
      </w:pPr>
      <w:r w:rsidRPr="00A241F5">
        <w:rPr>
          <w:rFonts w:cs="Arial"/>
        </w:rPr>
        <w:t>14.41</w:t>
      </w:r>
      <w:r w:rsidRPr="00A241F5">
        <w:rPr>
          <w:rFonts w:cs="Arial"/>
        </w:rPr>
        <w:tab/>
        <w:t xml:space="preserve">We also consider that a DBA Payment should become payable as soon as the Financial Benefit is obtained by the client, rather than when the client actually receives money in hand.  A Lawyer whose client is awarded damages in an Arbitration can reasonably claim to have earned the agreed DBA Payment as soon as the award is issued and the money becomes due to the client.  At that stage, the Lawyer has performed the service he or she contracted to perform and should not have to wait for payment until the client has actually received the money, which can sometimes be years after the date of the award. </w:t>
      </w:r>
    </w:p>
    <w:p w14:paraId="161274FF" w14:textId="77777777" w:rsidR="0045386A" w:rsidRPr="00A241F5" w:rsidRDefault="0045386A" w:rsidP="0045386A">
      <w:pPr>
        <w:widowControl/>
        <w:tabs>
          <w:tab w:val="clear" w:pos="1418"/>
          <w:tab w:val="left" w:pos="1440"/>
        </w:tabs>
        <w:rPr>
          <w:rFonts w:cs="Arial"/>
        </w:rPr>
      </w:pPr>
    </w:p>
    <w:p w14:paraId="5D1F2437" w14:textId="34DF411D" w:rsidR="0045386A" w:rsidRPr="00A241F5" w:rsidRDefault="0045386A" w:rsidP="0045386A">
      <w:pPr>
        <w:widowControl/>
        <w:tabs>
          <w:tab w:val="clear" w:pos="1418"/>
          <w:tab w:val="left" w:pos="1440"/>
        </w:tabs>
        <w:rPr>
          <w:rFonts w:cs="Arial"/>
        </w:rPr>
      </w:pPr>
      <w:r w:rsidRPr="00A241F5">
        <w:rPr>
          <w:rFonts w:cs="Arial"/>
        </w:rPr>
        <w:t>14.42</w:t>
      </w:r>
      <w:r w:rsidRPr="00A241F5">
        <w:rPr>
          <w:rFonts w:cs="Arial"/>
        </w:rPr>
        <w:tab/>
        <w:t xml:space="preserve">In light of the above, we consider that the legislation should define </w:t>
      </w:r>
      <w:r w:rsidR="00C61F4B" w:rsidRPr="00A241F5">
        <w:rPr>
          <w:rFonts w:cs="Arial"/>
        </w:rPr>
        <w:t>"</w:t>
      </w:r>
      <w:r w:rsidRPr="00A241F5">
        <w:rPr>
          <w:rFonts w:cs="Arial"/>
        </w:rPr>
        <w:t>DBA</w:t>
      </w:r>
      <w:r w:rsidR="00C61F4B" w:rsidRPr="00A241F5">
        <w:rPr>
          <w:rFonts w:cs="Arial"/>
        </w:rPr>
        <w:t>"</w:t>
      </w:r>
      <w:r w:rsidRPr="00A241F5">
        <w:rPr>
          <w:rFonts w:cs="Arial"/>
        </w:rPr>
        <w:t xml:space="preserve"> as an agreement by which the client agrees to pay the Lawyer a fee only in the event the client obtains a Financial Benefit in the Arbitration, where the DBA Payment is calculated by reference to </w:t>
      </w:r>
      <w:r w:rsidRPr="00A241F5">
        <w:rPr>
          <w:rFonts w:cs="Arial"/>
          <w:b/>
        </w:rPr>
        <w:t xml:space="preserve">the amount of any award, settlement or other </w:t>
      </w:r>
      <w:r w:rsidR="00F32ECE" w:rsidRPr="00A241F5">
        <w:rPr>
          <w:rFonts w:cs="Arial"/>
          <w:b/>
        </w:rPr>
        <w:t>F</w:t>
      </w:r>
      <w:r w:rsidRPr="00A241F5">
        <w:rPr>
          <w:rFonts w:cs="Arial"/>
          <w:b/>
        </w:rPr>
        <w:t xml:space="preserve">inancial </w:t>
      </w:r>
      <w:r w:rsidR="00F32ECE" w:rsidRPr="00A241F5">
        <w:rPr>
          <w:rFonts w:cs="Arial"/>
          <w:b/>
        </w:rPr>
        <w:t>B</w:t>
      </w:r>
      <w:r w:rsidRPr="00A241F5">
        <w:rPr>
          <w:rFonts w:cs="Arial"/>
          <w:b/>
        </w:rPr>
        <w:t>enefit</w:t>
      </w:r>
      <w:r w:rsidRPr="00A241F5">
        <w:rPr>
          <w:rFonts w:cs="Arial"/>
        </w:rPr>
        <w:t xml:space="preserve"> that may be obtained by the client in the Arbitration.</w:t>
      </w:r>
      <w:r w:rsidR="00DE1119" w:rsidRPr="00A241F5">
        <w:rPr>
          <w:rStyle w:val="FootnoteReference"/>
          <w:rFonts w:cs="Arial"/>
          <w:sz w:val="24"/>
        </w:rPr>
        <w:footnoteReference w:id="88"/>
      </w:r>
      <w:r w:rsidRPr="00A241F5">
        <w:rPr>
          <w:rFonts w:cs="Arial"/>
        </w:rPr>
        <w:t xml:space="preserve">  </w:t>
      </w:r>
      <w:r w:rsidR="00C61F4B" w:rsidRPr="00A241F5">
        <w:rPr>
          <w:rFonts w:cs="Arial"/>
        </w:rPr>
        <w:t>"</w:t>
      </w:r>
      <w:r w:rsidRPr="00A241F5">
        <w:rPr>
          <w:rFonts w:cs="Arial"/>
          <w:b/>
        </w:rPr>
        <w:t xml:space="preserve">Financial </w:t>
      </w:r>
      <w:r w:rsidR="00F32ECE" w:rsidRPr="00A241F5">
        <w:rPr>
          <w:rFonts w:cs="Arial"/>
          <w:b/>
        </w:rPr>
        <w:t>B</w:t>
      </w:r>
      <w:r w:rsidRPr="00A241F5">
        <w:rPr>
          <w:rFonts w:cs="Arial"/>
          <w:b/>
        </w:rPr>
        <w:t>enefit</w:t>
      </w:r>
      <w:r w:rsidR="00C61F4B" w:rsidRPr="00A241F5">
        <w:rPr>
          <w:rFonts w:cs="Arial"/>
        </w:rPr>
        <w:t>"</w:t>
      </w:r>
      <w:r w:rsidRPr="00A241F5">
        <w:rPr>
          <w:rFonts w:cs="Arial"/>
        </w:rPr>
        <w:t xml:space="preserve"> should also be broadly defined, to include </w:t>
      </w:r>
      <w:r w:rsidR="00C61F4B" w:rsidRPr="00A241F5">
        <w:rPr>
          <w:rFonts w:cs="Arial"/>
        </w:rPr>
        <w:t>"</w:t>
      </w:r>
      <w:r w:rsidRPr="00A241F5">
        <w:rPr>
          <w:rFonts w:cs="Arial"/>
          <w:b/>
        </w:rPr>
        <w:t>money or money</w:t>
      </w:r>
      <w:r w:rsidR="00C61F4B" w:rsidRPr="00A241F5">
        <w:rPr>
          <w:rFonts w:cs="Arial"/>
          <w:b/>
        </w:rPr>
        <w:t>'</w:t>
      </w:r>
      <w:r w:rsidRPr="00A241F5">
        <w:rPr>
          <w:rFonts w:cs="Arial"/>
          <w:b/>
        </w:rPr>
        <w:t>s worth</w:t>
      </w:r>
      <w:r w:rsidR="00C61F4B" w:rsidRPr="00A241F5">
        <w:rPr>
          <w:rFonts w:cs="Arial"/>
        </w:rPr>
        <w:t>"</w:t>
      </w:r>
      <w:r w:rsidRPr="00A241F5">
        <w:rPr>
          <w:rFonts w:cs="Arial"/>
        </w:rPr>
        <w:t xml:space="preserve"> (being </w:t>
      </w:r>
      <w:r w:rsidRPr="00A241F5">
        <w:rPr>
          <w:bCs/>
        </w:rPr>
        <w:t>any</w:t>
      </w:r>
      <w:r w:rsidRPr="00A241F5">
        <w:rPr>
          <w:b/>
          <w:bCs/>
        </w:rPr>
        <w:t xml:space="preserve"> </w:t>
      </w:r>
      <w:r w:rsidRPr="00A241F5">
        <w:rPr>
          <w:bCs/>
        </w:rPr>
        <w:t xml:space="preserve">money, assets, security, tangible or intangible property, services, any amount owed under an award, </w:t>
      </w:r>
      <w:r w:rsidRPr="00A241F5">
        <w:rPr>
          <w:bCs/>
        </w:rPr>
        <w:lastRenderedPageBreak/>
        <w:t>settlement agreement or otherwise, and any other consideration reducible to a monetary value, including any avoidance or reduction of a potential liability).</w:t>
      </w:r>
      <w:r w:rsidR="00DE1119" w:rsidRPr="00A241F5">
        <w:rPr>
          <w:rStyle w:val="FootnoteReference"/>
          <w:bCs/>
          <w:sz w:val="24"/>
        </w:rPr>
        <w:footnoteReference w:id="89"/>
      </w:r>
    </w:p>
    <w:p w14:paraId="0C691064" w14:textId="1C113B1D" w:rsidR="0045386A" w:rsidRPr="00A241F5" w:rsidRDefault="0045386A" w:rsidP="00E73BCE">
      <w:pPr>
        <w:widowControl/>
        <w:rPr>
          <w:rFonts w:cs="Arial"/>
        </w:rPr>
      </w:pPr>
      <w:r w:rsidRPr="00A241F5">
        <w:rPr>
          <w:rFonts w:cs="Arial"/>
        </w:rPr>
        <w:t xml:space="preserve"> </w:t>
      </w:r>
    </w:p>
    <w:p w14:paraId="35A695FC" w14:textId="5E0200C6" w:rsidR="0045386A" w:rsidRDefault="0045386A" w:rsidP="00067CD8">
      <w:pPr>
        <w:keepNext/>
        <w:keepLines/>
        <w:widowControl/>
        <w:tabs>
          <w:tab w:val="clear" w:pos="1418"/>
          <w:tab w:val="left" w:pos="1440"/>
        </w:tabs>
        <w:rPr>
          <w:rFonts w:cs="Arial"/>
        </w:rPr>
      </w:pPr>
      <w:r w:rsidRPr="00A241F5">
        <w:rPr>
          <w:rFonts w:cs="Arial"/>
        </w:rPr>
        <w:t>14.43</w:t>
      </w:r>
      <w:r w:rsidRPr="00A241F5">
        <w:rPr>
          <w:rFonts w:cs="Arial"/>
        </w:rPr>
        <w:tab/>
        <w:t>Based on the above, we recommend that the ORFS should set out:</w:t>
      </w:r>
    </w:p>
    <w:p w14:paraId="0DE48399" w14:textId="77777777" w:rsidR="00883469" w:rsidRPr="00A241F5" w:rsidRDefault="00883469" w:rsidP="00067CD8">
      <w:pPr>
        <w:keepNext/>
        <w:keepLines/>
        <w:widowControl/>
        <w:tabs>
          <w:tab w:val="clear" w:pos="1418"/>
          <w:tab w:val="left" w:pos="1440"/>
        </w:tabs>
        <w:rPr>
          <w:rFonts w:cs="Arial"/>
        </w:rPr>
      </w:pPr>
    </w:p>
    <w:p w14:paraId="454D66A4" w14:textId="77777777" w:rsidR="0045386A" w:rsidRPr="00A241F5" w:rsidRDefault="0045386A" w:rsidP="008F0A89">
      <w:pPr>
        <w:pStyle w:val="ListParagraph"/>
        <w:keepNext/>
        <w:keepLines/>
        <w:widowControl/>
        <w:tabs>
          <w:tab w:val="clear" w:pos="1418"/>
          <w:tab w:val="left" w:pos="1440"/>
        </w:tabs>
        <w:ind w:leftChars="0" w:left="720"/>
        <w:rPr>
          <w:rFonts w:cs="Arial"/>
        </w:rPr>
      </w:pPr>
      <w:r w:rsidRPr="00A241F5">
        <w:rPr>
          <w:rFonts w:cs="Arial"/>
        </w:rPr>
        <w:t xml:space="preserve">for CFAs: </w:t>
      </w:r>
    </w:p>
    <w:p w14:paraId="45678D1A" w14:textId="77777777" w:rsidR="0045386A" w:rsidRPr="00A241F5" w:rsidRDefault="0045386A" w:rsidP="008F0A89">
      <w:pPr>
        <w:pStyle w:val="ListParagraph"/>
        <w:keepNext/>
        <w:keepLines/>
        <w:rPr>
          <w:rFonts w:cs="Arial"/>
        </w:rPr>
      </w:pPr>
    </w:p>
    <w:p w14:paraId="309CEB06" w14:textId="06F8884D" w:rsidR="0045386A" w:rsidRPr="00A241F5" w:rsidRDefault="0045386A" w:rsidP="008F0A89">
      <w:pPr>
        <w:pStyle w:val="ListParagraph"/>
        <w:keepNext/>
        <w:widowControl/>
        <w:numPr>
          <w:ilvl w:val="0"/>
          <w:numId w:val="12"/>
        </w:numPr>
        <w:tabs>
          <w:tab w:val="clear" w:pos="1418"/>
          <w:tab w:val="left" w:pos="1440"/>
        </w:tabs>
        <w:ind w:leftChars="0" w:left="1440"/>
        <w:rPr>
          <w:rFonts w:cs="Arial"/>
        </w:rPr>
      </w:pPr>
      <w:r w:rsidRPr="00A241F5">
        <w:rPr>
          <w:rFonts w:cs="Arial"/>
          <w:b/>
        </w:rPr>
        <w:t xml:space="preserve">the circumstances that constitute a </w:t>
      </w:r>
      <w:r w:rsidR="00C61F4B" w:rsidRPr="00A241F5">
        <w:rPr>
          <w:rFonts w:cs="Arial"/>
          <w:b/>
        </w:rPr>
        <w:t>"</w:t>
      </w:r>
      <w:r w:rsidRPr="00A241F5">
        <w:rPr>
          <w:rFonts w:cs="Arial"/>
          <w:b/>
        </w:rPr>
        <w:t>successful outcome</w:t>
      </w:r>
      <w:r w:rsidR="00C61F4B" w:rsidRPr="00A241F5">
        <w:rPr>
          <w:rFonts w:cs="Arial"/>
          <w:b/>
        </w:rPr>
        <w:t>"</w:t>
      </w:r>
      <w:r w:rsidRPr="00A241F5">
        <w:rPr>
          <w:rFonts w:cs="Arial"/>
          <w:b/>
        </w:rPr>
        <w:t xml:space="preserve"> of the matter to which it relates</w:t>
      </w:r>
      <w:r w:rsidRPr="00A241F5">
        <w:rPr>
          <w:rFonts w:cs="Arial"/>
        </w:rPr>
        <w:t>;</w:t>
      </w:r>
      <w:r w:rsidR="00B73120" w:rsidRPr="00A241F5">
        <w:rPr>
          <w:rStyle w:val="FootnoteReference"/>
          <w:rFonts w:cs="Arial"/>
          <w:sz w:val="24"/>
        </w:rPr>
        <w:footnoteReference w:id="90"/>
      </w:r>
    </w:p>
    <w:p w14:paraId="0EF11116" w14:textId="77777777" w:rsidR="0045386A" w:rsidRPr="00A241F5" w:rsidRDefault="0045386A" w:rsidP="0045386A">
      <w:pPr>
        <w:pStyle w:val="ListParagraph"/>
        <w:widowControl/>
        <w:tabs>
          <w:tab w:val="clear" w:pos="1418"/>
          <w:tab w:val="left" w:pos="1440"/>
        </w:tabs>
        <w:ind w:leftChars="0" w:left="1440"/>
        <w:rPr>
          <w:rFonts w:cs="Arial"/>
        </w:rPr>
      </w:pPr>
    </w:p>
    <w:p w14:paraId="51292C8B" w14:textId="5AECE175" w:rsidR="0045386A" w:rsidRPr="00A241F5" w:rsidRDefault="0045386A" w:rsidP="0045386A">
      <w:pPr>
        <w:pStyle w:val="ListParagraph"/>
        <w:widowControl/>
        <w:numPr>
          <w:ilvl w:val="0"/>
          <w:numId w:val="12"/>
        </w:numPr>
        <w:tabs>
          <w:tab w:val="clear" w:pos="1418"/>
          <w:tab w:val="left" w:pos="1440"/>
        </w:tabs>
        <w:ind w:leftChars="0" w:left="1440"/>
        <w:rPr>
          <w:rFonts w:cs="Arial"/>
        </w:rPr>
      </w:pPr>
      <w:r w:rsidRPr="00A241F5">
        <w:rPr>
          <w:rFonts w:cs="Arial"/>
          <w:b/>
        </w:rPr>
        <w:t xml:space="preserve">the basis of calculation of the Success Fee which would be payable in the event of such </w:t>
      </w:r>
      <w:r w:rsidR="00C61F4B" w:rsidRPr="00A241F5">
        <w:rPr>
          <w:rFonts w:cs="Arial"/>
          <w:b/>
        </w:rPr>
        <w:t>"</w:t>
      </w:r>
      <w:r w:rsidRPr="00A241F5">
        <w:rPr>
          <w:rFonts w:cs="Arial"/>
          <w:b/>
        </w:rPr>
        <w:t>successful outcome</w:t>
      </w:r>
      <w:r w:rsidR="00C61F4B" w:rsidRPr="00A241F5">
        <w:rPr>
          <w:rFonts w:cs="Arial"/>
          <w:b/>
        </w:rPr>
        <w:t>"</w:t>
      </w:r>
      <w:r w:rsidRPr="00A241F5">
        <w:rPr>
          <w:rFonts w:cs="Arial"/>
          <w:b/>
        </w:rPr>
        <w:t xml:space="preserve">, as well as the Success Fee premium, meaning the percentage uplift by which the amount of the legal costs which would be payable if there were no ORFS </w:t>
      </w:r>
      <w:r w:rsidR="00C30E1F" w:rsidRPr="00A241F5">
        <w:rPr>
          <w:rFonts w:cs="Arial"/>
          <w:b/>
        </w:rPr>
        <w:t>in place</w:t>
      </w:r>
      <w:r w:rsidRPr="00A241F5">
        <w:rPr>
          <w:rFonts w:cs="Arial"/>
        </w:rPr>
        <w:t>;</w:t>
      </w:r>
      <w:r w:rsidR="00B73120" w:rsidRPr="00A241F5">
        <w:rPr>
          <w:rStyle w:val="FootnoteReference"/>
          <w:rFonts w:cs="Arial"/>
          <w:sz w:val="24"/>
        </w:rPr>
        <w:footnoteReference w:id="91"/>
      </w:r>
      <w:r w:rsidRPr="00A241F5">
        <w:rPr>
          <w:rFonts w:cs="Arial"/>
        </w:rPr>
        <w:t xml:space="preserve"> and</w:t>
      </w:r>
    </w:p>
    <w:p w14:paraId="339EA923" w14:textId="77777777" w:rsidR="0045386A" w:rsidRPr="00A241F5" w:rsidRDefault="0045386A" w:rsidP="0045386A">
      <w:pPr>
        <w:pStyle w:val="ListParagraph"/>
        <w:widowControl/>
        <w:tabs>
          <w:tab w:val="clear" w:pos="1418"/>
          <w:tab w:val="left" w:pos="1440"/>
        </w:tabs>
        <w:ind w:leftChars="0" w:left="720"/>
        <w:rPr>
          <w:rFonts w:cs="Arial"/>
        </w:rPr>
      </w:pPr>
    </w:p>
    <w:p w14:paraId="68CB78FB" w14:textId="77777777" w:rsidR="0045386A" w:rsidRPr="00A241F5" w:rsidRDefault="0045386A" w:rsidP="0045386A">
      <w:pPr>
        <w:pStyle w:val="ListParagraph"/>
        <w:widowControl/>
        <w:tabs>
          <w:tab w:val="clear" w:pos="1418"/>
          <w:tab w:val="left" w:pos="1440"/>
        </w:tabs>
        <w:ind w:leftChars="0" w:left="720"/>
        <w:rPr>
          <w:rFonts w:cs="Arial"/>
        </w:rPr>
      </w:pPr>
      <w:r w:rsidRPr="00A241F5">
        <w:rPr>
          <w:rFonts w:cs="Arial"/>
        </w:rPr>
        <w:t>for DBAs (including Hybrid DBAs):</w:t>
      </w:r>
    </w:p>
    <w:p w14:paraId="60ED2A25" w14:textId="77777777" w:rsidR="0045386A" w:rsidRPr="00A241F5" w:rsidRDefault="0045386A" w:rsidP="0045386A">
      <w:pPr>
        <w:pStyle w:val="ListParagraph"/>
        <w:widowControl/>
        <w:tabs>
          <w:tab w:val="clear" w:pos="1418"/>
          <w:tab w:val="left" w:pos="1440"/>
        </w:tabs>
        <w:ind w:leftChars="0" w:left="1440"/>
        <w:rPr>
          <w:rFonts w:cs="Arial"/>
        </w:rPr>
      </w:pPr>
    </w:p>
    <w:p w14:paraId="0576BC0A" w14:textId="3CC67A12" w:rsidR="0045386A" w:rsidRPr="00A241F5" w:rsidRDefault="0045386A" w:rsidP="0045386A">
      <w:pPr>
        <w:pStyle w:val="ListParagraph"/>
        <w:widowControl/>
        <w:numPr>
          <w:ilvl w:val="0"/>
          <w:numId w:val="12"/>
        </w:numPr>
        <w:tabs>
          <w:tab w:val="clear" w:pos="1418"/>
          <w:tab w:val="left" w:pos="1440"/>
        </w:tabs>
        <w:ind w:leftChars="0" w:left="1440"/>
        <w:rPr>
          <w:rFonts w:cs="Arial"/>
        </w:rPr>
      </w:pPr>
      <w:r w:rsidRPr="00A241F5">
        <w:rPr>
          <w:rFonts w:cs="Arial"/>
          <w:b/>
        </w:rPr>
        <w:t>the Financial Benefit to which the DBA relates</w:t>
      </w:r>
      <w:r w:rsidRPr="00A241F5">
        <w:rPr>
          <w:rFonts w:cs="Arial"/>
        </w:rPr>
        <w:t>.</w:t>
      </w:r>
      <w:r w:rsidR="00B73120" w:rsidRPr="00A241F5">
        <w:rPr>
          <w:rStyle w:val="FootnoteReference"/>
          <w:rFonts w:cs="Arial"/>
          <w:sz w:val="24"/>
        </w:rPr>
        <w:footnoteReference w:id="92"/>
      </w:r>
      <w:r w:rsidRPr="00A241F5">
        <w:rPr>
          <w:rFonts w:cs="Arial"/>
        </w:rPr>
        <w:t xml:space="preserve">  </w:t>
      </w:r>
    </w:p>
    <w:p w14:paraId="37188301" w14:textId="77777777" w:rsidR="0045386A" w:rsidRPr="00A241F5" w:rsidRDefault="0045386A" w:rsidP="00234163"/>
    <w:p w14:paraId="7619882B" w14:textId="0868537F" w:rsidR="0045386A" w:rsidRPr="00A241F5" w:rsidRDefault="0045386A" w:rsidP="00234163">
      <w:pPr>
        <w:rPr>
          <w:b/>
          <w:sz w:val="28"/>
          <w:szCs w:val="28"/>
        </w:rPr>
      </w:pPr>
    </w:p>
    <w:p w14:paraId="4C89E1B1" w14:textId="53FEDCAF" w:rsidR="0045386A" w:rsidRPr="00A241F5" w:rsidRDefault="0045386A" w:rsidP="0045386A">
      <w:pPr>
        <w:jc w:val="left"/>
        <w:rPr>
          <w:b/>
          <w:sz w:val="28"/>
          <w:szCs w:val="28"/>
        </w:rPr>
      </w:pPr>
      <w:r w:rsidRPr="00A241F5">
        <w:rPr>
          <w:rFonts w:cs="Arial"/>
          <w:b/>
          <w:sz w:val="28"/>
          <w:szCs w:val="28"/>
        </w:rPr>
        <w:t>Responses to the Sub-committee</w:t>
      </w:r>
      <w:r w:rsidR="00C61F4B" w:rsidRPr="00A241F5">
        <w:rPr>
          <w:rFonts w:cs="Arial"/>
          <w:b/>
          <w:sz w:val="28"/>
          <w:szCs w:val="28"/>
        </w:rPr>
        <w:t>'</w:t>
      </w:r>
      <w:r w:rsidRPr="00A241F5">
        <w:rPr>
          <w:rFonts w:cs="Arial"/>
          <w:b/>
          <w:sz w:val="28"/>
          <w:szCs w:val="28"/>
        </w:rPr>
        <w:t>s Recommendation 13(c) and (d)</w:t>
      </w:r>
    </w:p>
    <w:p w14:paraId="60A417BE" w14:textId="77777777" w:rsidR="0045386A" w:rsidRPr="00A241F5" w:rsidRDefault="0045386A" w:rsidP="0045386A">
      <w:pPr>
        <w:widowControl/>
        <w:tabs>
          <w:tab w:val="clear" w:pos="1418"/>
          <w:tab w:val="left" w:pos="1440"/>
        </w:tabs>
        <w:rPr>
          <w:rFonts w:cs="Arial"/>
        </w:rPr>
      </w:pPr>
    </w:p>
    <w:p w14:paraId="122FC911" w14:textId="1EA3CAC4" w:rsidR="0045386A" w:rsidRPr="00A241F5" w:rsidRDefault="0045386A" w:rsidP="0045386A">
      <w:pPr>
        <w:widowControl/>
        <w:tabs>
          <w:tab w:val="clear" w:pos="1418"/>
          <w:tab w:val="left" w:pos="1440"/>
        </w:tabs>
        <w:rPr>
          <w:rFonts w:cs="Arial"/>
        </w:rPr>
      </w:pPr>
      <w:r w:rsidRPr="00A241F5">
        <w:rPr>
          <w:rFonts w:cs="Arial"/>
        </w:rPr>
        <w:t>14.44</w:t>
      </w:r>
      <w:r w:rsidRPr="00A241F5">
        <w:rPr>
          <w:rFonts w:cs="Arial"/>
        </w:rPr>
        <w:tab/>
        <w:t>Recommendation 13(c) and (d) in the Consultation Paper sought views on:</w:t>
      </w:r>
    </w:p>
    <w:p w14:paraId="4E413A03" w14:textId="77777777" w:rsidR="0045386A" w:rsidRPr="00A241F5" w:rsidRDefault="0045386A" w:rsidP="0045386A">
      <w:pPr>
        <w:widowControl/>
        <w:tabs>
          <w:tab w:val="clear" w:pos="1418"/>
          <w:tab w:val="left" w:pos="1440"/>
        </w:tabs>
        <w:rPr>
          <w:rFonts w:cs="Arial"/>
        </w:rPr>
      </w:pPr>
      <w:r w:rsidRPr="00A241F5">
        <w:rPr>
          <w:rFonts w:cs="Arial"/>
        </w:rPr>
        <w:t xml:space="preserve"> </w:t>
      </w:r>
    </w:p>
    <w:p w14:paraId="375B5EB4" w14:textId="3961902F" w:rsidR="0045386A" w:rsidRPr="00A241F5" w:rsidRDefault="00C61F4B" w:rsidP="0045386A">
      <w:pPr>
        <w:widowControl/>
        <w:tabs>
          <w:tab w:val="clear" w:pos="1418"/>
          <w:tab w:val="left" w:pos="1440"/>
        </w:tabs>
        <w:ind w:left="566"/>
        <w:rPr>
          <w:rFonts w:cs="Arial"/>
          <w:i/>
        </w:rPr>
      </w:pPr>
      <w:r w:rsidRPr="00A241F5">
        <w:rPr>
          <w:rFonts w:cs="Arial"/>
          <w:i/>
        </w:rPr>
        <w:t>"</w:t>
      </w:r>
      <w:r w:rsidR="0045386A" w:rsidRPr="00A241F5">
        <w:rPr>
          <w:rFonts w:cs="Arial"/>
          <w:i/>
        </w:rPr>
        <w:t>(c)</w:t>
      </w:r>
      <w:r w:rsidR="0045386A" w:rsidRPr="00A241F5">
        <w:rPr>
          <w:rFonts w:cs="Arial"/>
          <w:i/>
        </w:rPr>
        <w:tab/>
        <w:t xml:space="preserve">Whether personal injury claims should be treated differently from </w:t>
      </w:r>
      <w:r w:rsidR="0045386A" w:rsidRPr="00A241F5">
        <w:rPr>
          <w:rFonts w:cs="Arial"/>
          <w:i/>
        </w:rPr>
        <w:tab/>
        <w:t xml:space="preserve">other claims in Arbitration, by: </w:t>
      </w:r>
    </w:p>
    <w:p w14:paraId="474D0285" w14:textId="77777777" w:rsidR="0045386A" w:rsidRPr="00A241F5" w:rsidRDefault="0045386A" w:rsidP="0045386A">
      <w:pPr>
        <w:widowControl/>
        <w:tabs>
          <w:tab w:val="clear" w:pos="1418"/>
          <w:tab w:val="left" w:pos="1440"/>
        </w:tabs>
        <w:spacing w:before="120"/>
        <w:ind w:left="2160" w:hanging="2160"/>
        <w:rPr>
          <w:rFonts w:cs="Arial"/>
          <w:i/>
        </w:rPr>
      </w:pPr>
      <w:r w:rsidRPr="00A241F5">
        <w:rPr>
          <w:rFonts w:cs="Arial"/>
          <w:i/>
        </w:rPr>
        <w:tab/>
        <w:t>(i)</w:t>
      </w:r>
      <w:r w:rsidRPr="00A241F5">
        <w:rPr>
          <w:rFonts w:cs="Arial"/>
          <w:i/>
        </w:rPr>
        <w:tab/>
        <w:t xml:space="preserve">imposing a lower cap on any Success Fee or DBA Payment in respect of a personal injury claim that is submitted to Arbitration; or </w:t>
      </w:r>
      <w:r w:rsidRPr="00A241F5">
        <w:rPr>
          <w:rFonts w:cs="Arial"/>
          <w:i/>
        </w:rPr>
        <w:tab/>
      </w:r>
    </w:p>
    <w:p w14:paraId="70668E11" w14:textId="4C92312D" w:rsidR="0045386A" w:rsidRPr="00A241F5" w:rsidRDefault="0045386A" w:rsidP="003A6D3A">
      <w:pPr>
        <w:widowControl/>
        <w:tabs>
          <w:tab w:val="clear" w:pos="1418"/>
          <w:tab w:val="left" w:pos="1440"/>
        </w:tabs>
        <w:spacing w:before="120"/>
        <w:ind w:left="2160" w:hanging="2160"/>
        <w:rPr>
          <w:rFonts w:cs="Arial"/>
          <w:i/>
        </w:rPr>
      </w:pPr>
      <w:r w:rsidRPr="00A241F5">
        <w:rPr>
          <w:rFonts w:cs="Arial"/>
          <w:i/>
        </w:rPr>
        <w:tab/>
        <w:t>(ii)</w:t>
      </w:r>
      <w:r w:rsidRPr="00A241F5">
        <w:rPr>
          <w:rFonts w:cs="Arial"/>
          <w:i/>
        </w:rPr>
        <w:tab/>
        <w:t xml:space="preserve">prohibiting Lawyers from entering into ORFSs in respect of personal injury claims that are submitted to Arbitration. </w:t>
      </w:r>
    </w:p>
    <w:p w14:paraId="296515A4" w14:textId="77777777" w:rsidR="0045386A" w:rsidRPr="00A241F5" w:rsidRDefault="0045386A" w:rsidP="0045386A">
      <w:pPr>
        <w:widowControl/>
        <w:tabs>
          <w:tab w:val="clear" w:pos="1418"/>
          <w:tab w:val="left" w:pos="1440"/>
        </w:tabs>
        <w:rPr>
          <w:rFonts w:cs="Arial"/>
          <w:i/>
        </w:rPr>
      </w:pPr>
    </w:p>
    <w:p w14:paraId="25FC0AF9" w14:textId="064B65EC" w:rsidR="0045386A" w:rsidRPr="00A241F5" w:rsidRDefault="0045386A" w:rsidP="0045386A">
      <w:pPr>
        <w:widowControl/>
        <w:tabs>
          <w:tab w:val="clear" w:pos="1418"/>
          <w:tab w:val="left" w:pos="1440"/>
        </w:tabs>
        <w:ind w:left="1440" w:hanging="720"/>
        <w:rPr>
          <w:rFonts w:cs="Arial"/>
        </w:rPr>
      </w:pPr>
      <w:r w:rsidRPr="00A241F5">
        <w:rPr>
          <w:rFonts w:cs="Arial"/>
          <w:i/>
        </w:rPr>
        <w:t>(d)</w:t>
      </w:r>
      <w:r w:rsidRPr="00A241F5">
        <w:rPr>
          <w:rFonts w:cs="Arial"/>
          <w:i/>
        </w:rPr>
        <w:tab/>
        <w:t>Whether any additional category/ies of claim should be treated differently from other claims that are submitted to Arbitration if ORFSs are introduced.</w:t>
      </w:r>
      <w:r w:rsidR="00C61F4B" w:rsidRPr="00A241F5">
        <w:rPr>
          <w:rFonts w:cs="Arial"/>
          <w:i/>
        </w:rPr>
        <w:t>"</w:t>
      </w:r>
      <w:r w:rsidRPr="00A241F5">
        <w:rPr>
          <w:rStyle w:val="FootnoteReference"/>
          <w:rFonts w:cs="Arial"/>
          <w:sz w:val="24"/>
        </w:rPr>
        <w:footnoteReference w:id="93"/>
      </w:r>
      <w:r w:rsidRPr="00A241F5">
        <w:rPr>
          <w:rFonts w:cs="Arial"/>
        </w:rPr>
        <w:t xml:space="preserve"> </w:t>
      </w:r>
    </w:p>
    <w:p w14:paraId="513DB67E" w14:textId="77777777" w:rsidR="0045386A" w:rsidRPr="00A241F5" w:rsidRDefault="0045386A" w:rsidP="00C61F4B"/>
    <w:p w14:paraId="478ED6EA" w14:textId="77777777" w:rsidR="0045386A" w:rsidRPr="00A241F5" w:rsidRDefault="0045386A" w:rsidP="00C61F4B"/>
    <w:p w14:paraId="45EF55B1" w14:textId="77777777" w:rsidR="00883469" w:rsidRDefault="00883469" w:rsidP="00BD5776">
      <w:pPr>
        <w:pStyle w:val="Heading3"/>
      </w:pPr>
    </w:p>
    <w:p w14:paraId="4DD7B25D" w14:textId="5E999B80" w:rsidR="0045386A" w:rsidRPr="00A241F5" w:rsidRDefault="0045386A" w:rsidP="00BD5776">
      <w:pPr>
        <w:pStyle w:val="Heading3"/>
      </w:pPr>
      <w:r w:rsidRPr="00A241F5">
        <w:t>Comments from Respondents who supported Recommendation 13(c)</w:t>
      </w:r>
    </w:p>
    <w:p w14:paraId="66E26E14" w14:textId="77777777" w:rsidR="0045386A" w:rsidRPr="00A241F5" w:rsidRDefault="0045386A" w:rsidP="0045386A">
      <w:pPr>
        <w:widowControl/>
        <w:tabs>
          <w:tab w:val="clear" w:pos="1418"/>
          <w:tab w:val="left" w:pos="1440"/>
        </w:tabs>
        <w:rPr>
          <w:rFonts w:cs="Arial"/>
        </w:rPr>
      </w:pPr>
    </w:p>
    <w:p w14:paraId="17A5DC5F" w14:textId="398F8216" w:rsidR="0045386A" w:rsidRPr="00A241F5" w:rsidRDefault="0045386A" w:rsidP="0045386A">
      <w:pPr>
        <w:widowControl/>
        <w:tabs>
          <w:tab w:val="clear" w:pos="1418"/>
          <w:tab w:val="left" w:pos="1440"/>
        </w:tabs>
        <w:rPr>
          <w:rFonts w:cs="Arial"/>
        </w:rPr>
      </w:pPr>
      <w:r w:rsidRPr="00A241F5">
        <w:rPr>
          <w:rFonts w:cs="Arial"/>
        </w:rPr>
        <w:t>14.45</w:t>
      </w:r>
      <w:r w:rsidRPr="00A241F5">
        <w:rPr>
          <w:rFonts w:cs="Arial"/>
        </w:rPr>
        <w:tab/>
        <w:t xml:space="preserve">A clear majority of Respondents who expressed a view on the issue considered that any ORFS regime for Arbitration should treat claims for personal injury differently from other claims.  Almost all prefer to exclude personal injury claims completely from any ORFS regime for Arbitration. </w:t>
      </w:r>
    </w:p>
    <w:p w14:paraId="5103D997" w14:textId="77777777" w:rsidR="0045386A" w:rsidRPr="00A241F5" w:rsidRDefault="0045386A" w:rsidP="0045386A"/>
    <w:p w14:paraId="1BBF4EB9" w14:textId="4700931E" w:rsidR="0045386A" w:rsidRPr="00A241F5" w:rsidRDefault="0045386A" w:rsidP="0045386A">
      <w:pPr>
        <w:widowControl/>
        <w:tabs>
          <w:tab w:val="clear" w:pos="1418"/>
          <w:tab w:val="left" w:pos="1440"/>
        </w:tabs>
        <w:rPr>
          <w:rFonts w:cs="Arial"/>
        </w:rPr>
      </w:pPr>
      <w:r w:rsidRPr="00A241F5">
        <w:rPr>
          <w:rFonts w:cs="Arial"/>
        </w:rPr>
        <w:t>14.46</w:t>
      </w:r>
      <w:r w:rsidRPr="00A241F5">
        <w:rPr>
          <w:rFonts w:cs="Arial"/>
        </w:rPr>
        <w:tab/>
        <w:t xml:space="preserve">Several Respondents expressed concerns about the potential for Lawyers or claims intermediaries to use ORFSs for Arbitration to exploit vulnerable personal injury victims.  Although most acknowledged that it will be rare for a personal injury claim to be referred to Arbitration, such claims are, in fact, arbitrable in Hong Kong and many Respondents have genuine fears about </w:t>
      </w:r>
      <w:r w:rsidR="00C61F4B" w:rsidRPr="00A241F5">
        <w:rPr>
          <w:rFonts w:cs="Arial"/>
        </w:rPr>
        <w:t>"</w:t>
      </w:r>
      <w:r w:rsidRPr="00A241F5">
        <w:rPr>
          <w:rFonts w:cs="Arial"/>
        </w:rPr>
        <w:t>ambulance chasing</w:t>
      </w:r>
      <w:r w:rsidR="00C61F4B" w:rsidRPr="00A241F5">
        <w:rPr>
          <w:rFonts w:cs="Arial"/>
        </w:rPr>
        <w:t>"</w:t>
      </w:r>
      <w:r w:rsidRPr="00A241F5">
        <w:rPr>
          <w:rFonts w:cs="Arial"/>
        </w:rPr>
        <w:t>, based on practices in other jurisdictions that allow ORFSs for personal injury claims in the courts.</w:t>
      </w:r>
    </w:p>
    <w:p w14:paraId="6F7EBC74" w14:textId="77777777" w:rsidR="008F0A89" w:rsidRPr="00A241F5" w:rsidRDefault="008F0A89" w:rsidP="008F0A89">
      <w:pPr>
        <w:keepNext/>
        <w:keepLines/>
        <w:widowControl/>
        <w:tabs>
          <w:tab w:val="clear" w:pos="1418"/>
          <w:tab w:val="left" w:pos="1440"/>
        </w:tabs>
        <w:rPr>
          <w:rFonts w:cs="Arial"/>
        </w:rPr>
      </w:pPr>
    </w:p>
    <w:p w14:paraId="331B290E" w14:textId="680A557E" w:rsidR="0045386A" w:rsidRPr="00A241F5" w:rsidRDefault="0045386A" w:rsidP="008F0A89">
      <w:pPr>
        <w:keepNext/>
        <w:keepLines/>
        <w:widowControl/>
        <w:tabs>
          <w:tab w:val="clear" w:pos="1418"/>
          <w:tab w:val="left" w:pos="1440"/>
        </w:tabs>
        <w:rPr>
          <w:rFonts w:cs="Arial"/>
        </w:rPr>
      </w:pPr>
      <w:r w:rsidRPr="00A241F5">
        <w:rPr>
          <w:rFonts w:cs="Arial"/>
        </w:rPr>
        <w:t>14.47</w:t>
      </w:r>
      <w:r w:rsidRPr="00A241F5">
        <w:rPr>
          <w:rFonts w:cs="Arial"/>
        </w:rPr>
        <w:tab/>
        <w:t>Comments included:</w:t>
      </w:r>
    </w:p>
    <w:p w14:paraId="3402C771" w14:textId="77777777" w:rsidR="0045386A" w:rsidRPr="00A241F5" w:rsidRDefault="0045386A" w:rsidP="0045386A">
      <w:pPr>
        <w:widowControl/>
        <w:tabs>
          <w:tab w:val="clear" w:pos="1418"/>
          <w:tab w:val="left" w:pos="1440"/>
        </w:tabs>
        <w:rPr>
          <w:rFonts w:cs="Arial"/>
        </w:rPr>
      </w:pPr>
    </w:p>
    <w:p w14:paraId="69AA0D38" w14:textId="322BDE33" w:rsidR="0045386A" w:rsidRPr="00A241F5" w:rsidRDefault="00C61F4B" w:rsidP="0045386A">
      <w:pPr>
        <w:widowControl/>
        <w:tabs>
          <w:tab w:val="left" w:pos="960"/>
        </w:tabs>
        <w:ind w:left="720" w:right="720"/>
        <w:rPr>
          <w:rFonts w:cs="Arial"/>
        </w:rPr>
      </w:pPr>
      <w:r w:rsidRPr="00A241F5">
        <w:rPr>
          <w:rFonts w:cs="Arial"/>
          <w:i/>
        </w:rPr>
        <w:t>"</w:t>
      </w:r>
      <w:r w:rsidR="0045386A" w:rsidRPr="00A241F5">
        <w:rPr>
          <w:rFonts w:cs="Arial"/>
          <w:i/>
        </w:rPr>
        <w:t>… it is inappropriate to pursue a personal injury claim under an ORFS.  Meanwhile, to prevent some lawyers engaging in unscrupulous practices, eg by offering to represent accident victims in return for significant outcome related fees that benefit the lawyer to the detriment of the client, it is expected that consideration should be given to require personal injury claims to be pursued by other means</w:t>
      </w:r>
      <w:r w:rsidR="00033640" w:rsidRPr="00A241F5">
        <w:rPr>
          <w:rFonts w:cs="Arial"/>
          <w:i/>
        </w:rPr>
        <w:t>.</w:t>
      </w:r>
      <w:r w:rsidRPr="00A241F5">
        <w:rPr>
          <w:rFonts w:cs="Arial"/>
          <w:i/>
        </w:rPr>
        <w:t>"</w:t>
      </w:r>
    </w:p>
    <w:p w14:paraId="51AEAE9F" w14:textId="77777777" w:rsidR="0045386A" w:rsidRPr="00A241F5" w:rsidRDefault="0045386A" w:rsidP="00883469">
      <w:pPr>
        <w:widowControl/>
        <w:tabs>
          <w:tab w:val="clear" w:pos="1418"/>
          <w:tab w:val="left" w:pos="1440"/>
        </w:tabs>
        <w:spacing w:before="120" w:after="120"/>
        <w:rPr>
          <w:rFonts w:cs="Arial"/>
        </w:rPr>
      </w:pPr>
      <w:r w:rsidRPr="00A241F5">
        <w:rPr>
          <w:rFonts w:cs="Arial"/>
        </w:rPr>
        <w:t>and</w:t>
      </w:r>
    </w:p>
    <w:p w14:paraId="52C467FF" w14:textId="2FE64ADD" w:rsidR="0045386A" w:rsidRPr="00A241F5" w:rsidRDefault="00C61F4B" w:rsidP="0045386A">
      <w:pPr>
        <w:widowControl/>
        <w:tabs>
          <w:tab w:val="clear" w:pos="1418"/>
          <w:tab w:val="left" w:pos="1440"/>
        </w:tabs>
        <w:ind w:left="720" w:right="720"/>
        <w:rPr>
          <w:rFonts w:cs="Arial"/>
          <w:i/>
        </w:rPr>
      </w:pPr>
      <w:r w:rsidRPr="00A241F5">
        <w:rPr>
          <w:rFonts w:cs="Arial"/>
          <w:i/>
        </w:rPr>
        <w:t>"</w:t>
      </w:r>
      <w:r w:rsidR="0045386A" w:rsidRPr="00A241F5">
        <w:rPr>
          <w:rFonts w:cs="Arial"/>
          <w:i/>
        </w:rPr>
        <w:t xml:space="preserve">Most claimants in PI cases usually are not very sophisticated and they do not have experience in litigation.  They might not be able to understand the technicalities of the ORFS arrangement and distinguish them from champertous or maintenance arrangements.  They may have already been placed under financial and emotional stresses because of their injuries, and therefore might be prone to accept the </w:t>
      </w:r>
      <w:r w:rsidRPr="00A241F5">
        <w:rPr>
          <w:rFonts w:cs="Arial"/>
          <w:i/>
        </w:rPr>
        <w:t>'</w:t>
      </w:r>
      <w:r w:rsidR="0045386A" w:rsidRPr="00A241F5">
        <w:rPr>
          <w:rFonts w:cs="Arial"/>
          <w:i/>
        </w:rPr>
        <w:t>assistance</w:t>
      </w:r>
      <w:r w:rsidRPr="00A241F5">
        <w:rPr>
          <w:rFonts w:cs="Arial"/>
          <w:i/>
        </w:rPr>
        <w:t>'</w:t>
      </w:r>
      <w:r w:rsidR="0045386A" w:rsidRPr="00A241F5">
        <w:rPr>
          <w:rFonts w:cs="Arial"/>
          <w:i/>
        </w:rPr>
        <w:t xml:space="preserve"> from the claims intermediaries in the </w:t>
      </w:r>
      <w:r w:rsidRPr="00A241F5">
        <w:rPr>
          <w:rFonts w:cs="Arial"/>
          <w:i/>
        </w:rPr>
        <w:t>'</w:t>
      </w:r>
      <w:r w:rsidR="0045386A" w:rsidRPr="00A241F5">
        <w:rPr>
          <w:rFonts w:cs="Arial"/>
          <w:i/>
        </w:rPr>
        <w:t>resolution</w:t>
      </w:r>
      <w:r w:rsidRPr="00A241F5">
        <w:rPr>
          <w:rFonts w:cs="Arial"/>
          <w:i/>
        </w:rPr>
        <w:t>'</w:t>
      </w:r>
      <w:r w:rsidR="0045386A" w:rsidRPr="00A241F5">
        <w:rPr>
          <w:rFonts w:cs="Arial"/>
          <w:i/>
        </w:rPr>
        <w:t>/</w:t>
      </w:r>
      <w:r w:rsidRPr="00A241F5">
        <w:rPr>
          <w:rFonts w:cs="Arial"/>
          <w:i/>
        </w:rPr>
        <w:t>'</w:t>
      </w:r>
      <w:r w:rsidR="0045386A" w:rsidRPr="00A241F5">
        <w:rPr>
          <w:rFonts w:cs="Arial"/>
          <w:i/>
        </w:rPr>
        <w:t>adjudication</w:t>
      </w:r>
      <w:r w:rsidRPr="00A241F5">
        <w:rPr>
          <w:rFonts w:cs="Arial"/>
          <w:i/>
        </w:rPr>
        <w:t>'</w:t>
      </w:r>
      <w:r w:rsidR="0045386A" w:rsidRPr="00A241F5">
        <w:rPr>
          <w:rFonts w:cs="Arial"/>
          <w:i/>
        </w:rPr>
        <w:t xml:space="preserve"> of the claims for them</w:t>
      </w:r>
      <w:r w:rsidR="00033640" w:rsidRPr="00A241F5">
        <w:rPr>
          <w:rFonts w:cs="Arial"/>
          <w:i/>
        </w:rPr>
        <w:t>.</w:t>
      </w:r>
      <w:r w:rsidRPr="00A241F5">
        <w:rPr>
          <w:rFonts w:cs="Arial"/>
          <w:i/>
        </w:rPr>
        <w:t>"</w:t>
      </w:r>
    </w:p>
    <w:p w14:paraId="53D68C69" w14:textId="77777777" w:rsidR="0045386A" w:rsidRPr="00A241F5" w:rsidRDefault="0045386A" w:rsidP="0045386A">
      <w:pPr>
        <w:widowControl/>
        <w:tabs>
          <w:tab w:val="clear" w:pos="1418"/>
          <w:tab w:val="left" w:pos="1440"/>
        </w:tabs>
        <w:rPr>
          <w:rFonts w:cs="Arial"/>
          <w:i/>
        </w:rPr>
      </w:pPr>
    </w:p>
    <w:p w14:paraId="68D56BC3" w14:textId="4980FD5F" w:rsidR="0045386A" w:rsidRPr="00A241F5" w:rsidRDefault="0045386A" w:rsidP="0045386A">
      <w:pPr>
        <w:widowControl/>
        <w:tabs>
          <w:tab w:val="clear" w:pos="1418"/>
          <w:tab w:val="left" w:pos="1440"/>
        </w:tabs>
        <w:rPr>
          <w:rFonts w:cs="Arial"/>
        </w:rPr>
      </w:pPr>
      <w:r w:rsidRPr="00A241F5">
        <w:rPr>
          <w:rFonts w:cs="Arial"/>
        </w:rPr>
        <w:t>14.48</w:t>
      </w:r>
      <w:r w:rsidRPr="00A241F5">
        <w:rPr>
          <w:rFonts w:cs="Arial"/>
        </w:rPr>
        <w:tab/>
        <w:t xml:space="preserve">The Law Society expressly asked that </w:t>
      </w:r>
      <w:r w:rsidR="00C61F4B" w:rsidRPr="00A241F5">
        <w:rPr>
          <w:rFonts w:cs="Arial"/>
          <w:i/>
        </w:rPr>
        <w:t>"</w:t>
      </w:r>
      <w:r w:rsidRPr="00A241F5">
        <w:rPr>
          <w:rFonts w:cs="Arial"/>
          <w:i/>
        </w:rPr>
        <w:t>personal injuries (</w:t>
      </w:r>
      <w:r w:rsidR="00C61F4B" w:rsidRPr="00A241F5">
        <w:rPr>
          <w:rFonts w:cs="Arial"/>
          <w:i/>
        </w:rPr>
        <w:t>'</w:t>
      </w:r>
      <w:r w:rsidRPr="00A241F5">
        <w:rPr>
          <w:rFonts w:cs="Arial"/>
          <w:i/>
        </w:rPr>
        <w:t>PI</w:t>
      </w:r>
      <w:r w:rsidR="00C61F4B" w:rsidRPr="00A241F5">
        <w:rPr>
          <w:rFonts w:cs="Arial"/>
          <w:i/>
        </w:rPr>
        <w:t>'</w:t>
      </w:r>
      <w:r w:rsidRPr="00A241F5">
        <w:rPr>
          <w:rFonts w:cs="Arial"/>
          <w:i/>
        </w:rPr>
        <w:t xml:space="preserve">) claims be excluded altogether from the proposed ORFS, and that Lawyers are prohibited from entering these fees arrangement </w:t>
      </w:r>
      <w:r w:rsidRPr="00A241F5">
        <w:rPr>
          <w:rFonts w:cs="Arial"/>
        </w:rPr>
        <w:t>[</w:t>
      </w:r>
      <w:r w:rsidRPr="00A241F5">
        <w:rPr>
          <w:rFonts w:cs="Arial"/>
          <w:i/>
        </w:rPr>
        <w:t>sic</w:t>
      </w:r>
      <w:r w:rsidRPr="00A241F5">
        <w:rPr>
          <w:rFonts w:cs="Arial"/>
        </w:rPr>
        <w:t>]</w:t>
      </w:r>
      <w:r w:rsidRPr="00A241F5">
        <w:rPr>
          <w:rFonts w:cs="Arial"/>
          <w:i/>
        </w:rPr>
        <w:t xml:space="preserve"> in respect of PI claims submitted to arbitration</w:t>
      </w:r>
      <w:r w:rsidR="00C61F4B" w:rsidRPr="00A241F5">
        <w:rPr>
          <w:rFonts w:cs="Arial"/>
          <w:i/>
        </w:rPr>
        <w:t>"</w:t>
      </w:r>
      <w:r w:rsidRPr="00A241F5">
        <w:rPr>
          <w:rFonts w:cs="Arial"/>
        </w:rPr>
        <w:t xml:space="preserve">.  The HKBA likewise suggested that </w:t>
      </w:r>
      <w:r w:rsidR="00C61F4B" w:rsidRPr="00A241F5">
        <w:rPr>
          <w:rFonts w:cs="Arial"/>
          <w:i/>
        </w:rPr>
        <w:t>"</w:t>
      </w:r>
      <w:r w:rsidRPr="00A241F5">
        <w:rPr>
          <w:rFonts w:cs="Arial"/>
          <w:i/>
        </w:rPr>
        <w:t>arbitrations involving personal injuries should be excluded from the scope of any law reform to permit ORFS</w:t>
      </w:r>
      <w:r w:rsidR="00C61F4B" w:rsidRPr="00A241F5">
        <w:rPr>
          <w:rFonts w:cs="Arial"/>
          <w:i/>
        </w:rPr>
        <w:t>"</w:t>
      </w:r>
      <w:r w:rsidRPr="00A241F5">
        <w:rPr>
          <w:rFonts w:cs="Arial"/>
        </w:rPr>
        <w:t>.</w:t>
      </w:r>
    </w:p>
    <w:p w14:paraId="70C1C2CE" w14:textId="506F1CAC" w:rsidR="0045386A" w:rsidRDefault="0045386A" w:rsidP="0045386A">
      <w:pPr>
        <w:widowControl/>
        <w:tabs>
          <w:tab w:val="clear" w:pos="1418"/>
          <w:tab w:val="left" w:pos="1440"/>
        </w:tabs>
        <w:rPr>
          <w:rFonts w:cs="Arial"/>
        </w:rPr>
      </w:pPr>
    </w:p>
    <w:p w14:paraId="51ABC68E" w14:textId="77777777" w:rsidR="00883469" w:rsidRPr="00A241F5" w:rsidRDefault="00883469" w:rsidP="0045386A">
      <w:pPr>
        <w:widowControl/>
        <w:tabs>
          <w:tab w:val="clear" w:pos="1418"/>
          <w:tab w:val="left" w:pos="1440"/>
        </w:tabs>
        <w:rPr>
          <w:rFonts w:cs="Arial"/>
        </w:rPr>
      </w:pPr>
    </w:p>
    <w:p w14:paraId="545B54B1" w14:textId="0CA678CE" w:rsidR="0045386A" w:rsidRPr="00A241F5" w:rsidRDefault="0045386A" w:rsidP="0045386A">
      <w:pPr>
        <w:rPr>
          <w:b/>
          <w:i/>
          <w:szCs w:val="28"/>
        </w:rPr>
      </w:pPr>
      <w:r w:rsidRPr="00A241F5">
        <w:rPr>
          <w:b/>
          <w:i/>
          <w:szCs w:val="28"/>
        </w:rPr>
        <w:t>Comments from Respondents who opposed Recommendation 13(</w:t>
      </w:r>
      <w:r w:rsidR="00EB55E9" w:rsidRPr="00A241F5">
        <w:rPr>
          <w:b/>
          <w:i/>
          <w:szCs w:val="28"/>
        </w:rPr>
        <w:t>c</w:t>
      </w:r>
      <w:r w:rsidRPr="00A241F5">
        <w:rPr>
          <w:b/>
          <w:i/>
          <w:szCs w:val="28"/>
        </w:rPr>
        <w:t>)</w:t>
      </w:r>
    </w:p>
    <w:p w14:paraId="4ECCEDE1" w14:textId="77777777" w:rsidR="0045386A" w:rsidRPr="00A241F5" w:rsidRDefault="0045386A" w:rsidP="0045386A"/>
    <w:p w14:paraId="26CEB9F1" w14:textId="75D192F1" w:rsidR="0045386A" w:rsidRPr="00A241F5" w:rsidRDefault="0045386A" w:rsidP="0045386A">
      <w:pPr>
        <w:widowControl/>
        <w:tabs>
          <w:tab w:val="clear" w:pos="1418"/>
          <w:tab w:val="left" w:pos="1440"/>
        </w:tabs>
        <w:rPr>
          <w:rFonts w:cs="Arial"/>
        </w:rPr>
      </w:pPr>
      <w:r w:rsidRPr="00A241F5">
        <w:rPr>
          <w:rFonts w:cs="Arial"/>
        </w:rPr>
        <w:t>14.49</w:t>
      </w:r>
      <w:r w:rsidRPr="00A241F5">
        <w:rPr>
          <w:rFonts w:cs="Arial"/>
        </w:rPr>
        <w:tab/>
        <w:t xml:space="preserve">No Respondents expressly opposed the recommendation to exclude personal injury claims from the scope of any ORFS </w:t>
      </w:r>
      <w:r w:rsidR="00FD3F6D" w:rsidRPr="00A241F5">
        <w:rPr>
          <w:rFonts w:cs="Arial"/>
        </w:rPr>
        <w:t xml:space="preserve">regime </w:t>
      </w:r>
      <w:r w:rsidRPr="00A241F5">
        <w:rPr>
          <w:rFonts w:cs="Arial"/>
        </w:rPr>
        <w:t xml:space="preserve">for </w:t>
      </w:r>
      <w:r w:rsidRPr="00A241F5">
        <w:rPr>
          <w:rFonts w:cs="Arial"/>
        </w:rPr>
        <w:lastRenderedPageBreak/>
        <w:t xml:space="preserve">Arbitration.  A number of Respondents were neutral, or opined that it was unlikely for personal injury claims to be arbitrated. </w:t>
      </w:r>
    </w:p>
    <w:p w14:paraId="63C006EC" w14:textId="77777777" w:rsidR="0045386A" w:rsidRPr="00A241F5" w:rsidRDefault="0045386A" w:rsidP="0045386A">
      <w:pPr>
        <w:widowControl/>
        <w:tabs>
          <w:tab w:val="clear" w:pos="1418"/>
          <w:tab w:val="left" w:pos="1440"/>
        </w:tabs>
        <w:rPr>
          <w:rFonts w:cs="Arial"/>
        </w:rPr>
      </w:pPr>
    </w:p>
    <w:p w14:paraId="58D68AA9" w14:textId="6887A95D" w:rsidR="0045386A" w:rsidRPr="00A241F5" w:rsidRDefault="0045386A" w:rsidP="0045386A">
      <w:pPr>
        <w:widowControl/>
        <w:tabs>
          <w:tab w:val="clear" w:pos="1418"/>
          <w:tab w:val="left" w:pos="1440"/>
        </w:tabs>
        <w:rPr>
          <w:rFonts w:cs="Arial"/>
          <w:lang w:val="en-HK"/>
        </w:rPr>
      </w:pPr>
      <w:r w:rsidRPr="00A241F5">
        <w:rPr>
          <w:rFonts w:cs="Arial"/>
        </w:rPr>
        <w:t>14.50</w:t>
      </w:r>
      <w:r w:rsidRPr="00A241F5">
        <w:rPr>
          <w:rFonts w:cs="Arial"/>
        </w:rPr>
        <w:tab/>
        <w:t xml:space="preserve">For example, a litigation funder considered that </w:t>
      </w:r>
      <w:r w:rsidR="00C61F4B" w:rsidRPr="00A241F5">
        <w:rPr>
          <w:rFonts w:cs="Arial"/>
          <w:i/>
        </w:rPr>
        <w:t>"</w:t>
      </w:r>
      <w:r w:rsidRPr="00A241F5">
        <w:rPr>
          <w:rFonts w:cs="Arial"/>
          <w:i/>
        </w:rPr>
        <w:t>the number of personal injury claims referred to arbitration in Hong Kong is likely to be minimal</w:t>
      </w:r>
      <w:r w:rsidR="00C61F4B" w:rsidRPr="00A241F5">
        <w:rPr>
          <w:rFonts w:cs="Arial"/>
          <w:i/>
        </w:rPr>
        <w:t>"</w:t>
      </w:r>
      <w:r w:rsidRPr="00A241F5">
        <w:rPr>
          <w:rFonts w:cs="Arial"/>
        </w:rPr>
        <w:t xml:space="preserve">.  A Government department noted that </w:t>
      </w:r>
      <w:r w:rsidR="00C61F4B" w:rsidRPr="00A241F5">
        <w:rPr>
          <w:rFonts w:cs="Arial"/>
          <w:i/>
        </w:rPr>
        <w:t>"</w:t>
      </w:r>
      <w:r w:rsidRPr="00A241F5">
        <w:rPr>
          <w:rFonts w:cs="Arial"/>
          <w:i/>
        </w:rPr>
        <w:t>in practice, arbitration is not common for settling personal injury claims.  Arbitrations taking place in Hong Kong usually involve commercial parties, corporations and similar entities, rather than individuals</w:t>
      </w:r>
      <w:r w:rsidR="00C61F4B" w:rsidRPr="00A241F5">
        <w:rPr>
          <w:rFonts w:cs="Arial"/>
          <w:i/>
        </w:rPr>
        <w:t>"</w:t>
      </w:r>
      <w:r w:rsidRPr="00A241F5">
        <w:rPr>
          <w:rFonts w:cs="Arial"/>
          <w:i/>
        </w:rPr>
        <w:t>.</w:t>
      </w:r>
      <w:r w:rsidRPr="00A241F5">
        <w:rPr>
          <w:rFonts w:cs="Arial"/>
        </w:rPr>
        <w:t xml:space="preserve">  It concluded: </w:t>
      </w:r>
      <w:r w:rsidR="00C61F4B" w:rsidRPr="00A241F5">
        <w:rPr>
          <w:rFonts w:cs="Arial"/>
          <w:i/>
        </w:rPr>
        <w:t>"</w:t>
      </w:r>
      <w:r w:rsidRPr="00A241F5">
        <w:rPr>
          <w:rFonts w:cs="Arial"/>
          <w:i/>
        </w:rPr>
        <w:t>It therefore appears that the introduction of ORFSs for Arbitration would have limited impact on the current practice in resolving personal injury disputes</w:t>
      </w:r>
      <w:r w:rsidR="00033640" w:rsidRPr="00A241F5">
        <w:rPr>
          <w:rFonts w:cs="Arial"/>
          <w:i/>
        </w:rPr>
        <w:t>.</w:t>
      </w:r>
      <w:r w:rsidR="00C61F4B" w:rsidRPr="00A241F5" w:rsidDel="00C044A3">
        <w:rPr>
          <w:rFonts w:cs="Arial"/>
          <w:i/>
        </w:rPr>
        <w:t>"</w:t>
      </w:r>
    </w:p>
    <w:p w14:paraId="39926A0F" w14:textId="77777777" w:rsidR="0045386A" w:rsidRPr="00A241F5" w:rsidRDefault="0045386A" w:rsidP="0045386A">
      <w:pPr>
        <w:rPr>
          <w:lang w:val="en-HK"/>
        </w:rPr>
      </w:pPr>
    </w:p>
    <w:p w14:paraId="40FB942C" w14:textId="77777777" w:rsidR="0045386A" w:rsidRPr="00A241F5" w:rsidRDefault="0045386A" w:rsidP="0045386A">
      <w:pPr>
        <w:rPr>
          <w:lang w:val="en-HK"/>
        </w:rPr>
      </w:pPr>
    </w:p>
    <w:p w14:paraId="0E7023D8" w14:textId="77777777" w:rsidR="0045386A" w:rsidRPr="00A241F5" w:rsidRDefault="0045386A" w:rsidP="0045386A">
      <w:pPr>
        <w:pStyle w:val="Heading2"/>
        <w:keepLines/>
        <w:widowControl/>
        <w:tabs>
          <w:tab w:val="clear" w:pos="1418"/>
          <w:tab w:val="left" w:pos="1440"/>
        </w:tabs>
        <w:rPr>
          <w:rFonts w:cs="Arial"/>
        </w:rPr>
      </w:pPr>
      <w:r w:rsidRPr="00A241F5">
        <w:rPr>
          <w:rFonts w:cs="Arial"/>
        </w:rPr>
        <w:t>Our analysis and response</w:t>
      </w:r>
    </w:p>
    <w:p w14:paraId="7F1BD05C" w14:textId="77777777" w:rsidR="0045386A" w:rsidRPr="00A241F5" w:rsidRDefault="0045386A" w:rsidP="0045386A">
      <w:pPr>
        <w:keepNext/>
        <w:keepLines/>
      </w:pPr>
    </w:p>
    <w:p w14:paraId="691550C8" w14:textId="2FC5F487" w:rsidR="0045386A" w:rsidRPr="00A241F5" w:rsidRDefault="0045386A" w:rsidP="0045386A">
      <w:pPr>
        <w:keepNext/>
        <w:keepLines/>
        <w:widowControl/>
        <w:tabs>
          <w:tab w:val="clear" w:pos="1418"/>
          <w:tab w:val="left" w:pos="1440"/>
        </w:tabs>
        <w:rPr>
          <w:rFonts w:cs="Arial"/>
        </w:rPr>
      </w:pPr>
      <w:r w:rsidRPr="00A241F5">
        <w:rPr>
          <w:rFonts w:cs="Arial"/>
        </w:rPr>
        <w:t>14.51</w:t>
      </w:r>
      <w:r w:rsidRPr="00A241F5">
        <w:rPr>
          <w:rFonts w:cs="Arial"/>
        </w:rPr>
        <w:tab/>
        <w:t>We agree with the Sub-committee, and with a number of Respondents, that personal injury claims will rarely be arbitrated.  Where a person is injured in the workplace in Hong Kong, he or she will typically have a claim for statutory compensation under the Employees</w:t>
      </w:r>
      <w:r w:rsidR="00C61F4B" w:rsidRPr="00A241F5">
        <w:rPr>
          <w:rFonts w:cs="Arial"/>
        </w:rPr>
        <w:t>'</w:t>
      </w:r>
      <w:r w:rsidRPr="00A241F5">
        <w:rPr>
          <w:rFonts w:cs="Arial"/>
        </w:rPr>
        <w:t xml:space="preserve"> Compensation Ordinance (Cap 282).  Claims for common law damages for workplace injuries and injuries suffered outside the workplace are more likely to come before the courts</w:t>
      </w:r>
      <w:r w:rsidRPr="00A241F5">
        <w:rPr>
          <w:rStyle w:val="FootnoteReference"/>
          <w:rFonts w:cs="Arial"/>
          <w:sz w:val="24"/>
        </w:rPr>
        <w:footnoteReference w:id="94"/>
      </w:r>
      <w:r w:rsidRPr="00A241F5">
        <w:rPr>
          <w:rFonts w:cs="Arial"/>
        </w:rPr>
        <w:t xml:space="preserve"> (</w:t>
      </w:r>
      <w:r w:rsidR="00A10EC2" w:rsidRPr="00A241F5">
        <w:rPr>
          <w:rFonts w:cs="Arial"/>
        </w:rPr>
        <w:t>c</w:t>
      </w:r>
      <w:r w:rsidRPr="00A241F5">
        <w:rPr>
          <w:rFonts w:cs="Arial"/>
        </w:rPr>
        <w:t xml:space="preserve">laims against insurers are the most likely exception to the general rule, as many insurance policies provide for disputes to be resolved by arbitration). </w:t>
      </w:r>
    </w:p>
    <w:p w14:paraId="71C8F021" w14:textId="77777777" w:rsidR="0045386A" w:rsidRPr="00A241F5" w:rsidRDefault="0045386A" w:rsidP="0045386A">
      <w:pPr>
        <w:widowControl/>
        <w:tabs>
          <w:tab w:val="clear" w:pos="1418"/>
          <w:tab w:val="left" w:pos="1440"/>
        </w:tabs>
        <w:rPr>
          <w:rFonts w:cs="Arial"/>
        </w:rPr>
      </w:pPr>
    </w:p>
    <w:p w14:paraId="44B11C45" w14:textId="4E5A4617" w:rsidR="0045386A" w:rsidRPr="00A241F5" w:rsidRDefault="0045386A" w:rsidP="0045386A">
      <w:pPr>
        <w:widowControl/>
        <w:tabs>
          <w:tab w:val="clear" w:pos="1418"/>
          <w:tab w:val="left" w:pos="1440"/>
        </w:tabs>
        <w:rPr>
          <w:rFonts w:cs="Arial"/>
        </w:rPr>
      </w:pPr>
      <w:r w:rsidRPr="00A241F5">
        <w:rPr>
          <w:rFonts w:cs="Arial"/>
        </w:rPr>
        <w:t>14.52</w:t>
      </w:r>
      <w:r w:rsidRPr="00A241F5">
        <w:rPr>
          <w:rFonts w:cs="Arial"/>
        </w:rPr>
        <w:tab/>
        <w:t xml:space="preserve">Nevertheless, as is evident from the Consultation Paper, in jurisdictions where ORFSs are permitted for personal injury claims, some Lawyers and claims intermediaries do engage in ambulance chasing.  Such practices are obviously undesirable, not least because they target vulnerable individuals and undermine public confidence in the legal profession.  </w:t>
      </w:r>
    </w:p>
    <w:p w14:paraId="59966DB0" w14:textId="77777777" w:rsidR="0045386A" w:rsidRPr="00A241F5" w:rsidRDefault="0045386A" w:rsidP="0045386A">
      <w:pPr>
        <w:widowControl/>
        <w:tabs>
          <w:tab w:val="clear" w:pos="1418"/>
          <w:tab w:val="left" w:pos="1440"/>
        </w:tabs>
        <w:rPr>
          <w:rFonts w:cs="Arial"/>
        </w:rPr>
      </w:pPr>
    </w:p>
    <w:p w14:paraId="7AFAE4FB" w14:textId="125E851D" w:rsidR="0045386A" w:rsidRPr="00A241F5" w:rsidRDefault="0045386A" w:rsidP="0045386A">
      <w:pPr>
        <w:widowControl/>
        <w:tabs>
          <w:tab w:val="clear" w:pos="1418"/>
          <w:tab w:val="left" w:pos="1440"/>
        </w:tabs>
        <w:rPr>
          <w:rFonts w:cs="Arial"/>
        </w:rPr>
      </w:pPr>
      <w:r w:rsidRPr="00A241F5">
        <w:rPr>
          <w:rFonts w:cs="Arial"/>
        </w:rPr>
        <w:t>14.53</w:t>
      </w:r>
      <w:r w:rsidRPr="00A241F5">
        <w:rPr>
          <w:rFonts w:cs="Arial"/>
        </w:rPr>
        <w:tab/>
        <w:t xml:space="preserve">It is clear that a majority of Respondents are genuinely concerned about allowing Lawyers to offer ORFSs for Arbitration to individuals who have suffered personal injuries and are seeking compensation. </w:t>
      </w:r>
      <w:r w:rsidR="00A10EC2" w:rsidRPr="00A241F5">
        <w:rPr>
          <w:rFonts w:cs="Arial"/>
        </w:rPr>
        <w:t xml:space="preserve"> </w:t>
      </w:r>
      <w:r w:rsidRPr="00A241F5">
        <w:rPr>
          <w:rFonts w:cs="Arial"/>
        </w:rPr>
        <w:t xml:space="preserve">These concerns are shared by both regulators of the legal profession in Hong Kong: the Law Society and the HKBA. </w:t>
      </w:r>
    </w:p>
    <w:p w14:paraId="062F6E8B" w14:textId="77777777" w:rsidR="0045386A" w:rsidRPr="00A241F5" w:rsidRDefault="0045386A" w:rsidP="0045386A">
      <w:pPr>
        <w:widowControl/>
        <w:tabs>
          <w:tab w:val="clear" w:pos="1418"/>
          <w:tab w:val="left" w:pos="1440"/>
        </w:tabs>
        <w:rPr>
          <w:rFonts w:cs="Arial"/>
        </w:rPr>
      </w:pPr>
    </w:p>
    <w:p w14:paraId="64B079A0" w14:textId="4D9D5F7A" w:rsidR="0045386A" w:rsidRPr="00A241F5" w:rsidRDefault="0045386A" w:rsidP="0045386A">
      <w:pPr>
        <w:widowControl/>
        <w:tabs>
          <w:tab w:val="clear" w:pos="1418"/>
          <w:tab w:val="left" w:pos="1440"/>
        </w:tabs>
        <w:rPr>
          <w:rFonts w:cs="Arial"/>
        </w:rPr>
      </w:pPr>
      <w:r w:rsidRPr="00A241F5">
        <w:rPr>
          <w:rFonts w:cs="Arial"/>
        </w:rPr>
        <w:t>14.54</w:t>
      </w:r>
      <w:r w:rsidRPr="00A241F5">
        <w:rPr>
          <w:rFonts w:cs="Arial"/>
        </w:rPr>
        <w:tab/>
        <w:t>We understand and appreciate these concerns, and agree that individuals are generally more vulnerable to exploitation by unscrupulous professionals than corporate entities, wh</w:t>
      </w:r>
      <w:r w:rsidR="00EB55E9" w:rsidRPr="00A241F5">
        <w:rPr>
          <w:rFonts w:cs="Arial"/>
        </w:rPr>
        <w:t>ich</w:t>
      </w:r>
      <w:r w:rsidRPr="00A241F5">
        <w:rPr>
          <w:rFonts w:cs="Arial"/>
        </w:rPr>
        <w:t xml:space="preserve"> will typically be more sophisticated and more frequent users of arbitration. </w:t>
      </w:r>
    </w:p>
    <w:p w14:paraId="6136D2A1" w14:textId="77777777" w:rsidR="0045386A" w:rsidRPr="00A241F5" w:rsidRDefault="0045386A" w:rsidP="0045386A">
      <w:pPr>
        <w:widowControl/>
        <w:tabs>
          <w:tab w:val="clear" w:pos="1418"/>
          <w:tab w:val="left" w:pos="1440"/>
        </w:tabs>
        <w:rPr>
          <w:rFonts w:cs="Arial"/>
        </w:rPr>
      </w:pPr>
    </w:p>
    <w:p w14:paraId="0F3B4CB9" w14:textId="0FB908BC" w:rsidR="0045386A" w:rsidRPr="00A241F5" w:rsidRDefault="0045386A" w:rsidP="0045386A">
      <w:pPr>
        <w:widowControl/>
        <w:tabs>
          <w:tab w:val="clear" w:pos="1418"/>
          <w:tab w:val="left" w:pos="1440"/>
        </w:tabs>
        <w:rPr>
          <w:rFonts w:cs="Arial"/>
        </w:rPr>
      </w:pPr>
      <w:r w:rsidRPr="00A241F5">
        <w:rPr>
          <w:rFonts w:cs="Arial"/>
        </w:rPr>
        <w:t>14.55</w:t>
      </w:r>
      <w:r w:rsidRPr="00A241F5">
        <w:rPr>
          <w:rFonts w:cs="Arial"/>
        </w:rPr>
        <w:tab/>
        <w:t xml:space="preserve">In our view, personal injury claims would be only a very small minority of the cases arbitrated in Hong Kong, and only a very small minority of Lawyers and claims intermediaries would ever attempt to exploit individual claimants by charging unreasonable ORFS fees. </w:t>
      </w:r>
    </w:p>
    <w:p w14:paraId="70FB0DB3" w14:textId="77777777" w:rsidR="0045386A" w:rsidRPr="00A241F5" w:rsidRDefault="0045386A" w:rsidP="0045386A">
      <w:pPr>
        <w:widowControl/>
        <w:tabs>
          <w:tab w:val="clear" w:pos="1418"/>
          <w:tab w:val="left" w:pos="1440"/>
        </w:tabs>
        <w:rPr>
          <w:rFonts w:cs="Arial"/>
        </w:rPr>
      </w:pPr>
    </w:p>
    <w:p w14:paraId="6A498A94" w14:textId="4890CDB1" w:rsidR="0045386A" w:rsidRPr="00A241F5" w:rsidRDefault="0045386A" w:rsidP="0045386A">
      <w:pPr>
        <w:widowControl/>
        <w:tabs>
          <w:tab w:val="clear" w:pos="1418"/>
          <w:tab w:val="left" w:pos="1440"/>
        </w:tabs>
        <w:rPr>
          <w:rFonts w:cs="Arial"/>
        </w:rPr>
      </w:pPr>
      <w:r w:rsidRPr="00A241F5">
        <w:rPr>
          <w:rFonts w:cs="Arial"/>
        </w:rPr>
        <w:lastRenderedPageBreak/>
        <w:t>14.56</w:t>
      </w:r>
      <w:r w:rsidRPr="00A241F5">
        <w:rPr>
          <w:rFonts w:cs="Arial"/>
        </w:rPr>
        <w:tab/>
        <w:t>Nevertheless, a number of Respondents have clearly indicated that they would oppose extending ORFSs to Arbitration of personal injury claims.</w:t>
      </w:r>
    </w:p>
    <w:p w14:paraId="22564807" w14:textId="77777777" w:rsidR="0045386A" w:rsidRPr="00A241F5" w:rsidRDefault="0045386A" w:rsidP="0045386A">
      <w:pPr>
        <w:widowControl/>
        <w:tabs>
          <w:tab w:val="clear" w:pos="1418"/>
          <w:tab w:val="left" w:pos="1440"/>
        </w:tabs>
        <w:rPr>
          <w:rFonts w:cs="Arial"/>
        </w:rPr>
      </w:pPr>
      <w:r w:rsidRPr="00A241F5">
        <w:rPr>
          <w:rFonts w:cs="Arial"/>
        </w:rPr>
        <w:t xml:space="preserve"> </w:t>
      </w:r>
    </w:p>
    <w:p w14:paraId="6315FC79" w14:textId="12EF4573" w:rsidR="0045386A" w:rsidRPr="00A241F5" w:rsidRDefault="0045386A" w:rsidP="0045386A">
      <w:pPr>
        <w:widowControl/>
        <w:tabs>
          <w:tab w:val="clear" w:pos="1418"/>
          <w:tab w:val="left" w:pos="1440"/>
        </w:tabs>
        <w:rPr>
          <w:rFonts w:cs="Arial"/>
        </w:rPr>
      </w:pPr>
      <w:r w:rsidRPr="00A241F5">
        <w:rPr>
          <w:rFonts w:cs="Arial"/>
        </w:rPr>
        <w:t>14.57</w:t>
      </w:r>
      <w:r w:rsidRPr="00A241F5">
        <w:rPr>
          <w:rFonts w:cs="Arial"/>
        </w:rPr>
        <w:tab/>
        <w:t>In light of this, we recommend that</w:t>
      </w:r>
      <w:r w:rsidR="009850DA" w:rsidRPr="00A241F5">
        <w:rPr>
          <w:rFonts w:cs="Arial"/>
        </w:rPr>
        <w:t xml:space="preserve"> ORFS</w:t>
      </w:r>
      <w:r w:rsidR="000465D7" w:rsidRPr="00A241F5">
        <w:rPr>
          <w:rFonts w:cs="Arial"/>
        </w:rPr>
        <w:t>s</w:t>
      </w:r>
      <w:r w:rsidR="009850DA" w:rsidRPr="00A241F5">
        <w:rPr>
          <w:rFonts w:cs="Arial"/>
        </w:rPr>
        <w:t xml:space="preserve"> for Arbitration should be void and unenforceable to the extent that </w:t>
      </w:r>
      <w:r w:rsidR="000465D7" w:rsidRPr="00A241F5">
        <w:rPr>
          <w:rFonts w:cs="Arial"/>
        </w:rPr>
        <w:t>they</w:t>
      </w:r>
      <w:r w:rsidR="009850DA" w:rsidRPr="00A241F5">
        <w:rPr>
          <w:rFonts w:cs="Arial"/>
        </w:rPr>
        <w:t xml:space="preserve"> relate to personal injur</w:t>
      </w:r>
      <w:r w:rsidR="000465D7" w:rsidRPr="00A241F5">
        <w:rPr>
          <w:rFonts w:cs="Arial"/>
        </w:rPr>
        <w:t>y</w:t>
      </w:r>
      <w:r w:rsidR="009850DA" w:rsidRPr="00A241F5">
        <w:rPr>
          <w:rFonts w:cs="Arial"/>
        </w:rPr>
        <w:t xml:space="preserve"> claim</w:t>
      </w:r>
      <w:r w:rsidR="000465D7" w:rsidRPr="00A241F5">
        <w:rPr>
          <w:rFonts w:cs="Arial"/>
        </w:rPr>
        <w:t>s</w:t>
      </w:r>
      <w:r w:rsidR="003D2947" w:rsidRPr="00A241F5">
        <w:rPr>
          <w:rFonts w:cs="Arial"/>
        </w:rPr>
        <w:t>.</w:t>
      </w:r>
      <w:r w:rsidR="003D2947" w:rsidRPr="00A241F5">
        <w:rPr>
          <w:rStyle w:val="FootnoteReference"/>
          <w:rFonts w:cs="Arial"/>
          <w:sz w:val="24"/>
        </w:rPr>
        <w:footnoteReference w:id="95"/>
      </w:r>
      <w:r w:rsidRPr="00A241F5">
        <w:rPr>
          <w:rFonts w:cs="Arial"/>
        </w:rPr>
        <w:t xml:space="preserve">  However, we are mindful of the possibility that </w:t>
      </w:r>
      <w:r w:rsidR="009850DA" w:rsidRPr="00A241F5">
        <w:rPr>
          <w:rFonts w:cs="Arial"/>
        </w:rPr>
        <w:t xml:space="preserve">prescribing </w:t>
      </w:r>
      <w:r w:rsidRPr="00A241F5">
        <w:rPr>
          <w:rFonts w:cs="Arial"/>
        </w:rPr>
        <w:t>ORFSs for personal injur</w:t>
      </w:r>
      <w:r w:rsidR="000465D7" w:rsidRPr="00A241F5">
        <w:rPr>
          <w:rFonts w:cs="Arial"/>
        </w:rPr>
        <w:t>y</w:t>
      </w:r>
      <w:r w:rsidRPr="00A241F5">
        <w:rPr>
          <w:rFonts w:cs="Arial"/>
        </w:rPr>
        <w:t xml:space="preserve"> Arbitrations </w:t>
      </w:r>
      <w:r w:rsidR="009850DA" w:rsidRPr="00A241F5">
        <w:rPr>
          <w:rFonts w:cs="Arial"/>
        </w:rPr>
        <w:t xml:space="preserve">to be void and unenforceable </w:t>
      </w:r>
      <w:r w:rsidRPr="00A241F5">
        <w:rPr>
          <w:rFonts w:cs="Arial"/>
        </w:rPr>
        <w:t>could adversely affect parties</w:t>
      </w:r>
      <w:r w:rsidR="00C61F4B" w:rsidRPr="00A241F5">
        <w:rPr>
          <w:rFonts w:cs="Arial"/>
        </w:rPr>
        <w:t>'</w:t>
      </w:r>
      <w:r w:rsidRPr="00A241F5">
        <w:rPr>
          <w:rFonts w:cs="Arial"/>
        </w:rPr>
        <w:t xml:space="preserve"> ability to pursue personal injury claims against their insurers (whose policies frequently require disputes to be resolved by arbitration), we recommend that this be reviewed two to three years after implementation of the ORFS regime.</w:t>
      </w:r>
    </w:p>
    <w:p w14:paraId="5D83962E" w14:textId="77777777" w:rsidR="0045386A" w:rsidRPr="00A241F5" w:rsidRDefault="0045386A" w:rsidP="0045386A"/>
    <w:p w14:paraId="1C2555F4" w14:textId="77777777" w:rsidR="0045386A" w:rsidRPr="00A241F5" w:rsidRDefault="0045386A" w:rsidP="0045386A"/>
    <w:p w14:paraId="5F5F330D" w14:textId="77777777" w:rsidR="0045386A" w:rsidRPr="00A241F5" w:rsidRDefault="0045386A" w:rsidP="0045386A">
      <w:pPr>
        <w:pStyle w:val="Heading1"/>
        <w:keepLines/>
        <w:widowControl/>
        <w:tabs>
          <w:tab w:val="clear" w:pos="1418"/>
          <w:tab w:val="left" w:pos="1440"/>
        </w:tabs>
        <w:rPr>
          <w:i/>
          <w:sz w:val="24"/>
        </w:rPr>
      </w:pPr>
      <w:r w:rsidRPr="00A241F5">
        <w:rPr>
          <w:i/>
          <w:sz w:val="24"/>
        </w:rPr>
        <w:t xml:space="preserve">Comments from Respondents on Recommendation 13(d) </w:t>
      </w:r>
    </w:p>
    <w:p w14:paraId="62366984" w14:textId="77777777" w:rsidR="0045386A" w:rsidRPr="00A241F5" w:rsidRDefault="0045386A" w:rsidP="0045386A">
      <w:pPr>
        <w:rPr>
          <w:i/>
        </w:rPr>
      </w:pPr>
    </w:p>
    <w:p w14:paraId="5C7AC717" w14:textId="257342B3" w:rsidR="0045386A" w:rsidRPr="00A241F5" w:rsidRDefault="0045386A" w:rsidP="0045386A">
      <w:pPr>
        <w:widowControl/>
        <w:tabs>
          <w:tab w:val="clear" w:pos="1418"/>
          <w:tab w:val="left" w:pos="1440"/>
        </w:tabs>
        <w:rPr>
          <w:rFonts w:cs="Arial"/>
        </w:rPr>
      </w:pPr>
      <w:r w:rsidRPr="00A241F5">
        <w:rPr>
          <w:rFonts w:cs="Arial"/>
        </w:rPr>
        <w:t>14.58</w:t>
      </w:r>
      <w:r w:rsidRPr="00A241F5">
        <w:rPr>
          <w:rFonts w:cs="Arial"/>
        </w:rPr>
        <w:tab/>
        <w:t xml:space="preserve">There was a limited response to Recommendation 13(d), which asked for views on whether any additional category/ies of claim should be treated differently from other claims that are submitted to Arbitration if ORFSs are introduced. </w:t>
      </w:r>
    </w:p>
    <w:p w14:paraId="6D34AAE6" w14:textId="77777777" w:rsidR="0045386A" w:rsidRPr="00A241F5" w:rsidRDefault="0045386A" w:rsidP="0045386A">
      <w:pPr>
        <w:widowControl/>
        <w:tabs>
          <w:tab w:val="clear" w:pos="1418"/>
          <w:tab w:val="left" w:pos="1440"/>
        </w:tabs>
        <w:rPr>
          <w:rFonts w:cs="Arial"/>
        </w:rPr>
      </w:pPr>
    </w:p>
    <w:p w14:paraId="188D28D3" w14:textId="586AC898" w:rsidR="0045386A" w:rsidRPr="00A241F5" w:rsidRDefault="0045386A" w:rsidP="00F56F83">
      <w:pPr>
        <w:widowControl/>
        <w:tabs>
          <w:tab w:val="clear" w:pos="1418"/>
          <w:tab w:val="left" w:pos="1440"/>
          <w:tab w:val="left" w:pos="2970"/>
        </w:tabs>
        <w:rPr>
          <w:rFonts w:cs="Arial"/>
        </w:rPr>
      </w:pPr>
      <w:r w:rsidRPr="00A241F5">
        <w:rPr>
          <w:rFonts w:cs="Arial"/>
        </w:rPr>
        <w:t>14.59</w:t>
      </w:r>
      <w:r w:rsidRPr="00A241F5">
        <w:rPr>
          <w:rFonts w:cs="Arial"/>
        </w:rPr>
        <w:tab/>
        <w:t xml:space="preserve">Two Respondents (who submitted identical responses) proposed excluding from any ORFS regime </w:t>
      </w:r>
      <w:r w:rsidR="00C61F4B" w:rsidRPr="00A241F5">
        <w:rPr>
          <w:rFonts w:cs="Arial"/>
          <w:i/>
        </w:rPr>
        <w:t>"</w:t>
      </w:r>
      <w:r w:rsidRPr="00A241F5">
        <w:rPr>
          <w:rFonts w:cs="Arial"/>
          <w:i/>
        </w:rPr>
        <w:t>non-commercial claims (other than Investor State dispute claims)</w:t>
      </w:r>
      <w:r w:rsidR="00C61F4B" w:rsidRPr="00A241F5">
        <w:rPr>
          <w:rFonts w:cs="Arial"/>
          <w:i/>
        </w:rPr>
        <w:t>"</w:t>
      </w:r>
      <w:r w:rsidRPr="00A241F5">
        <w:rPr>
          <w:rFonts w:cs="Arial"/>
        </w:rPr>
        <w:t xml:space="preserve">.  A chamber of commerce also recommended that </w:t>
      </w:r>
      <w:r w:rsidR="00C61F4B" w:rsidRPr="00A241F5">
        <w:rPr>
          <w:rFonts w:cs="Arial"/>
          <w:i/>
        </w:rPr>
        <w:t>"</w:t>
      </w:r>
      <w:r w:rsidRPr="00A241F5">
        <w:rPr>
          <w:rFonts w:cs="Arial"/>
          <w:i/>
        </w:rPr>
        <w:t>at least in the initial years of the new regime, ORFSs in arbitration be restricted to commercial claims by businesses</w:t>
      </w:r>
      <w:r w:rsidR="00C61F4B" w:rsidRPr="00A241F5">
        <w:rPr>
          <w:rFonts w:cs="Arial"/>
          <w:i/>
        </w:rPr>
        <w:t>"</w:t>
      </w:r>
      <w:r w:rsidRPr="00A241F5">
        <w:rPr>
          <w:rFonts w:cs="Arial"/>
        </w:rPr>
        <w:t xml:space="preserve">.  An international law firm proposed that employment disputes, investment treaty disputes and State-to-State arbitrations </w:t>
      </w:r>
      <w:r w:rsidR="00C61F4B" w:rsidRPr="00A241F5">
        <w:rPr>
          <w:rFonts w:cs="Arial"/>
          <w:i/>
        </w:rPr>
        <w:t>"</w:t>
      </w:r>
      <w:r w:rsidRPr="00A241F5">
        <w:rPr>
          <w:rFonts w:cs="Arial"/>
          <w:i/>
        </w:rPr>
        <w:t>should be treated differently if ORFSs are introduced</w:t>
      </w:r>
      <w:r w:rsidR="00C61F4B" w:rsidRPr="00A241F5">
        <w:rPr>
          <w:rFonts w:cs="Arial"/>
          <w:i/>
        </w:rPr>
        <w:t>"</w:t>
      </w:r>
      <w:r w:rsidRPr="00A241F5">
        <w:rPr>
          <w:rFonts w:cs="Arial"/>
        </w:rPr>
        <w:t xml:space="preserve">.  It noted that </w:t>
      </w:r>
      <w:r w:rsidR="00C61F4B" w:rsidRPr="00A241F5">
        <w:rPr>
          <w:rFonts w:cs="Arial"/>
          <w:i/>
        </w:rPr>
        <w:t>"</w:t>
      </w:r>
      <w:r w:rsidRPr="00A241F5">
        <w:rPr>
          <w:rFonts w:cs="Arial"/>
          <w:i/>
        </w:rPr>
        <w:t>there may be resistance from respondent States and potentially taxpayers in those States if they are required to make DBA Payments and/or Success Fees</w:t>
      </w:r>
      <w:r w:rsidR="00C61F4B" w:rsidRPr="00A241F5">
        <w:rPr>
          <w:rFonts w:cs="Arial"/>
          <w:i/>
        </w:rPr>
        <w:t>"</w:t>
      </w:r>
      <w:r w:rsidRPr="00A241F5">
        <w:rPr>
          <w:rFonts w:cs="Arial"/>
        </w:rPr>
        <w:t>, and proposed additional consultation on arbitrations involving a state.</w:t>
      </w:r>
    </w:p>
    <w:p w14:paraId="7A63F673" w14:textId="77777777" w:rsidR="0045386A" w:rsidRPr="00A241F5" w:rsidRDefault="0045386A" w:rsidP="0045386A">
      <w:pPr>
        <w:widowControl/>
        <w:tabs>
          <w:tab w:val="clear" w:pos="1418"/>
          <w:tab w:val="left" w:pos="1440"/>
        </w:tabs>
        <w:rPr>
          <w:rFonts w:cs="Arial"/>
        </w:rPr>
      </w:pPr>
    </w:p>
    <w:p w14:paraId="67F284C6" w14:textId="164A8780" w:rsidR="0045386A" w:rsidRPr="00A241F5" w:rsidRDefault="0045386A" w:rsidP="0045386A">
      <w:pPr>
        <w:widowControl/>
        <w:tabs>
          <w:tab w:val="clear" w:pos="1418"/>
          <w:tab w:val="left" w:pos="1440"/>
        </w:tabs>
        <w:rPr>
          <w:rFonts w:cs="Arial"/>
        </w:rPr>
      </w:pPr>
      <w:r w:rsidRPr="00A241F5">
        <w:rPr>
          <w:rFonts w:cs="Arial"/>
        </w:rPr>
        <w:t>14.60</w:t>
      </w:r>
      <w:r w:rsidRPr="00A241F5">
        <w:rPr>
          <w:rFonts w:cs="Arial"/>
        </w:rPr>
        <w:tab/>
        <w:t>Another Respondent, a Government department, disagreed:</w:t>
      </w:r>
    </w:p>
    <w:p w14:paraId="5DDC8874" w14:textId="77777777" w:rsidR="0045386A" w:rsidRPr="00A241F5" w:rsidRDefault="0045386A" w:rsidP="0045386A">
      <w:pPr>
        <w:widowControl/>
        <w:tabs>
          <w:tab w:val="clear" w:pos="1418"/>
          <w:tab w:val="left" w:pos="1440"/>
        </w:tabs>
        <w:rPr>
          <w:rFonts w:cs="Arial"/>
        </w:rPr>
      </w:pPr>
    </w:p>
    <w:p w14:paraId="706BB2E3" w14:textId="5FF1EB13" w:rsidR="0045386A" w:rsidRPr="00A241F5" w:rsidRDefault="00C61F4B" w:rsidP="0045386A">
      <w:pPr>
        <w:pStyle w:val="BlockText"/>
      </w:pPr>
      <w:r w:rsidRPr="00A241F5">
        <w:t>"</w:t>
      </w:r>
      <w:r w:rsidR="0045386A" w:rsidRPr="00A241F5">
        <w:t>Consistent with the Government</w:t>
      </w:r>
      <w:r w:rsidRPr="00A241F5">
        <w:t>'</w:t>
      </w:r>
      <w:r w:rsidR="0045386A" w:rsidRPr="00A241F5">
        <w:t>s approach towards legislating for third party funding for arbitration, there seems to be no practical need to expressly exclude a particular category of claims from the proposed ORFS framework.  We are of the view that the use of ORFSs should be limited to matters which are arbitrable (i.e. capable of settlement by arbitration) under the relevant laws</w:t>
      </w:r>
      <w:r w:rsidR="00033640" w:rsidRPr="00A241F5">
        <w:t>.</w:t>
      </w:r>
      <w:r w:rsidRPr="00A241F5">
        <w:t>"</w:t>
      </w:r>
      <w:r w:rsidR="0045386A" w:rsidRPr="00A241F5">
        <w:t xml:space="preserve"> </w:t>
      </w:r>
    </w:p>
    <w:p w14:paraId="6EBAAC1E" w14:textId="77777777" w:rsidR="0045386A" w:rsidRPr="00A241F5" w:rsidRDefault="0045386A" w:rsidP="0045386A">
      <w:pPr>
        <w:widowControl/>
        <w:tabs>
          <w:tab w:val="clear" w:pos="1418"/>
          <w:tab w:val="left" w:pos="1440"/>
        </w:tabs>
        <w:rPr>
          <w:rFonts w:cs="Arial"/>
        </w:rPr>
      </w:pPr>
    </w:p>
    <w:p w14:paraId="0A69EC45" w14:textId="443CF4EB" w:rsidR="0045386A" w:rsidRPr="00A241F5" w:rsidRDefault="0045386A" w:rsidP="00C61F4B">
      <w:pPr>
        <w:keepNext/>
        <w:keepLines/>
        <w:widowControl/>
        <w:tabs>
          <w:tab w:val="clear" w:pos="1418"/>
          <w:tab w:val="left" w:pos="1440"/>
        </w:tabs>
        <w:rPr>
          <w:rFonts w:cs="Arial"/>
        </w:rPr>
      </w:pPr>
      <w:r w:rsidRPr="00A241F5">
        <w:rPr>
          <w:rFonts w:cs="Arial"/>
        </w:rPr>
        <w:t>14.61</w:t>
      </w:r>
      <w:r w:rsidRPr="00A241F5">
        <w:rPr>
          <w:rFonts w:cs="Arial"/>
        </w:rPr>
        <w:tab/>
        <w:t>This Respondent noted that the Arbitration Ordinance:</w:t>
      </w:r>
    </w:p>
    <w:p w14:paraId="1C99BFCD" w14:textId="77777777" w:rsidR="0045386A" w:rsidRPr="00A241F5" w:rsidRDefault="0045386A" w:rsidP="0045386A">
      <w:pPr>
        <w:widowControl/>
        <w:tabs>
          <w:tab w:val="clear" w:pos="1418"/>
          <w:tab w:val="left" w:pos="1440"/>
        </w:tabs>
        <w:rPr>
          <w:rFonts w:cs="Arial"/>
        </w:rPr>
      </w:pPr>
    </w:p>
    <w:p w14:paraId="515FDFCE" w14:textId="5119B120" w:rsidR="0045386A" w:rsidRPr="00A241F5" w:rsidRDefault="00C61F4B" w:rsidP="0045386A">
      <w:pPr>
        <w:widowControl/>
        <w:tabs>
          <w:tab w:val="clear" w:pos="1418"/>
          <w:tab w:val="left" w:pos="1440"/>
        </w:tabs>
        <w:ind w:left="720" w:right="720"/>
        <w:rPr>
          <w:rFonts w:cs="Arial"/>
        </w:rPr>
      </w:pPr>
      <w:r w:rsidRPr="00A241F5">
        <w:rPr>
          <w:rFonts w:cs="Arial"/>
          <w:i/>
        </w:rPr>
        <w:t>"</w:t>
      </w:r>
      <w:r w:rsidR="00482099" w:rsidRPr="00A241F5">
        <w:rPr>
          <w:rFonts w:cs="Arial"/>
        </w:rPr>
        <w:t>...</w:t>
      </w:r>
      <w:r w:rsidR="003B7019" w:rsidRPr="00A241F5">
        <w:rPr>
          <w:rFonts w:cs="Arial"/>
        </w:rPr>
        <w:t xml:space="preserve"> </w:t>
      </w:r>
      <w:r w:rsidR="0045386A" w:rsidRPr="00A241F5">
        <w:rPr>
          <w:rFonts w:cs="Arial"/>
          <w:i/>
        </w:rPr>
        <w:t xml:space="preserve">does not explicitly exclude any specific categories of claims from arbitration, but provides that an arbitral award may be set aside by the court if (i) the subject-matter of the dispute is not capable of settlement by arbitration under the law of Hong Kong; </w:t>
      </w:r>
      <w:r w:rsidR="0045386A" w:rsidRPr="00A241F5">
        <w:rPr>
          <w:rFonts w:cs="Arial"/>
          <w:i/>
        </w:rPr>
        <w:lastRenderedPageBreak/>
        <w:t>or (ii) the award is in conflict with the public policy of Hong Kong.</w:t>
      </w:r>
      <w:r w:rsidR="0045386A" w:rsidRPr="00A241F5">
        <w:rPr>
          <w:rFonts w:cs="Arial"/>
        </w:rPr>
        <w:t xml:space="preserve">  </w:t>
      </w:r>
      <w:r w:rsidR="0045386A" w:rsidRPr="00A241F5">
        <w:rPr>
          <w:rFonts w:cs="Arial"/>
          <w:i/>
        </w:rPr>
        <w:t>Matters that are generally not arbitrable include criminal offences, competition law issues, family matters and disputes that have public policy ramification</w:t>
      </w:r>
      <w:r w:rsidR="00033640" w:rsidRPr="00A241F5">
        <w:rPr>
          <w:rFonts w:cs="Arial"/>
          <w:i/>
        </w:rPr>
        <w:t>.</w:t>
      </w:r>
      <w:r w:rsidRPr="00A241F5">
        <w:rPr>
          <w:rFonts w:cs="Arial"/>
          <w:i/>
        </w:rPr>
        <w:t>"</w:t>
      </w:r>
      <w:r w:rsidR="0045386A" w:rsidRPr="00A241F5">
        <w:rPr>
          <w:rFonts w:cs="Arial"/>
          <w:i/>
        </w:rPr>
        <w:t xml:space="preserve">  </w:t>
      </w:r>
    </w:p>
    <w:p w14:paraId="6619D4D9" w14:textId="77777777" w:rsidR="0045386A" w:rsidRPr="00A241F5" w:rsidRDefault="0045386A" w:rsidP="0045386A">
      <w:pPr>
        <w:widowControl/>
        <w:tabs>
          <w:tab w:val="clear" w:pos="1418"/>
          <w:tab w:val="left" w:pos="1440"/>
        </w:tabs>
        <w:rPr>
          <w:rFonts w:cs="Arial"/>
        </w:rPr>
      </w:pPr>
    </w:p>
    <w:p w14:paraId="08078212" w14:textId="35B3D8EF" w:rsidR="0045386A" w:rsidRPr="00A241F5" w:rsidRDefault="0045386A" w:rsidP="0045386A">
      <w:pPr>
        <w:widowControl/>
        <w:tabs>
          <w:tab w:val="clear" w:pos="1418"/>
          <w:tab w:val="left" w:pos="1440"/>
        </w:tabs>
        <w:rPr>
          <w:rFonts w:cs="Arial"/>
        </w:rPr>
      </w:pPr>
      <w:r w:rsidRPr="00A241F5">
        <w:rPr>
          <w:rFonts w:cs="Arial"/>
        </w:rPr>
        <w:t>In the Respondent</w:t>
      </w:r>
      <w:r w:rsidR="00C61F4B" w:rsidRPr="00A241F5">
        <w:rPr>
          <w:rFonts w:cs="Arial"/>
        </w:rPr>
        <w:t>'</w:t>
      </w:r>
      <w:r w:rsidRPr="00A241F5">
        <w:rPr>
          <w:rFonts w:cs="Arial"/>
        </w:rPr>
        <w:t>s view, the most effective way to limit any ORFS regime for Arbitration in Hong Kong was by reference to arbitrability.</w:t>
      </w:r>
    </w:p>
    <w:p w14:paraId="23159BF9" w14:textId="77777777" w:rsidR="0045386A" w:rsidRPr="00A241F5" w:rsidRDefault="0045386A" w:rsidP="0045386A">
      <w:pPr>
        <w:widowControl/>
        <w:tabs>
          <w:tab w:val="clear" w:pos="1418"/>
          <w:tab w:val="left" w:pos="1440"/>
        </w:tabs>
        <w:rPr>
          <w:rFonts w:cs="Arial"/>
        </w:rPr>
      </w:pPr>
    </w:p>
    <w:p w14:paraId="0F0D521D" w14:textId="19134BBD" w:rsidR="0045386A" w:rsidRPr="00A241F5" w:rsidRDefault="0045386A" w:rsidP="0045386A">
      <w:pPr>
        <w:widowControl/>
        <w:tabs>
          <w:tab w:val="clear" w:pos="1418"/>
          <w:tab w:val="left" w:pos="1440"/>
        </w:tabs>
        <w:rPr>
          <w:rFonts w:cs="Arial"/>
        </w:rPr>
      </w:pPr>
      <w:r w:rsidRPr="00A241F5">
        <w:rPr>
          <w:rFonts w:cs="Arial"/>
        </w:rPr>
        <w:t>14.62</w:t>
      </w:r>
      <w:r w:rsidRPr="00A241F5">
        <w:rPr>
          <w:rFonts w:cs="Arial"/>
        </w:rPr>
        <w:tab/>
        <w:t xml:space="preserve">Another Respondent (a professional </w:t>
      </w:r>
      <w:r w:rsidR="00A10EC2" w:rsidRPr="00A241F5">
        <w:rPr>
          <w:rFonts w:cs="Arial"/>
        </w:rPr>
        <w:t>body</w:t>
      </w:r>
      <w:r w:rsidRPr="00A241F5">
        <w:rPr>
          <w:rFonts w:cs="Arial"/>
        </w:rPr>
        <w:t xml:space="preserve">) observed that </w:t>
      </w:r>
      <w:r w:rsidR="00C61F4B" w:rsidRPr="00A241F5">
        <w:rPr>
          <w:rFonts w:cs="Arial"/>
          <w:i/>
        </w:rPr>
        <w:t>"</w:t>
      </w:r>
      <w:r w:rsidRPr="00A241F5">
        <w:rPr>
          <w:rFonts w:cs="Arial"/>
        </w:rPr>
        <w:t>[</w:t>
      </w:r>
      <w:r w:rsidRPr="00A241F5">
        <w:rPr>
          <w:rFonts w:cs="Arial"/>
          <w:i/>
        </w:rPr>
        <w:t>o</w:t>
      </w:r>
      <w:r w:rsidRPr="00A241F5">
        <w:rPr>
          <w:rFonts w:cs="Arial"/>
        </w:rPr>
        <w:t>]</w:t>
      </w:r>
      <w:r w:rsidRPr="00A241F5">
        <w:rPr>
          <w:rFonts w:cs="Arial"/>
          <w:i/>
        </w:rPr>
        <w:t>ther categories such as labour disputes, probate and matrimonial cases etc are not the subject of arbitration</w:t>
      </w:r>
      <w:r w:rsidR="00C61F4B" w:rsidRPr="00A241F5">
        <w:rPr>
          <w:rFonts w:cs="Arial"/>
          <w:i/>
        </w:rPr>
        <w:t>"</w:t>
      </w:r>
      <w:r w:rsidRPr="00A241F5">
        <w:rPr>
          <w:rFonts w:cs="Arial"/>
        </w:rPr>
        <w:t>.</w:t>
      </w:r>
    </w:p>
    <w:p w14:paraId="0D13CDEC" w14:textId="77777777" w:rsidR="0045386A" w:rsidRPr="00A241F5" w:rsidRDefault="0045386A" w:rsidP="0045386A">
      <w:pPr>
        <w:widowControl/>
        <w:tabs>
          <w:tab w:val="clear" w:pos="1418"/>
          <w:tab w:val="left" w:pos="1440"/>
        </w:tabs>
        <w:rPr>
          <w:rFonts w:cs="Arial"/>
        </w:rPr>
      </w:pPr>
    </w:p>
    <w:p w14:paraId="4BCF90BA" w14:textId="3E4D0793" w:rsidR="0045386A" w:rsidRPr="00A241F5" w:rsidRDefault="0045386A" w:rsidP="0045386A">
      <w:pPr>
        <w:widowControl/>
        <w:tabs>
          <w:tab w:val="clear" w:pos="1418"/>
          <w:tab w:val="left" w:pos="1440"/>
        </w:tabs>
        <w:rPr>
          <w:rFonts w:cs="Arial"/>
        </w:rPr>
      </w:pPr>
      <w:r w:rsidRPr="00A241F5">
        <w:rPr>
          <w:rFonts w:cs="Arial"/>
        </w:rPr>
        <w:t>14.63</w:t>
      </w:r>
      <w:r w:rsidRPr="00A241F5">
        <w:rPr>
          <w:rFonts w:cs="Arial"/>
        </w:rPr>
        <w:tab/>
        <w:t>The majority of Respondents were silent on this question.</w:t>
      </w:r>
    </w:p>
    <w:p w14:paraId="74F02009" w14:textId="77777777" w:rsidR="0045386A" w:rsidRPr="00A241F5" w:rsidRDefault="0045386A" w:rsidP="0045386A">
      <w:pPr>
        <w:widowControl/>
        <w:tabs>
          <w:tab w:val="clear" w:pos="1418"/>
          <w:tab w:val="left" w:pos="1440"/>
        </w:tabs>
        <w:rPr>
          <w:rFonts w:cs="Arial"/>
        </w:rPr>
      </w:pPr>
    </w:p>
    <w:p w14:paraId="3B09EBC3" w14:textId="77777777" w:rsidR="0045386A" w:rsidRPr="00A241F5" w:rsidRDefault="0045386A" w:rsidP="0045386A">
      <w:pPr>
        <w:widowControl/>
        <w:tabs>
          <w:tab w:val="clear" w:pos="1418"/>
          <w:tab w:val="left" w:pos="1440"/>
        </w:tabs>
        <w:rPr>
          <w:rFonts w:cs="Arial"/>
        </w:rPr>
      </w:pPr>
    </w:p>
    <w:p w14:paraId="06A6604D" w14:textId="77777777" w:rsidR="0045386A" w:rsidRPr="00A241F5" w:rsidRDefault="0045386A" w:rsidP="0045386A">
      <w:pPr>
        <w:pStyle w:val="Heading2"/>
        <w:keepLines/>
        <w:widowControl/>
        <w:tabs>
          <w:tab w:val="clear" w:pos="1418"/>
          <w:tab w:val="left" w:pos="1440"/>
        </w:tabs>
        <w:rPr>
          <w:rFonts w:cs="Arial"/>
        </w:rPr>
      </w:pPr>
      <w:r w:rsidRPr="00A241F5">
        <w:rPr>
          <w:rFonts w:cs="Arial"/>
        </w:rPr>
        <w:t>Our analysis and response</w:t>
      </w:r>
    </w:p>
    <w:p w14:paraId="37C90FE3" w14:textId="77777777" w:rsidR="0045386A" w:rsidRPr="00A241F5" w:rsidRDefault="0045386A" w:rsidP="0045386A">
      <w:pPr>
        <w:keepNext/>
        <w:keepLines/>
      </w:pPr>
    </w:p>
    <w:p w14:paraId="37734DDC" w14:textId="16164C6D" w:rsidR="0045386A" w:rsidRPr="00A241F5" w:rsidRDefault="0045386A" w:rsidP="0045386A">
      <w:pPr>
        <w:widowControl/>
        <w:tabs>
          <w:tab w:val="clear" w:pos="1418"/>
          <w:tab w:val="left" w:pos="1440"/>
        </w:tabs>
        <w:rPr>
          <w:rFonts w:cs="Arial"/>
        </w:rPr>
      </w:pPr>
      <w:r w:rsidRPr="00A241F5">
        <w:rPr>
          <w:rFonts w:cs="Arial"/>
        </w:rPr>
        <w:t>14.64</w:t>
      </w:r>
      <w:r w:rsidRPr="00A241F5">
        <w:rPr>
          <w:rFonts w:cs="Arial"/>
        </w:rPr>
        <w:tab/>
        <w:t xml:space="preserve">We have carefully considered the suggestion that any ORFS regime for Arbitration be limited, at least initially, to </w:t>
      </w:r>
      <w:r w:rsidR="00C61F4B" w:rsidRPr="00A241F5">
        <w:rPr>
          <w:rFonts w:cs="Arial"/>
        </w:rPr>
        <w:t>"</w:t>
      </w:r>
      <w:r w:rsidRPr="00A241F5">
        <w:rPr>
          <w:rFonts w:cs="Arial"/>
        </w:rPr>
        <w:t>commercial claims</w:t>
      </w:r>
      <w:r w:rsidR="00C61F4B" w:rsidRPr="00A241F5">
        <w:rPr>
          <w:rFonts w:cs="Arial"/>
        </w:rPr>
        <w:t>"</w:t>
      </w:r>
      <w:r w:rsidRPr="00A241F5">
        <w:rPr>
          <w:rFonts w:cs="Arial"/>
        </w:rPr>
        <w:t xml:space="preserve">. However, we note that there is no definition of </w:t>
      </w:r>
      <w:r w:rsidR="00C61F4B" w:rsidRPr="00A241F5">
        <w:rPr>
          <w:rFonts w:cs="Arial"/>
        </w:rPr>
        <w:t>"</w:t>
      </w:r>
      <w:r w:rsidRPr="00A241F5">
        <w:rPr>
          <w:rFonts w:cs="Arial"/>
        </w:rPr>
        <w:t>commercial claims</w:t>
      </w:r>
      <w:r w:rsidR="00C61F4B" w:rsidRPr="00A241F5">
        <w:rPr>
          <w:rFonts w:cs="Arial"/>
        </w:rPr>
        <w:t>"</w:t>
      </w:r>
      <w:r w:rsidRPr="00A241F5">
        <w:rPr>
          <w:rFonts w:cs="Arial"/>
        </w:rPr>
        <w:t xml:space="preserve"> in the Arbitration Ordinance.  Nor does the Arbitration Ordinance distinguish or define any other category of arbitration.  </w:t>
      </w:r>
      <w:r w:rsidR="00C61F4B" w:rsidRPr="00A241F5">
        <w:rPr>
          <w:rFonts w:cs="Arial"/>
        </w:rPr>
        <w:t>"</w:t>
      </w:r>
      <w:r w:rsidRPr="00A241F5">
        <w:rPr>
          <w:rFonts w:cs="Arial"/>
        </w:rPr>
        <w:t>Arbitration</w:t>
      </w:r>
      <w:r w:rsidR="00C61F4B" w:rsidRPr="00A241F5">
        <w:rPr>
          <w:rFonts w:cs="Arial"/>
        </w:rPr>
        <w:t>"</w:t>
      </w:r>
      <w:r w:rsidRPr="00A241F5">
        <w:rPr>
          <w:rFonts w:cs="Arial"/>
        </w:rPr>
        <w:t xml:space="preserve"> is defined simply as </w:t>
      </w:r>
      <w:r w:rsidR="00C61F4B" w:rsidRPr="00A241F5">
        <w:rPr>
          <w:rFonts w:cs="Arial"/>
          <w:i/>
        </w:rPr>
        <w:t>"</w:t>
      </w:r>
      <w:r w:rsidRPr="00A241F5">
        <w:rPr>
          <w:rFonts w:cs="Arial"/>
          <w:i/>
        </w:rPr>
        <w:t>any arbitration, whether or not administered by a permanent arbitral institution</w:t>
      </w:r>
      <w:r w:rsidR="00C61F4B" w:rsidRPr="00A241F5">
        <w:rPr>
          <w:rFonts w:cs="Arial"/>
          <w:i/>
        </w:rPr>
        <w:t>"</w:t>
      </w:r>
      <w:r w:rsidRPr="00A241F5">
        <w:rPr>
          <w:rFonts w:cs="Arial"/>
        </w:rPr>
        <w:t>.</w:t>
      </w:r>
      <w:r w:rsidRPr="00A241F5">
        <w:rPr>
          <w:rStyle w:val="FootnoteReference"/>
          <w:rFonts w:cs="Arial"/>
          <w:sz w:val="24"/>
        </w:rPr>
        <w:footnoteReference w:id="96"/>
      </w:r>
      <w:r w:rsidRPr="00A241F5">
        <w:rPr>
          <w:rFonts w:cs="Arial"/>
        </w:rPr>
        <w:t xml:space="preserve"> </w:t>
      </w:r>
    </w:p>
    <w:p w14:paraId="5D7EB4F5" w14:textId="77777777" w:rsidR="0045386A" w:rsidRPr="00A241F5" w:rsidRDefault="0045386A" w:rsidP="0045386A">
      <w:pPr>
        <w:widowControl/>
        <w:tabs>
          <w:tab w:val="clear" w:pos="1418"/>
          <w:tab w:val="left" w:pos="1440"/>
        </w:tabs>
        <w:rPr>
          <w:rFonts w:cs="Arial"/>
        </w:rPr>
      </w:pPr>
    </w:p>
    <w:p w14:paraId="60F0F225" w14:textId="21A3BEA7" w:rsidR="0045386A" w:rsidRPr="00A241F5" w:rsidRDefault="0045386A" w:rsidP="0045386A">
      <w:pPr>
        <w:widowControl/>
        <w:tabs>
          <w:tab w:val="clear" w:pos="1418"/>
          <w:tab w:val="left" w:pos="1440"/>
        </w:tabs>
        <w:rPr>
          <w:rFonts w:cs="Arial"/>
        </w:rPr>
      </w:pPr>
      <w:r w:rsidRPr="00A241F5">
        <w:rPr>
          <w:rFonts w:cs="Arial"/>
        </w:rPr>
        <w:t>14.65</w:t>
      </w:r>
      <w:r w:rsidRPr="00A241F5">
        <w:rPr>
          <w:rFonts w:cs="Arial"/>
        </w:rPr>
        <w:tab/>
        <w:t xml:space="preserve">We are mindful of the difficulties inherent in defining a category of </w:t>
      </w:r>
      <w:r w:rsidR="00C61F4B" w:rsidRPr="00A241F5">
        <w:rPr>
          <w:rFonts w:cs="Arial"/>
        </w:rPr>
        <w:t>"</w:t>
      </w:r>
      <w:r w:rsidRPr="00A241F5">
        <w:rPr>
          <w:rFonts w:cs="Arial"/>
        </w:rPr>
        <w:t>commercial claims</w:t>
      </w:r>
      <w:r w:rsidR="00C61F4B" w:rsidRPr="00A241F5">
        <w:rPr>
          <w:rFonts w:cs="Arial"/>
        </w:rPr>
        <w:t>"</w:t>
      </w:r>
      <w:r w:rsidRPr="00A241F5">
        <w:rPr>
          <w:rFonts w:cs="Arial"/>
        </w:rPr>
        <w:t xml:space="preserve"> or </w:t>
      </w:r>
      <w:r w:rsidR="00C61F4B" w:rsidRPr="00A241F5">
        <w:rPr>
          <w:rFonts w:cs="Arial"/>
        </w:rPr>
        <w:t>"</w:t>
      </w:r>
      <w:r w:rsidRPr="00A241F5">
        <w:rPr>
          <w:rFonts w:cs="Arial"/>
        </w:rPr>
        <w:t>commercial arbitrations</w:t>
      </w:r>
      <w:r w:rsidR="00C61F4B" w:rsidRPr="00A241F5">
        <w:rPr>
          <w:rFonts w:cs="Arial"/>
        </w:rPr>
        <w:t>"</w:t>
      </w:r>
      <w:r w:rsidRPr="00A241F5">
        <w:rPr>
          <w:rFonts w:cs="Arial"/>
        </w:rPr>
        <w:t xml:space="preserve"> in Hong Kong law that applies only in respect of an ORFS regime, and not in respect of any other aspect of Arbitration in Hong Kong, including Third Party Funding.  Moreover, to the best of our knowledge, no other jurisdiction with legislation based on the UNCITRAL Model Law distinguishes between commercial and other claims in Arbitration.  Finally, we note that, in practice, the majority of Arbitrations in Hong Kong involve corporate entities and commercial transactions. </w:t>
      </w:r>
    </w:p>
    <w:p w14:paraId="168658CD" w14:textId="77777777" w:rsidR="0045386A" w:rsidRPr="00A241F5" w:rsidRDefault="0045386A" w:rsidP="0045386A">
      <w:pPr>
        <w:widowControl/>
        <w:tabs>
          <w:tab w:val="clear" w:pos="1418"/>
          <w:tab w:val="left" w:pos="1440"/>
        </w:tabs>
        <w:rPr>
          <w:rFonts w:cs="Arial"/>
        </w:rPr>
      </w:pPr>
    </w:p>
    <w:p w14:paraId="3B095E68" w14:textId="3C550E6D" w:rsidR="0045386A" w:rsidRPr="00A241F5" w:rsidRDefault="0045386A" w:rsidP="0045386A">
      <w:pPr>
        <w:widowControl/>
        <w:tabs>
          <w:tab w:val="clear" w:pos="1418"/>
          <w:tab w:val="left" w:pos="1440"/>
        </w:tabs>
        <w:rPr>
          <w:rFonts w:cs="Arial"/>
        </w:rPr>
      </w:pPr>
      <w:r w:rsidRPr="00A241F5">
        <w:rPr>
          <w:rFonts w:cs="Arial"/>
        </w:rPr>
        <w:t>14.66</w:t>
      </w:r>
      <w:r w:rsidRPr="00A241F5">
        <w:rPr>
          <w:rFonts w:cs="Arial"/>
        </w:rPr>
        <w:tab/>
        <w:t>On balance, we consider that it is not necessary to limit expressly any ORFS regime for Arbitration to commercial claims, nor to exclude any other category of claims.  We consider that the proposed regime would be limited, in practice, by the doctrine of arbitrability and the right of a party to challenge an award that purports to dispose of a dispute that is not capable of settlement by Arbitration under Hong Kong law.  In our view, this is the preferable approach because it is consistent with the overall approach under the Arbitration Ordinance, and offers sufficient protection to users of the proposed ORFS regime for Arbitration.</w:t>
      </w:r>
    </w:p>
    <w:p w14:paraId="61B77740" w14:textId="77777777" w:rsidR="00883469" w:rsidRDefault="00883469">
      <w:pPr>
        <w:widowControl/>
        <w:tabs>
          <w:tab w:val="clear" w:pos="1418"/>
        </w:tabs>
        <w:adjustRightInd/>
        <w:snapToGrid/>
        <w:jc w:val="left"/>
      </w:pPr>
      <w:r>
        <w:rPr>
          <w:b/>
        </w:rPr>
        <w:br w:type="page"/>
      </w:r>
    </w:p>
    <w:p w14:paraId="24ABD86B" w14:textId="296AFBAF" w:rsidR="0045386A" w:rsidRPr="00A241F5" w:rsidRDefault="0045386A" w:rsidP="007E5277">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lastRenderedPageBreak/>
        <w:t>Final Recommendation 13</w:t>
      </w:r>
    </w:p>
    <w:p w14:paraId="6F9A4BA6" w14:textId="77777777" w:rsidR="0045386A" w:rsidRPr="00A241F5" w:rsidRDefault="0045386A" w:rsidP="007E5277">
      <w:pPr>
        <w:pStyle w:val="Recommendationindent1"/>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0D5503C9" w14:textId="2B7808DD" w:rsidR="0045386A" w:rsidRPr="00A241F5" w:rsidRDefault="0045386A" w:rsidP="007E5277">
      <w:pPr>
        <w:pStyle w:val="Recommendationindent1"/>
        <w:keepLines/>
        <w:pBdr>
          <w:top w:val="single" w:sz="4" w:space="8" w:color="auto"/>
          <w:left w:val="single" w:sz="4" w:space="8" w:color="auto"/>
          <w:bottom w:val="single" w:sz="4" w:space="8" w:color="auto"/>
          <w:right w:val="single" w:sz="4" w:space="8" w:color="auto"/>
        </w:pBdr>
        <w:autoSpaceDE w:val="0"/>
        <w:autoSpaceDN w:val="0"/>
        <w:ind w:left="1418" w:right="720" w:hanging="698"/>
        <w:textAlignment w:val="baseline"/>
      </w:pPr>
      <w:r w:rsidRPr="00A241F5">
        <w:t>We recommend that:</w:t>
      </w:r>
    </w:p>
    <w:p w14:paraId="02E1C9A7" w14:textId="77777777" w:rsidR="00883469" w:rsidRDefault="00883469" w:rsidP="007E5277">
      <w:pPr>
        <w:pStyle w:val="Recommendationindent1"/>
        <w:keepLines/>
        <w:pBdr>
          <w:top w:val="single" w:sz="4" w:space="8" w:color="auto"/>
          <w:left w:val="single" w:sz="4" w:space="8" w:color="auto"/>
          <w:bottom w:val="single" w:sz="4" w:space="8" w:color="auto"/>
          <w:right w:val="single" w:sz="4" w:space="8" w:color="auto"/>
        </w:pBdr>
        <w:autoSpaceDE w:val="0"/>
        <w:autoSpaceDN w:val="0"/>
        <w:ind w:left="1418" w:right="720" w:hanging="698"/>
        <w:textAlignment w:val="baseline"/>
      </w:pPr>
    </w:p>
    <w:p w14:paraId="50291845" w14:textId="07167060" w:rsidR="0045386A" w:rsidRPr="00A241F5" w:rsidRDefault="0045386A" w:rsidP="007E5277">
      <w:pPr>
        <w:pStyle w:val="Recommendationindent1"/>
        <w:keepLines/>
        <w:pBdr>
          <w:top w:val="single" w:sz="4" w:space="8" w:color="auto"/>
          <w:left w:val="single" w:sz="4" w:space="8" w:color="auto"/>
          <w:bottom w:val="single" w:sz="4" w:space="8" w:color="auto"/>
          <w:right w:val="single" w:sz="4" w:space="8" w:color="auto"/>
        </w:pBdr>
        <w:autoSpaceDE w:val="0"/>
        <w:autoSpaceDN w:val="0"/>
        <w:ind w:left="1418" w:right="720" w:hanging="698"/>
        <w:textAlignment w:val="baseline"/>
      </w:pPr>
      <w:r w:rsidRPr="00A241F5">
        <w:t>(a)</w:t>
      </w:r>
      <w:r w:rsidRPr="00A241F5">
        <w:tab/>
        <w:t>The subsidiary legislation should include provisions for at least the following safeguards:</w:t>
      </w:r>
      <w:r w:rsidRPr="00A241F5">
        <w:br/>
      </w:r>
    </w:p>
    <w:p w14:paraId="5394E801" w14:textId="777C161D" w:rsidR="0045386A" w:rsidRPr="00A241F5" w:rsidRDefault="0045386A" w:rsidP="007E5277">
      <w:pPr>
        <w:pStyle w:val="Recommendationindent1"/>
        <w:keepLines/>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rPr>
          <w:rFonts w:cs="Arial"/>
        </w:rPr>
      </w:pPr>
      <w:r w:rsidRPr="00A241F5">
        <w:rPr>
          <w:rFonts w:cs="Arial"/>
        </w:rPr>
        <w:tab/>
        <w:t>(i)</w:t>
      </w:r>
      <w:r w:rsidRPr="00A241F5">
        <w:rPr>
          <w:rFonts w:cs="Arial"/>
        </w:rPr>
        <w:tab/>
        <w:t>the ORFS must be in writing and signed by the client;</w:t>
      </w:r>
      <w:r w:rsidR="00A75376" w:rsidRPr="00A241F5">
        <w:rPr>
          <w:rStyle w:val="FootnoteReference"/>
          <w:rFonts w:cs="Arial"/>
          <w:sz w:val="24"/>
        </w:rPr>
        <w:footnoteReference w:id="97"/>
      </w:r>
      <w:r w:rsidRPr="00A241F5">
        <w:rPr>
          <w:rFonts w:cs="Arial"/>
        </w:rPr>
        <w:br/>
      </w:r>
    </w:p>
    <w:p w14:paraId="12955F82" w14:textId="2964AE27" w:rsidR="0045386A" w:rsidRPr="00A241F5" w:rsidRDefault="0045386A" w:rsidP="007E5277">
      <w:pPr>
        <w:pStyle w:val="Recommendationindent1"/>
        <w:keepLines/>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rPr>
          <w:rFonts w:cs="Arial"/>
        </w:rPr>
      </w:pPr>
      <w:r w:rsidRPr="00A241F5">
        <w:rPr>
          <w:rFonts w:cs="Arial"/>
        </w:rPr>
        <w:tab/>
        <w:t>(ii)</w:t>
      </w:r>
      <w:r w:rsidRPr="00A241F5">
        <w:rPr>
          <w:rFonts w:cs="Arial"/>
        </w:rPr>
        <w:tab/>
        <w:t xml:space="preserve">the Lawyer should give the client all relevant information relating to the ORFS that is being entered into, and </w:t>
      </w:r>
      <w:r w:rsidR="002B470D" w:rsidRPr="00A241F5">
        <w:rPr>
          <w:rFonts w:cs="Arial"/>
        </w:rPr>
        <w:t xml:space="preserve">should </w:t>
      </w:r>
      <w:r w:rsidRPr="00A241F5">
        <w:rPr>
          <w:rFonts w:cs="Arial"/>
        </w:rPr>
        <w:t>provide that information in a clear and accessible form;</w:t>
      </w:r>
      <w:r w:rsidR="007162F5" w:rsidRPr="00A241F5">
        <w:rPr>
          <w:rStyle w:val="FootnoteReference"/>
          <w:rFonts w:cs="Arial"/>
          <w:sz w:val="24"/>
        </w:rPr>
        <w:footnoteReference w:id="98"/>
      </w:r>
    </w:p>
    <w:p w14:paraId="077DBC59" w14:textId="77777777" w:rsidR="0045386A" w:rsidRPr="00A241F5" w:rsidRDefault="0045386A" w:rsidP="007E5277">
      <w:pPr>
        <w:pStyle w:val="Recommendationindent1"/>
        <w:keepLines/>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rPr>
          <w:rFonts w:cs="Arial"/>
        </w:rPr>
      </w:pPr>
    </w:p>
    <w:p w14:paraId="7DAF45B2" w14:textId="27DB5BA5" w:rsidR="0045386A" w:rsidRPr="00A241F5" w:rsidRDefault="0045386A" w:rsidP="0045386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rPr>
          <w:rFonts w:cs="Arial"/>
        </w:rPr>
      </w:pPr>
      <w:r w:rsidRPr="00A241F5">
        <w:rPr>
          <w:rFonts w:cs="Arial"/>
        </w:rPr>
        <w:tab/>
        <w:t>(iii)</w:t>
      </w:r>
      <w:r w:rsidRPr="00A241F5">
        <w:rPr>
          <w:rFonts w:cs="Arial"/>
        </w:rPr>
        <w:tab/>
        <w:t>the Lawyer should inform clients of their right to take independent legal advice, and the ORFS should include a corresponding statement that the client has been informed of the right to seek such independent legal advice;</w:t>
      </w:r>
      <w:r w:rsidR="007162F5" w:rsidRPr="00A241F5">
        <w:rPr>
          <w:rStyle w:val="FootnoteReference"/>
          <w:rFonts w:cs="Arial"/>
          <w:sz w:val="24"/>
        </w:rPr>
        <w:footnoteReference w:id="99"/>
      </w:r>
      <w:r w:rsidRPr="00A241F5">
        <w:rPr>
          <w:rFonts w:cs="Arial"/>
        </w:rPr>
        <w:t xml:space="preserve">   </w:t>
      </w:r>
    </w:p>
    <w:p w14:paraId="4811B3AD" w14:textId="77777777" w:rsidR="0045386A" w:rsidRPr="00A241F5" w:rsidRDefault="0045386A" w:rsidP="0045386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rPr>
          <w:rFonts w:cs="Arial"/>
        </w:rPr>
      </w:pPr>
    </w:p>
    <w:p w14:paraId="6A26D0FB" w14:textId="5C6D0802" w:rsidR="0045386A" w:rsidRPr="00A241F5" w:rsidRDefault="0045386A" w:rsidP="0045386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rPr>
          <w:rFonts w:cs="Arial"/>
        </w:rPr>
      </w:pPr>
      <w:r w:rsidRPr="00A241F5">
        <w:rPr>
          <w:rFonts w:cs="Arial"/>
        </w:rPr>
        <w:tab/>
        <w:t>(iv)</w:t>
      </w:r>
      <w:r w:rsidRPr="00A241F5">
        <w:rPr>
          <w:rFonts w:cs="Arial"/>
        </w:rPr>
        <w:tab/>
        <w:t xml:space="preserve">the ORFS should be subject to a minimum </w:t>
      </w:r>
      <w:r w:rsidR="00C61F4B" w:rsidRPr="00A241F5">
        <w:rPr>
          <w:rFonts w:cs="Arial"/>
        </w:rPr>
        <w:t>"</w:t>
      </w:r>
      <w:r w:rsidRPr="00A241F5">
        <w:rPr>
          <w:rFonts w:cs="Arial"/>
        </w:rPr>
        <w:t>cooling-off</w:t>
      </w:r>
      <w:r w:rsidR="00C61F4B" w:rsidRPr="00A241F5">
        <w:rPr>
          <w:rFonts w:cs="Arial"/>
        </w:rPr>
        <w:t>"</w:t>
      </w:r>
      <w:r w:rsidRPr="00A241F5">
        <w:rPr>
          <w:rFonts w:cs="Arial"/>
        </w:rPr>
        <w:t xml:space="preserve"> period of seven days during which the client, by written notice, may terminate the ORFS;</w:t>
      </w:r>
      <w:r w:rsidR="00647EC9" w:rsidRPr="00A241F5">
        <w:rPr>
          <w:rStyle w:val="FootnoteReference"/>
          <w:rFonts w:cs="Arial"/>
          <w:sz w:val="24"/>
        </w:rPr>
        <w:footnoteReference w:id="100"/>
      </w:r>
      <w:r w:rsidRPr="00A241F5">
        <w:rPr>
          <w:rFonts w:cs="Arial"/>
        </w:rPr>
        <w:t xml:space="preserve"> </w:t>
      </w:r>
    </w:p>
    <w:p w14:paraId="6E2C24EB" w14:textId="00FF12EA" w:rsidR="0045386A" w:rsidRPr="00A241F5" w:rsidRDefault="0045386A" w:rsidP="0045386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 xml:space="preserve">  </w:t>
      </w:r>
      <w:r w:rsidRPr="00A241F5">
        <w:rPr>
          <w:rFonts w:cs="Arial"/>
        </w:rPr>
        <w:br/>
        <w:t>(v)</w:t>
      </w:r>
      <w:r w:rsidRPr="00A241F5">
        <w:rPr>
          <w:rFonts w:cs="Arial"/>
        </w:rPr>
        <w:tab/>
        <w:t>the ORFS itself should state clearly:</w:t>
      </w:r>
    </w:p>
    <w:p w14:paraId="2E912F40" w14:textId="77777777" w:rsidR="0045386A" w:rsidRPr="00A241F5" w:rsidRDefault="0045386A" w:rsidP="0045386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rPr>
          <w:rFonts w:cs="Arial"/>
        </w:rPr>
      </w:pPr>
    </w:p>
    <w:p w14:paraId="12CE890A" w14:textId="58A8919A" w:rsidR="0045386A" w:rsidRDefault="0045386A" w:rsidP="0045386A">
      <w:pPr>
        <w:pStyle w:val="Recommendationindent1"/>
        <w:keepNext/>
        <w:keepLines/>
        <w:pBdr>
          <w:top w:val="single" w:sz="4" w:space="8" w:color="auto"/>
          <w:left w:val="single" w:sz="4" w:space="8" w:color="auto"/>
          <w:bottom w:val="single" w:sz="4" w:space="8" w:color="auto"/>
          <w:right w:val="single" w:sz="4" w:space="8" w:color="auto"/>
        </w:pBdr>
        <w:tabs>
          <w:tab w:val="clear" w:pos="1418"/>
          <w:tab w:val="left" w:pos="2160"/>
        </w:tabs>
        <w:autoSpaceDE w:val="0"/>
        <w:autoSpaceDN w:val="0"/>
        <w:ind w:left="2790" w:right="720" w:hanging="2070"/>
        <w:textAlignment w:val="baseline"/>
        <w:rPr>
          <w:rFonts w:cs="Arial"/>
        </w:rPr>
      </w:pPr>
      <w:r w:rsidRPr="00A241F5">
        <w:rPr>
          <w:rFonts w:cs="Arial"/>
        </w:rPr>
        <w:tab/>
        <w:t>(1)</w:t>
      </w:r>
      <w:r w:rsidRPr="00A241F5">
        <w:rPr>
          <w:rFonts w:cs="Arial"/>
        </w:rPr>
        <w:tab/>
        <w:t>in what circumstances a Lawyer</w:t>
      </w:r>
      <w:r w:rsidR="00C61F4B" w:rsidRPr="00A241F5">
        <w:rPr>
          <w:rFonts w:cs="Arial"/>
        </w:rPr>
        <w:t>'</w:t>
      </w:r>
      <w:r w:rsidRPr="00A241F5">
        <w:rPr>
          <w:rFonts w:cs="Arial"/>
        </w:rPr>
        <w:t>s fees and expenses, or part of them, will be payable;</w:t>
      </w:r>
      <w:r w:rsidR="00647EC9" w:rsidRPr="00A241F5">
        <w:rPr>
          <w:rStyle w:val="FootnoteReference"/>
          <w:rFonts w:cs="Arial"/>
          <w:sz w:val="24"/>
        </w:rPr>
        <w:footnoteReference w:id="101"/>
      </w:r>
    </w:p>
    <w:p w14:paraId="55E6A473" w14:textId="77777777" w:rsidR="00883469" w:rsidRPr="00A241F5" w:rsidRDefault="00883469" w:rsidP="0045386A">
      <w:pPr>
        <w:pStyle w:val="Recommendationindent1"/>
        <w:keepNext/>
        <w:keepLines/>
        <w:pBdr>
          <w:top w:val="single" w:sz="4" w:space="8" w:color="auto"/>
          <w:left w:val="single" w:sz="4" w:space="8" w:color="auto"/>
          <w:bottom w:val="single" w:sz="4" w:space="8" w:color="auto"/>
          <w:right w:val="single" w:sz="4" w:space="8" w:color="auto"/>
        </w:pBdr>
        <w:tabs>
          <w:tab w:val="clear" w:pos="1418"/>
          <w:tab w:val="left" w:pos="2160"/>
        </w:tabs>
        <w:autoSpaceDE w:val="0"/>
        <w:autoSpaceDN w:val="0"/>
        <w:ind w:left="2790" w:right="720" w:hanging="2070"/>
        <w:textAlignment w:val="baseline"/>
        <w:rPr>
          <w:rFonts w:cs="Arial"/>
        </w:rPr>
      </w:pPr>
    </w:p>
    <w:p w14:paraId="5809756E" w14:textId="4FC4B26E" w:rsidR="0045386A" w:rsidRPr="00A241F5" w:rsidRDefault="0045386A" w:rsidP="00EC36BC">
      <w:pPr>
        <w:pStyle w:val="Recommendationindent1"/>
        <w:keepLines/>
        <w:pBdr>
          <w:top w:val="single" w:sz="4" w:space="8" w:color="auto"/>
          <w:left w:val="single" w:sz="4" w:space="8" w:color="auto"/>
          <w:bottom w:val="single" w:sz="4" w:space="8" w:color="auto"/>
          <w:right w:val="single" w:sz="4" w:space="8" w:color="auto"/>
        </w:pBdr>
        <w:tabs>
          <w:tab w:val="clear" w:pos="1418"/>
          <w:tab w:val="left" w:pos="2160"/>
        </w:tabs>
        <w:autoSpaceDE w:val="0"/>
        <w:autoSpaceDN w:val="0"/>
        <w:ind w:left="2790" w:right="720" w:hanging="2070"/>
        <w:textAlignment w:val="baseline"/>
        <w:rPr>
          <w:rFonts w:cs="Arial"/>
        </w:rPr>
      </w:pPr>
      <w:r w:rsidRPr="00A241F5">
        <w:rPr>
          <w:rFonts w:cs="Arial"/>
        </w:rPr>
        <w:tab/>
        <w:t>(2)</w:t>
      </w:r>
      <w:r w:rsidRPr="00A241F5">
        <w:rPr>
          <w:rFonts w:cs="Arial"/>
        </w:rPr>
        <w:tab/>
        <w:t>the circumstances in which the Lawyer</w:t>
      </w:r>
      <w:r w:rsidR="00C61F4B" w:rsidRPr="00A241F5">
        <w:rPr>
          <w:rFonts w:cs="Arial"/>
        </w:rPr>
        <w:t>'</w:t>
      </w:r>
      <w:r w:rsidRPr="00A241F5">
        <w:rPr>
          <w:rFonts w:cs="Arial"/>
        </w:rPr>
        <w:t>s payment, expenses and costs, or part of them, are payable by the client in the event that the ORFS is terminated by the Lawyer or the client;</w:t>
      </w:r>
      <w:r w:rsidRPr="00A241F5">
        <w:rPr>
          <w:rStyle w:val="FootnoteReference"/>
          <w:rFonts w:cs="Arial"/>
          <w:sz w:val="24"/>
        </w:rPr>
        <w:footnoteReference w:id="102"/>
      </w:r>
      <w:r w:rsidRPr="00A241F5">
        <w:rPr>
          <w:rFonts w:cs="Arial"/>
        </w:rPr>
        <w:t xml:space="preserve"> and </w:t>
      </w:r>
    </w:p>
    <w:p w14:paraId="39F4AE06" w14:textId="77777777" w:rsidR="00EC36BC" w:rsidRPr="00A241F5" w:rsidRDefault="00EC36BC" w:rsidP="00EC36BC">
      <w:pPr>
        <w:pStyle w:val="Recommendationindent1"/>
        <w:keepLines/>
        <w:pBdr>
          <w:top w:val="single" w:sz="4" w:space="8" w:color="auto"/>
          <w:left w:val="single" w:sz="4" w:space="8" w:color="auto"/>
          <w:bottom w:val="single" w:sz="4" w:space="8" w:color="auto"/>
          <w:right w:val="single" w:sz="4" w:space="8" w:color="auto"/>
        </w:pBdr>
        <w:tabs>
          <w:tab w:val="clear" w:pos="1418"/>
          <w:tab w:val="left" w:pos="2160"/>
        </w:tabs>
        <w:autoSpaceDE w:val="0"/>
        <w:autoSpaceDN w:val="0"/>
        <w:ind w:left="2790" w:right="720" w:hanging="2070"/>
        <w:textAlignment w:val="baseline"/>
        <w:rPr>
          <w:rFonts w:cs="Arial"/>
        </w:rPr>
      </w:pPr>
    </w:p>
    <w:p w14:paraId="2F91A5FB" w14:textId="79928761" w:rsidR="00F32ECE" w:rsidRPr="00A241F5" w:rsidRDefault="0045386A" w:rsidP="00BD5776">
      <w:pPr>
        <w:pStyle w:val="Recommendationindent1"/>
        <w:keepLines/>
        <w:pBdr>
          <w:top w:val="single" w:sz="4" w:space="8" w:color="auto"/>
          <w:left w:val="single" w:sz="4" w:space="8" w:color="auto"/>
          <w:bottom w:val="single" w:sz="4" w:space="8" w:color="auto"/>
          <w:right w:val="single" w:sz="4" w:space="8" w:color="auto"/>
        </w:pBdr>
        <w:tabs>
          <w:tab w:val="clear" w:pos="1418"/>
          <w:tab w:val="left" w:pos="2160"/>
        </w:tabs>
        <w:autoSpaceDE w:val="0"/>
        <w:autoSpaceDN w:val="0"/>
        <w:ind w:left="2790" w:right="720" w:hanging="2070"/>
        <w:textAlignment w:val="baseline"/>
        <w:rPr>
          <w:rFonts w:cs="Arial"/>
        </w:rPr>
      </w:pPr>
      <w:r w:rsidRPr="00A241F5">
        <w:rPr>
          <w:rFonts w:cs="Arial"/>
        </w:rPr>
        <w:lastRenderedPageBreak/>
        <w:tab/>
        <w:t>(3)</w:t>
      </w:r>
      <w:r w:rsidRPr="00A241F5">
        <w:rPr>
          <w:rFonts w:cs="Arial"/>
        </w:rPr>
        <w:tab/>
        <w:t>whether disbursements, including barristers</w:t>
      </w:r>
      <w:r w:rsidR="00C61F4B" w:rsidRPr="00A241F5">
        <w:rPr>
          <w:rFonts w:cs="Arial"/>
        </w:rPr>
        <w:t>'</w:t>
      </w:r>
      <w:r w:rsidRPr="00A241F5">
        <w:rPr>
          <w:rFonts w:cs="Arial"/>
        </w:rPr>
        <w:t xml:space="preserve"> fees, are to be paid irrespective of the outcome of the matter;</w:t>
      </w:r>
      <w:r w:rsidRPr="00A241F5">
        <w:rPr>
          <w:rStyle w:val="FootnoteReference"/>
          <w:rFonts w:cs="Arial"/>
          <w:sz w:val="24"/>
        </w:rPr>
        <w:footnoteReference w:id="103"/>
      </w:r>
    </w:p>
    <w:p w14:paraId="3AFDDB0C" w14:textId="77777777" w:rsidR="00183396" w:rsidRPr="00A241F5" w:rsidRDefault="00183396" w:rsidP="00BD5776">
      <w:pPr>
        <w:pStyle w:val="Recommendationindent1"/>
        <w:keepLines/>
        <w:pBdr>
          <w:top w:val="single" w:sz="4" w:space="8" w:color="auto"/>
          <w:left w:val="single" w:sz="4" w:space="8" w:color="auto"/>
          <w:bottom w:val="single" w:sz="4" w:space="8" w:color="auto"/>
          <w:right w:val="single" w:sz="4" w:space="8" w:color="auto"/>
        </w:pBdr>
        <w:tabs>
          <w:tab w:val="clear" w:pos="1418"/>
          <w:tab w:val="left" w:pos="2160"/>
        </w:tabs>
        <w:autoSpaceDE w:val="0"/>
        <w:autoSpaceDN w:val="0"/>
        <w:ind w:left="2790" w:right="720" w:hanging="2070"/>
        <w:textAlignment w:val="baseline"/>
        <w:rPr>
          <w:rFonts w:cs="Arial"/>
        </w:rPr>
      </w:pPr>
    </w:p>
    <w:p w14:paraId="7DEAECFA" w14:textId="7C176188" w:rsidR="0045386A" w:rsidRPr="00A241F5" w:rsidRDefault="00E73BCE" w:rsidP="00E73BCE">
      <w:pPr>
        <w:pStyle w:val="Recommendationindent1"/>
        <w:keepNext/>
        <w:pBdr>
          <w:top w:val="single" w:sz="4" w:space="8" w:color="auto"/>
          <w:left w:val="single" w:sz="4" w:space="8" w:color="auto"/>
          <w:bottom w:val="single" w:sz="4" w:space="8" w:color="auto"/>
          <w:right w:val="single" w:sz="4" w:space="8" w:color="auto"/>
        </w:pBdr>
        <w:tabs>
          <w:tab w:val="clear" w:pos="1418"/>
          <w:tab w:val="left" w:pos="2160"/>
        </w:tabs>
        <w:autoSpaceDE w:val="0"/>
        <w:autoSpaceDN w:val="0"/>
        <w:ind w:left="2160" w:right="720" w:hanging="1440"/>
        <w:textAlignment w:val="baseline"/>
        <w:rPr>
          <w:rFonts w:cs="Arial"/>
        </w:rPr>
      </w:pPr>
      <w:r w:rsidRPr="00A241F5">
        <w:rPr>
          <w:rFonts w:cs="Arial"/>
        </w:rPr>
        <w:tab/>
      </w:r>
      <w:r w:rsidR="0045386A" w:rsidRPr="00A241F5">
        <w:rPr>
          <w:rFonts w:cs="Arial"/>
        </w:rPr>
        <w:t>in addition, for CFAs:</w:t>
      </w:r>
    </w:p>
    <w:p w14:paraId="757E5438" w14:textId="77777777" w:rsidR="00E73BCE" w:rsidRPr="00A241F5" w:rsidRDefault="00E73BCE" w:rsidP="00E73BCE">
      <w:pPr>
        <w:pStyle w:val="Recommendationindent1"/>
        <w:keepNext/>
        <w:pBdr>
          <w:top w:val="single" w:sz="4" w:space="8" w:color="auto"/>
          <w:left w:val="single" w:sz="4" w:space="8" w:color="auto"/>
          <w:bottom w:val="single" w:sz="4" w:space="8" w:color="auto"/>
          <w:right w:val="single" w:sz="4" w:space="8" w:color="auto"/>
        </w:pBdr>
        <w:tabs>
          <w:tab w:val="clear" w:pos="1418"/>
          <w:tab w:val="left" w:pos="2160"/>
        </w:tabs>
        <w:autoSpaceDE w:val="0"/>
        <w:autoSpaceDN w:val="0"/>
        <w:ind w:left="2160" w:right="720" w:hanging="1440"/>
        <w:textAlignment w:val="baseline"/>
        <w:rPr>
          <w:rFonts w:cs="Arial"/>
        </w:rPr>
      </w:pPr>
    </w:p>
    <w:p w14:paraId="5929FC9E" w14:textId="2D8050EF" w:rsidR="0045386A" w:rsidRPr="00A241F5" w:rsidRDefault="0045386A" w:rsidP="005712F7">
      <w:pPr>
        <w:pStyle w:val="Recommendationindent1"/>
        <w:keepLines/>
        <w:pBdr>
          <w:top w:val="single" w:sz="4" w:space="8" w:color="auto"/>
          <w:left w:val="single" w:sz="4" w:space="8" w:color="auto"/>
          <w:bottom w:val="single" w:sz="4" w:space="8" w:color="auto"/>
          <w:right w:val="single" w:sz="4" w:space="8" w:color="auto"/>
        </w:pBdr>
        <w:tabs>
          <w:tab w:val="clear" w:pos="1418"/>
          <w:tab w:val="left" w:pos="2160"/>
        </w:tabs>
        <w:autoSpaceDE w:val="0"/>
        <w:autoSpaceDN w:val="0"/>
        <w:ind w:left="2790" w:right="720" w:hanging="2070"/>
        <w:textAlignment w:val="baseline"/>
        <w:rPr>
          <w:rFonts w:cs="Arial"/>
        </w:rPr>
      </w:pPr>
      <w:r w:rsidRPr="00A241F5">
        <w:rPr>
          <w:rFonts w:cs="Arial"/>
        </w:rPr>
        <w:tab/>
        <w:t>(4)</w:t>
      </w:r>
      <w:r w:rsidRPr="00A241F5">
        <w:rPr>
          <w:rFonts w:cs="Arial"/>
        </w:rPr>
        <w:tab/>
        <w:t xml:space="preserve">the circumstances that constitute a </w:t>
      </w:r>
      <w:r w:rsidR="00C61F4B" w:rsidRPr="00A241F5">
        <w:rPr>
          <w:rFonts w:cs="Arial"/>
        </w:rPr>
        <w:t>"</w:t>
      </w:r>
      <w:r w:rsidRPr="00A241F5">
        <w:rPr>
          <w:rFonts w:cs="Arial"/>
        </w:rPr>
        <w:t>successful outcome</w:t>
      </w:r>
      <w:r w:rsidR="00C61F4B" w:rsidRPr="00A241F5">
        <w:rPr>
          <w:rFonts w:cs="Arial"/>
        </w:rPr>
        <w:t>"</w:t>
      </w:r>
      <w:r w:rsidRPr="00A241F5">
        <w:rPr>
          <w:rFonts w:cs="Arial"/>
        </w:rPr>
        <w:t xml:space="preserve"> of the matter to which it relates;</w:t>
      </w:r>
      <w:r w:rsidR="009B5964" w:rsidRPr="00A241F5">
        <w:rPr>
          <w:rStyle w:val="FootnoteReference"/>
          <w:rFonts w:cs="Arial"/>
          <w:sz w:val="24"/>
        </w:rPr>
        <w:footnoteReference w:id="104"/>
      </w:r>
      <w:r w:rsidRPr="00A241F5">
        <w:rPr>
          <w:rFonts w:cs="Arial"/>
        </w:rPr>
        <w:t xml:space="preserve"> and </w:t>
      </w:r>
    </w:p>
    <w:p w14:paraId="2EADBCC3" w14:textId="77777777" w:rsidR="0068324A" w:rsidRPr="00A241F5" w:rsidRDefault="0068324A" w:rsidP="005712F7">
      <w:pPr>
        <w:pStyle w:val="Recommendationindent1"/>
        <w:keepLines/>
        <w:pBdr>
          <w:top w:val="single" w:sz="4" w:space="8" w:color="auto"/>
          <w:left w:val="single" w:sz="4" w:space="8" w:color="auto"/>
          <w:bottom w:val="single" w:sz="4" w:space="8" w:color="auto"/>
          <w:right w:val="single" w:sz="4" w:space="8" w:color="auto"/>
        </w:pBdr>
        <w:tabs>
          <w:tab w:val="clear" w:pos="1418"/>
          <w:tab w:val="left" w:pos="2160"/>
        </w:tabs>
        <w:autoSpaceDE w:val="0"/>
        <w:autoSpaceDN w:val="0"/>
        <w:ind w:left="2790" w:right="720" w:hanging="2070"/>
        <w:textAlignment w:val="baseline"/>
        <w:rPr>
          <w:rFonts w:cs="Arial"/>
        </w:rPr>
      </w:pPr>
    </w:p>
    <w:p w14:paraId="68200010" w14:textId="019E7A5C" w:rsidR="0045386A" w:rsidRPr="00A241F5" w:rsidRDefault="0045386A" w:rsidP="005712F7">
      <w:pPr>
        <w:pStyle w:val="Recommendationindent1"/>
        <w:keepLines/>
        <w:pBdr>
          <w:top w:val="single" w:sz="4" w:space="8" w:color="auto"/>
          <w:left w:val="single" w:sz="4" w:space="8" w:color="auto"/>
          <w:bottom w:val="single" w:sz="4" w:space="8" w:color="auto"/>
          <w:right w:val="single" w:sz="4" w:space="8" w:color="auto"/>
        </w:pBdr>
        <w:tabs>
          <w:tab w:val="clear" w:pos="1418"/>
          <w:tab w:val="left" w:pos="2160"/>
        </w:tabs>
        <w:autoSpaceDE w:val="0"/>
        <w:autoSpaceDN w:val="0"/>
        <w:ind w:left="2790" w:right="720" w:hanging="2070"/>
        <w:textAlignment w:val="baseline"/>
        <w:rPr>
          <w:rFonts w:cs="Arial"/>
        </w:rPr>
      </w:pPr>
      <w:r w:rsidRPr="00A241F5">
        <w:rPr>
          <w:rFonts w:cs="Arial"/>
        </w:rPr>
        <w:tab/>
        <w:t>(5)</w:t>
      </w:r>
      <w:r w:rsidRPr="00A241F5">
        <w:rPr>
          <w:rFonts w:cs="Arial"/>
        </w:rPr>
        <w:tab/>
        <w:t xml:space="preserve">the basis of calculation of the Success Fee which would be payable in the event of such </w:t>
      </w:r>
      <w:r w:rsidR="00C61F4B" w:rsidRPr="00A241F5">
        <w:rPr>
          <w:rFonts w:cs="Arial"/>
        </w:rPr>
        <w:t>"</w:t>
      </w:r>
      <w:r w:rsidRPr="00A241F5">
        <w:rPr>
          <w:rFonts w:cs="Arial"/>
        </w:rPr>
        <w:t>successful outcome</w:t>
      </w:r>
      <w:r w:rsidR="00C61F4B" w:rsidRPr="00A241F5">
        <w:rPr>
          <w:rFonts w:cs="Arial"/>
        </w:rPr>
        <w:t>"</w:t>
      </w:r>
      <w:r w:rsidRPr="00A241F5">
        <w:rPr>
          <w:rFonts w:cs="Arial"/>
        </w:rPr>
        <w:t>, as well as the Success Fee premium, meaning the percentage uplift by which the amount of the legal cos</w:t>
      </w:r>
      <w:r w:rsidR="0009284F" w:rsidRPr="00A241F5">
        <w:rPr>
          <w:rFonts w:cs="Arial"/>
        </w:rPr>
        <w:t>ts which would be payable if there</w:t>
      </w:r>
      <w:r w:rsidRPr="00A241F5">
        <w:rPr>
          <w:rFonts w:cs="Arial"/>
        </w:rPr>
        <w:t xml:space="preserve"> </w:t>
      </w:r>
      <w:r w:rsidR="0009284F" w:rsidRPr="00A241F5">
        <w:rPr>
          <w:rFonts w:cs="Arial"/>
        </w:rPr>
        <w:t>w</w:t>
      </w:r>
      <w:r w:rsidR="003C3A44" w:rsidRPr="00A241F5">
        <w:rPr>
          <w:rFonts w:cs="Arial"/>
        </w:rPr>
        <w:t>ere</w:t>
      </w:r>
      <w:r w:rsidR="0009284F" w:rsidRPr="00A241F5">
        <w:rPr>
          <w:rFonts w:cs="Arial"/>
        </w:rPr>
        <w:t xml:space="preserve"> no </w:t>
      </w:r>
      <w:r w:rsidR="008C2E15" w:rsidRPr="00A241F5">
        <w:rPr>
          <w:rFonts w:cs="Arial"/>
        </w:rPr>
        <w:t xml:space="preserve">ORFS </w:t>
      </w:r>
      <w:r w:rsidR="0009284F" w:rsidRPr="00A241F5">
        <w:rPr>
          <w:rFonts w:cs="Arial"/>
        </w:rPr>
        <w:t>in place</w:t>
      </w:r>
      <w:r w:rsidRPr="00A241F5">
        <w:rPr>
          <w:rFonts w:cs="Arial"/>
        </w:rPr>
        <w:t>;</w:t>
      </w:r>
      <w:r w:rsidR="009B5964" w:rsidRPr="00A241F5">
        <w:rPr>
          <w:rStyle w:val="FootnoteReference"/>
          <w:rFonts w:cs="Arial"/>
          <w:sz w:val="24"/>
        </w:rPr>
        <w:footnoteReference w:id="105"/>
      </w:r>
      <w:r w:rsidRPr="00A241F5">
        <w:rPr>
          <w:rFonts w:cs="Arial"/>
        </w:rPr>
        <w:t xml:space="preserve"> and</w:t>
      </w:r>
    </w:p>
    <w:p w14:paraId="2EAF5981" w14:textId="77777777" w:rsidR="0045386A" w:rsidRPr="00A241F5" w:rsidRDefault="0045386A" w:rsidP="005712F7">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p>
    <w:p w14:paraId="18096EBA" w14:textId="77777777" w:rsidR="0045386A" w:rsidRPr="00A241F5" w:rsidRDefault="0045386A" w:rsidP="005712F7">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ab/>
      </w:r>
      <w:r w:rsidRPr="00A241F5">
        <w:rPr>
          <w:rFonts w:cs="Arial"/>
        </w:rPr>
        <w:tab/>
      </w:r>
      <w:r w:rsidRPr="00A241F5">
        <w:rPr>
          <w:rFonts w:cs="Arial"/>
        </w:rPr>
        <w:tab/>
        <w:t>for DBAs (including Hybrid DBAs):</w:t>
      </w:r>
    </w:p>
    <w:p w14:paraId="3CE98646" w14:textId="77777777" w:rsidR="0045386A" w:rsidRPr="00A241F5" w:rsidRDefault="0045386A" w:rsidP="005712F7">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p>
    <w:p w14:paraId="65D107D0" w14:textId="583A961B" w:rsidR="0045386A" w:rsidRPr="00A241F5" w:rsidRDefault="0045386A" w:rsidP="005712F7">
      <w:pPr>
        <w:pStyle w:val="Recommendationindent1"/>
        <w:keepLines/>
        <w:pBdr>
          <w:top w:val="single" w:sz="4" w:space="8" w:color="auto"/>
          <w:left w:val="single" w:sz="4" w:space="8" w:color="auto"/>
          <w:bottom w:val="single" w:sz="4" w:space="8" w:color="auto"/>
          <w:right w:val="single" w:sz="4" w:space="8" w:color="auto"/>
        </w:pBdr>
        <w:tabs>
          <w:tab w:val="clear" w:pos="1418"/>
          <w:tab w:val="left" w:pos="2160"/>
        </w:tabs>
        <w:autoSpaceDE w:val="0"/>
        <w:autoSpaceDN w:val="0"/>
        <w:ind w:left="2790" w:right="720" w:hanging="2070"/>
        <w:textAlignment w:val="baseline"/>
        <w:rPr>
          <w:rFonts w:cs="Arial"/>
        </w:rPr>
      </w:pPr>
      <w:r w:rsidRPr="00A241F5">
        <w:rPr>
          <w:rFonts w:cs="Arial"/>
        </w:rPr>
        <w:tab/>
        <w:t>(6)</w:t>
      </w:r>
      <w:r w:rsidRPr="00A241F5">
        <w:rPr>
          <w:rFonts w:cs="Arial"/>
        </w:rPr>
        <w:tab/>
        <w:t>the Financial Benefit to which the DBA relates.</w:t>
      </w:r>
      <w:r w:rsidR="009B5964" w:rsidRPr="00A241F5">
        <w:rPr>
          <w:rStyle w:val="FootnoteReference"/>
          <w:rFonts w:cs="Arial"/>
          <w:sz w:val="24"/>
        </w:rPr>
        <w:footnoteReference w:id="106"/>
      </w:r>
      <w:r w:rsidRPr="00A241F5">
        <w:rPr>
          <w:rFonts w:cs="Arial"/>
        </w:rPr>
        <w:t xml:space="preserve">  </w:t>
      </w:r>
    </w:p>
    <w:p w14:paraId="50A4888F" w14:textId="77777777" w:rsidR="00E73BCE" w:rsidRPr="00A241F5" w:rsidRDefault="00E73BCE" w:rsidP="00E73BCE">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p>
    <w:p w14:paraId="04AAB156" w14:textId="2831AF60" w:rsidR="0045386A" w:rsidRPr="00A241F5" w:rsidRDefault="0045386A" w:rsidP="00E73BCE">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(b)</w:t>
      </w:r>
      <w:r w:rsidRPr="00A241F5">
        <w:rPr>
          <w:rFonts w:cs="Arial"/>
        </w:rPr>
        <w:tab/>
        <w:t>The Success Fee in CFAs should be fixed with reference to the fee that the Lawyer would charge the client if there were no ORFS in relation to the Arbitration.</w:t>
      </w:r>
      <w:r w:rsidR="006959DA" w:rsidRPr="00A241F5">
        <w:rPr>
          <w:rStyle w:val="FootnoteReference"/>
          <w:rFonts w:cs="Arial"/>
          <w:sz w:val="24"/>
        </w:rPr>
        <w:footnoteReference w:id="107"/>
      </w:r>
    </w:p>
    <w:p w14:paraId="1521CD78" w14:textId="77777777" w:rsidR="004A21CD" w:rsidRPr="00A241F5" w:rsidRDefault="004A21CD" w:rsidP="00E73BCE">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p>
    <w:p w14:paraId="2361E4D8" w14:textId="600CB7B8" w:rsidR="0045386A" w:rsidRPr="00A241F5" w:rsidRDefault="0045386A" w:rsidP="00E73BCE">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(c)</w:t>
      </w:r>
      <w:r w:rsidRPr="00A241F5">
        <w:rPr>
          <w:rFonts w:cs="Arial"/>
        </w:rPr>
        <w:tab/>
        <w:t>A DBA Payment should be payable (depending on the terms agreed between Lawyer and client) wherever a Financial Benefit is obtained by the client, based on the value of that Financial Benefit.</w:t>
      </w:r>
      <w:r w:rsidR="006959DA" w:rsidRPr="00A241F5">
        <w:rPr>
          <w:rStyle w:val="FootnoteReference"/>
          <w:rFonts w:cs="Arial"/>
          <w:sz w:val="24"/>
        </w:rPr>
        <w:footnoteReference w:id="108"/>
      </w:r>
      <w:r w:rsidRPr="00A241F5">
        <w:rPr>
          <w:rFonts w:cs="Arial"/>
        </w:rPr>
        <w:t xml:space="preserve"> </w:t>
      </w:r>
    </w:p>
    <w:p w14:paraId="7D94F993" w14:textId="77777777" w:rsidR="0045386A" w:rsidRPr="00A241F5" w:rsidRDefault="0045386A" w:rsidP="00E73BCE">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p>
    <w:p w14:paraId="573764B4" w14:textId="01089082" w:rsidR="0045386A" w:rsidRPr="00A241F5" w:rsidRDefault="0045386A" w:rsidP="00E73BCE">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(d)</w:t>
      </w:r>
      <w:r w:rsidRPr="00A241F5">
        <w:rPr>
          <w:rFonts w:cs="Arial"/>
        </w:rPr>
        <w:tab/>
        <w:t>The relevant Financial Benefit may be a debt owed to a client, eg under an award or settlement or otherwise, rather than money or property actually received.</w:t>
      </w:r>
      <w:r w:rsidR="006959DA" w:rsidRPr="00A241F5">
        <w:rPr>
          <w:rStyle w:val="FootnoteReference"/>
          <w:rFonts w:cs="Arial"/>
          <w:sz w:val="24"/>
        </w:rPr>
        <w:footnoteReference w:id="109"/>
      </w:r>
    </w:p>
    <w:p w14:paraId="031F213D" w14:textId="77777777" w:rsidR="0045386A" w:rsidRPr="00A241F5" w:rsidRDefault="0045386A" w:rsidP="00E73BCE">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p>
    <w:p w14:paraId="5C4ADE73" w14:textId="62FDDDE3" w:rsidR="0045386A" w:rsidRPr="00A241F5" w:rsidRDefault="0045386A" w:rsidP="00E73BCE">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lastRenderedPageBreak/>
        <w:t>(e)</w:t>
      </w:r>
      <w:r w:rsidRPr="00A241F5">
        <w:rPr>
          <w:rFonts w:cs="Arial"/>
        </w:rPr>
        <w:tab/>
        <w:t>Provision should be made for cases in which the result will not involve monetary damages by providing a definition of money or money</w:t>
      </w:r>
      <w:r w:rsidR="00C61F4B" w:rsidRPr="00A241F5">
        <w:rPr>
          <w:rFonts w:cs="Arial"/>
        </w:rPr>
        <w:t>'</w:t>
      </w:r>
      <w:r w:rsidRPr="00A241F5">
        <w:rPr>
          <w:rFonts w:cs="Arial"/>
        </w:rPr>
        <w:t>s worth that includes consideration reducible to a monetary value.</w:t>
      </w:r>
      <w:r w:rsidR="006959DA" w:rsidRPr="00A241F5">
        <w:rPr>
          <w:rStyle w:val="FootnoteReference"/>
          <w:rFonts w:cs="Arial"/>
          <w:sz w:val="24"/>
        </w:rPr>
        <w:footnoteReference w:id="110"/>
      </w:r>
      <w:r w:rsidRPr="00A241F5">
        <w:rPr>
          <w:rFonts w:cs="Arial"/>
        </w:rPr>
        <w:t xml:space="preserve"> </w:t>
      </w:r>
    </w:p>
    <w:p w14:paraId="3F44D1F3" w14:textId="77777777" w:rsidR="0045386A" w:rsidRPr="00A241F5" w:rsidRDefault="0045386A" w:rsidP="00E73BCE">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p>
    <w:p w14:paraId="4E371E89" w14:textId="761F5763" w:rsidR="0045386A" w:rsidRPr="00A241F5" w:rsidRDefault="0045386A" w:rsidP="00E73BCE">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(f)</w:t>
      </w:r>
      <w:r w:rsidRPr="00A241F5">
        <w:rPr>
          <w:rFonts w:cs="Arial"/>
        </w:rPr>
        <w:tab/>
        <w:t xml:space="preserve">Respondents </w:t>
      </w:r>
      <w:r w:rsidR="0009284F" w:rsidRPr="00A241F5">
        <w:rPr>
          <w:rFonts w:cs="Arial"/>
        </w:rPr>
        <w:t xml:space="preserve">in Arbitrations </w:t>
      </w:r>
      <w:r w:rsidRPr="00A241F5">
        <w:rPr>
          <w:rFonts w:cs="Arial"/>
        </w:rPr>
        <w:t>should be permitted to agree with their Lawyers that a DBA Payment shall be payable in the event the respondents are held liable for less than the amount claimed or less than an agreed threshold.</w:t>
      </w:r>
      <w:r w:rsidR="006959DA" w:rsidRPr="00A241F5">
        <w:rPr>
          <w:rStyle w:val="FootnoteReference"/>
          <w:rFonts w:cs="Arial"/>
          <w:sz w:val="24"/>
        </w:rPr>
        <w:footnoteReference w:id="111"/>
      </w:r>
    </w:p>
    <w:p w14:paraId="339B3DA5" w14:textId="77777777" w:rsidR="0045386A" w:rsidRPr="00A241F5" w:rsidRDefault="0045386A" w:rsidP="00E73BCE">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p>
    <w:p w14:paraId="6598AE8B" w14:textId="1E6A9663" w:rsidR="0045386A" w:rsidRPr="00A241F5" w:rsidRDefault="0045386A" w:rsidP="00E73BCE">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(g)</w:t>
      </w:r>
      <w:r w:rsidRPr="00A241F5">
        <w:rPr>
          <w:rFonts w:cs="Arial"/>
        </w:rPr>
        <w:tab/>
        <w:t>ORFS</w:t>
      </w:r>
      <w:r w:rsidR="000465D7" w:rsidRPr="00A241F5">
        <w:rPr>
          <w:rFonts w:cs="Arial"/>
        </w:rPr>
        <w:t>s</w:t>
      </w:r>
      <w:r w:rsidRPr="00A241F5">
        <w:rPr>
          <w:rFonts w:cs="Arial"/>
        </w:rPr>
        <w:t xml:space="preserve"> </w:t>
      </w:r>
      <w:r w:rsidR="009850DA" w:rsidRPr="00A241F5">
        <w:rPr>
          <w:rFonts w:cs="Arial"/>
        </w:rPr>
        <w:t>for</w:t>
      </w:r>
      <w:r w:rsidRPr="00A241F5">
        <w:rPr>
          <w:rFonts w:cs="Arial"/>
        </w:rPr>
        <w:t xml:space="preserve"> Arbitration</w:t>
      </w:r>
      <w:r w:rsidR="009850DA" w:rsidRPr="00A241F5">
        <w:rPr>
          <w:rFonts w:cs="Arial"/>
        </w:rPr>
        <w:t xml:space="preserve"> should be void and unenforceable to the extent that </w:t>
      </w:r>
      <w:r w:rsidR="000465D7" w:rsidRPr="00A241F5">
        <w:rPr>
          <w:rFonts w:cs="Arial"/>
        </w:rPr>
        <w:t xml:space="preserve">they </w:t>
      </w:r>
      <w:r w:rsidR="009850DA" w:rsidRPr="00A241F5">
        <w:rPr>
          <w:rFonts w:cs="Arial"/>
        </w:rPr>
        <w:t>relate to personal injur</w:t>
      </w:r>
      <w:r w:rsidR="000465D7" w:rsidRPr="00A241F5">
        <w:rPr>
          <w:rFonts w:cs="Arial"/>
        </w:rPr>
        <w:t>y</w:t>
      </w:r>
      <w:r w:rsidR="009850DA" w:rsidRPr="00A241F5">
        <w:rPr>
          <w:rFonts w:cs="Arial"/>
        </w:rPr>
        <w:t xml:space="preserve"> claim</w:t>
      </w:r>
      <w:r w:rsidR="000465D7" w:rsidRPr="00A241F5">
        <w:rPr>
          <w:rFonts w:cs="Arial"/>
        </w:rPr>
        <w:t>s</w:t>
      </w:r>
      <w:r w:rsidRPr="00A241F5">
        <w:rPr>
          <w:rFonts w:cs="Arial"/>
        </w:rPr>
        <w:t>.</w:t>
      </w:r>
      <w:r w:rsidR="00B24B5E" w:rsidRPr="00A241F5">
        <w:rPr>
          <w:rStyle w:val="FootnoteReference"/>
          <w:rFonts w:cs="Arial"/>
          <w:sz w:val="24"/>
        </w:rPr>
        <w:footnoteReference w:id="112"/>
      </w:r>
    </w:p>
    <w:p w14:paraId="2D6CEEE7" w14:textId="77777777" w:rsidR="0045386A" w:rsidRPr="00A241F5" w:rsidRDefault="0045386A" w:rsidP="00E73BCE">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p>
    <w:p w14:paraId="0AFD11A2" w14:textId="14839614" w:rsidR="00EC36BC" w:rsidRPr="00A241F5" w:rsidRDefault="0045386A" w:rsidP="00E73BCE">
      <w:pPr>
        <w:pStyle w:val="Recommendationindent1"/>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(h)</w:t>
      </w:r>
      <w:r w:rsidRPr="00A241F5">
        <w:rPr>
          <w:rFonts w:cs="Arial"/>
        </w:rPr>
        <w:tab/>
        <w:t>No other categories of claims should be treated differently from other claims that are submitted to Arbitration if ORFSs are introduced.</w:t>
      </w:r>
    </w:p>
    <w:p w14:paraId="198A1677" w14:textId="77777777" w:rsidR="005712F7" w:rsidRPr="00A241F5" w:rsidRDefault="005712F7" w:rsidP="00E73BCE">
      <w:pPr>
        <w:pStyle w:val="Heading1"/>
        <w:keepNext w:val="0"/>
        <w:sectPr w:rsidR="005712F7" w:rsidRPr="00A241F5" w:rsidSect="00B40769">
          <w:footnotePr>
            <w:numRestart w:val="eachSect"/>
          </w:footnotePr>
          <w:pgSz w:w="11906" w:h="16838" w:code="9"/>
          <w:pgMar w:top="1440" w:right="1800" w:bottom="1440" w:left="1800" w:header="720" w:footer="720" w:gutter="0"/>
          <w:cols w:space="425"/>
          <w:docGrid w:linePitch="360"/>
        </w:sectPr>
      </w:pPr>
    </w:p>
    <w:p w14:paraId="76FA907C" w14:textId="3B438A67" w:rsidR="0045386A" w:rsidRPr="00A241F5" w:rsidRDefault="0045386A" w:rsidP="0045386A">
      <w:pPr>
        <w:pStyle w:val="Heading1"/>
      </w:pPr>
      <w:r w:rsidRPr="00A241F5">
        <w:lastRenderedPageBreak/>
        <w:t>Chapter 1</w:t>
      </w:r>
      <w:r w:rsidR="00917B30" w:rsidRPr="00A241F5">
        <w:t>5</w:t>
      </w:r>
      <w:bookmarkStart w:id="27" w:name="Chapter15"/>
      <w:bookmarkEnd w:id="27"/>
    </w:p>
    <w:p w14:paraId="0585E9E6" w14:textId="77777777" w:rsidR="0045386A" w:rsidRPr="00A241F5" w:rsidRDefault="0045386A" w:rsidP="0045386A">
      <w:pPr>
        <w:pStyle w:val="Heading1"/>
        <w:widowControl/>
        <w:tabs>
          <w:tab w:val="clear" w:pos="1418"/>
          <w:tab w:val="left" w:pos="1440"/>
        </w:tabs>
        <w:rPr>
          <w:rFonts w:cs="Arial"/>
          <w:sz w:val="32"/>
          <w:szCs w:val="32"/>
        </w:rPr>
      </w:pPr>
    </w:p>
    <w:p w14:paraId="06065138" w14:textId="6CC4D9DA" w:rsidR="0045386A" w:rsidRPr="00A241F5" w:rsidRDefault="0045386A" w:rsidP="0045386A">
      <w:pPr>
        <w:pStyle w:val="Heading1"/>
        <w:widowControl/>
        <w:tabs>
          <w:tab w:val="clear" w:pos="1418"/>
          <w:tab w:val="left" w:pos="1440"/>
        </w:tabs>
        <w:rPr>
          <w:rFonts w:cs="Arial"/>
          <w:sz w:val="32"/>
          <w:szCs w:val="32"/>
        </w:rPr>
      </w:pPr>
      <w:r w:rsidRPr="00A241F5">
        <w:rPr>
          <w:rFonts w:cs="Arial"/>
          <w:sz w:val="32"/>
          <w:szCs w:val="32"/>
        </w:rPr>
        <w:t xml:space="preserve">Charge separately for separate </w:t>
      </w:r>
    </w:p>
    <w:p w14:paraId="3B668C50" w14:textId="77777777" w:rsidR="0045386A" w:rsidRPr="00A241F5" w:rsidRDefault="0045386A" w:rsidP="0045386A">
      <w:pPr>
        <w:pStyle w:val="Heading1"/>
        <w:widowControl/>
        <w:tabs>
          <w:tab w:val="clear" w:pos="1418"/>
          <w:tab w:val="left" w:pos="1440"/>
        </w:tabs>
        <w:rPr>
          <w:rFonts w:cs="Arial"/>
          <w:sz w:val="32"/>
          <w:szCs w:val="32"/>
        </w:rPr>
      </w:pPr>
      <w:r w:rsidRPr="00A241F5">
        <w:rPr>
          <w:rFonts w:cs="Arial"/>
          <w:sz w:val="32"/>
          <w:szCs w:val="32"/>
        </w:rPr>
        <w:t>aspects of Arbitration</w:t>
      </w:r>
    </w:p>
    <w:p w14:paraId="6821B107" w14:textId="2CF2C59F" w:rsidR="0045386A" w:rsidRPr="00A241F5" w:rsidRDefault="0045386A" w:rsidP="0045386A">
      <w:r w:rsidRPr="00A241F5">
        <w:t>___________________________</w:t>
      </w:r>
      <w:r w:rsidR="008F0A89" w:rsidRPr="00A241F5">
        <w:t>________</w:t>
      </w:r>
    </w:p>
    <w:p w14:paraId="6F913CD2" w14:textId="77777777" w:rsidR="0045386A" w:rsidRPr="00A241F5" w:rsidRDefault="0045386A" w:rsidP="0045386A"/>
    <w:p w14:paraId="31D737FB" w14:textId="77777777" w:rsidR="0045386A" w:rsidRPr="00A241F5" w:rsidRDefault="0045386A" w:rsidP="0045386A"/>
    <w:p w14:paraId="288B5D0B" w14:textId="77777777" w:rsidR="0045386A" w:rsidRPr="00A241F5" w:rsidRDefault="0045386A" w:rsidP="0045386A"/>
    <w:p w14:paraId="057D4611" w14:textId="789D0C5C" w:rsidR="0045386A" w:rsidRPr="00A241F5" w:rsidRDefault="0045386A" w:rsidP="0045386A">
      <w:pPr>
        <w:pStyle w:val="Heading2"/>
        <w:widowControl/>
        <w:tabs>
          <w:tab w:val="clear" w:pos="1418"/>
          <w:tab w:val="left" w:pos="1440"/>
        </w:tabs>
        <w:rPr>
          <w:rFonts w:cs="Arial"/>
        </w:rPr>
      </w:pPr>
      <w:r w:rsidRPr="00A241F5">
        <w:rPr>
          <w:rFonts w:cs="Arial"/>
        </w:rPr>
        <w:t>Responses to the Sub-committee</w:t>
      </w:r>
      <w:r w:rsidR="00C61F4B" w:rsidRPr="00A241F5">
        <w:rPr>
          <w:rFonts w:cs="Arial"/>
        </w:rPr>
        <w:t>'</w:t>
      </w:r>
      <w:r w:rsidRPr="00A241F5">
        <w:rPr>
          <w:rFonts w:cs="Arial"/>
        </w:rPr>
        <w:t>s Recommendation 14</w:t>
      </w:r>
    </w:p>
    <w:p w14:paraId="31F5B033" w14:textId="77777777" w:rsidR="0045386A" w:rsidRPr="00A241F5" w:rsidRDefault="0045386A" w:rsidP="0045386A">
      <w:pPr>
        <w:widowControl/>
        <w:tabs>
          <w:tab w:val="clear" w:pos="1418"/>
          <w:tab w:val="left" w:pos="1440"/>
        </w:tabs>
        <w:rPr>
          <w:rFonts w:cs="Arial"/>
        </w:rPr>
      </w:pPr>
    </w:p>
    <w:p w14:paraId="39756CF2" w14:textId="2921651D" w:rsidR="0045386A" w:rsidRPr="00A241F5" w:rsidRDefault="00917B30" w:rsidP="0045386A">
      <w:pPr>
        <w:widowControl/>
        <w:tabs>
          <w:tab w:val="clear" w:pos="1418"/>
          <w:tab w:val="left" w:pos="1440"/>
        </w:tabs>
        <w:rPr>
          <w:rFonts w:cs="Arial"/>
        </w:rPr>
      </w:pPr>
      <w:r w:rsidRPr="00A241F5">
        <w:rPr>
          <w:rFonts w:cs="Arial"/>
        </w:rPr>
        <w:t>15.</w:t>
      </w:r>
      <w:r w:rsidR="0045386A" w:rsidRPr="00A241F5">
        <w:rPr>
          <w:rFonts w:cs="Arial"/>
        </w:rPr>
        <w:t>1</w:t>
      </w:r>
      <w:r w:rsidR="0045386A" w:rsidRPr="00A241F5">
        <w:rPr>
          <w:rFonts w:cs="Arial"/>
        </w:rPr>
        <w:tab/>
        <w:t>This Chapter discusses the responses regarding Recommendation 14 in the Consultation Paper:</w:t>
      </w:r>
    </w:p>
    <w:p w14:paraId="68E14046" w14:textId="77777777" w:rsidR="0045386A" w:rsidRPr="00A241F5" w:rsidRDefault="0045386A" w:rsidP="0045386A">
      <w:pPr>
        <w:widowControl/>
        <w:tabs>
          <w:tab w:val="clear" w:pos="1418"/>
          <w:tab w:val="left" w:pos="1440"/>
        </w:tabs>
        <w:rPr>
          <w:rFonts w:cs="Arial"/>
        </w:rPr>
      </w:pPr>
    </w:p>
    <w:p w14:paraId="246BBEC2" w14:textId="6532BC4A" w:rsidR="0045386A" w:rsidRPr="00A241F5" w:rsidRDefault="00C61F4B" w:rsidP="00E73BCE">
      <w:pPr>
        <w:pStyle w:val="BlockText"/>
      </w:pPr>
      <w:r w:rsidRPr="00A241F5">
        <w:t>"</w:t>
      </w:r>
      <w:r w:rsidR="0045386A" w:rsidRPr="00A241F5">
        <w:t>The Sub-committee recommends that Lawyers and legal practices should be permitted to charge separately for work done in relation to separate but related aspects of the Arbitration, such as counterclaims, enforcement actions and appeals.</w:t>
      </w:r>
      <w:r w:rsidRPr="00A241F5">
        <w:t>"</w:t>
      </w:r>
      <w:r w:rsidR="0045386A" w:rsidRPr="00760D2E">
        <w:rPr>
          <w:rStyle w:val="FootnoteReference"/>
          <w:rFonts w:cs="Arial"/>
          <w:i w:val="0"/>
          <w:sz w:val="24"/>
        </w:rPr>
        <w:footnoteReference w:id="113"/>
      </w:r>
      <w:r w:rsidR="0045386A" w:rsidRPr="00A241F5">
        <w:t xml:space="preserve"> </w:t>
      </w:r>
    </w:p>
    <w:p w14:paraId="5481DF95" w14:textId="77777777" w:rsidR="0045386A" w:rsidRPr="00A241F5" w:rsidRDefault="0045386A" w:rsidP="008F0A89"/>
    <w:p w14:paraId="156B3F6F" w14:textId="77777777" w:rsidR="0045386A" w:rsidRPr="00A241F5" w:rsidRDefault="0045386A" w:rsidP="008F0A89"/>
    <w:p w14:paraId="4E6D32CE" w14:textId="77777777" w:rsidR="0045386A" w:rsidRPr="00A241F5" w:rsidRDefault="0045386A" w:rsidP="0045386A">
      <w:pPr>
        <w:pStyle w:val="Heading2"/>
        <w:widowControl/>
        <w:tabs>
          <w:tab w:val="clear" w:pos="1418"/>
          <w:tab w:val="left" w:pos="1440"/>
        </w:tabs>
        <w:rPr>
          <w:rFonts w:cs="Arial"/>
          <w:i/>
          <w:sz w:val="24"/>
        </w:rPr>
      </w:pPr>
      <w:r w:rsidRPr="00A241F5">
        <w:rPr>
          <w:rFonts w:cs="Arial"/>
          <w:i/>
          <w:sz w:val="24"/>
        </w:rPr>
        <w:t>Comments from Respondents who supported Recommendation 14</w:t>
      </w:r>
    </w:p>
    <w:p w14:paraId="4E42EC7D" w14:textId="77777777" w:rsidR="0045386A" w:rsidRPr="00A241F5" w:rsidRDefault="0045386A" w:rsidP="0045386A">
      <w:pPr>
        <w:widowControl/>
        <w:tabs>
          <w:tab w:val="clear" w:pos="1418"/>
          <w:tab w:val="left" w:pos="1440"/>
        </w:tabs>
        <w:rPr>
          <w:rFonts w:cs="Arial"/>
        </w:rPr>
      </w:pPr>
    </w:p>
    <w:p w14:paraId="78776793" w14:textId="25AA055B" w:rsidR="0045386A" w:rsidRPr="00A241F5" w:rsidRDefault="00917B30" w:rsidP="0045386A">
      <w:pPr>
        <w:widowControl/>
        <w:tabs>
          <w:tab w:val="clear" w:pos="1418"/>
          <w:tab w:val="left" w:pos="1440"/>
        </w:tabs>
        <w:rPr>
          <w:rFonts w:cs="Arial"/>
        </w:rPr>
      </w:pPr>
      <w:r w:rsidRPr="00A241F5">
        <w:rPr>
          <w:rFonts w:cs="Arial"/>
        </w:rPr>
        <w:t>15.</w:t>
      </w:r>
      <w:r w:rsidR="0045386A" w:rsidRPr="00A241F5">
        <w:rPr>
          <w:rFonts w:cs="Arial"/>
        </w:rPr>
        <w:t>2</w:t>
      </w:r>
      <w:r w:rsidR="0045386A" w:rsidRPr="00A241F5">
        <w:rPr>
          <w:rFonts w:cs="Arial"/>
        </w:rPr>
        <w:tab/>
        <w:t>The majority of Respondents, who replied specifically on this issue, supported Recommendation 14.  Those in favour of the recommendation include the HKBA.</w:t>
      </w:r>
    </w:p>
    <w:p w14:paraId="17CD6F63" w14:textId="77777777" w:rsidR="0045386A" w:rsidRPr="00A241F5" w:rsidRDefault="0045386A" w:rsidP="008F0A89"/>
    <w:p w14:paraId="3F36DB8B" w14:textId="4C43CEBE" w:rsidR="0045386A" w:rsidRPr="00A241F5" w:rsidRDefault="00917B30" w:rsidP="0045386A">
      <w:pPr>
        <w:widowControl/>
        <w:tabs>
          <w:tab w:val="clear" w:pos="1418"/>
          <w:tab w:val="left" w:pos="1440"/>
        </w:tabs>
        <w:rPr>
          <w:rFonts w:cs="Arial"/>
        </w:rPr>
      </w:pPr>
      <w:r w:rsidRPr="00A241F5">
        <w:rPr>
          <w:rFonts w:cs="Arial"/>
        </w:rPr>
        <w:t>15.</w:t>
      </w:r>
      <w:r w:rsidR="0045386A" w:rsidRPr="00A241F5">
        <w:rPr>
          <w:rFonts w:cs="Arial"/>
        </w:rPr>
        <w:t>3</w:t>
      </w:r>
      <w:r w:rsidR="0045386A" w:rsidRPr="00A241F5">
        <w:rPr>
          <w:rFonts w:cs="Arial"/>
        </w:rPr>
        <w:tab/>
        <w:t xml:space="preserve">Citing freedom of contract, a chamber of commerce stated that </w:t>
      </w:r>
      <w:r w:rsidR="00C61F4B" w:rsidRPr="00A241F5">
        <w:rPr>
          <w:rFonts w:cs="Arial"/>
          <w:i/>
        </w:rPr>
        <w:t>"</w:t>
      </w:r>
      <w:r w:rsidR="0045386A" w:rsidRPr="00A241F5">
        <w:rPr>
          <w:rFonts w:cs="Arial"/>
          <w:i/>
        </w:rPr>
        <w:t>this should be a matter that the client should be free to negotiate with its lawyer, under the principle of freedom of contract</w:t>
      </w:r>
      <w:r w:rsidR="00C61F4B" w:rsidRPr="00A241F5">
        <w:rPr>
          <w:rFonts w:cs="Arial"/>
          <w:i/>
        </w:rPr>
        <w:t>"</w:t>
      </w:r>
      <w:r w:rsidR="00033640" w:rsidRPr="00A241F5">
        <w:rPr>
          <w:rFonts w:cs="Arial"/>
        </w:rPr>
        <w:t>.</w:t>
      </w:r>
      <w:r w:rsidR="0045386A" w:rsidRPr="00A241F5">
        <w:rPr>
          <w:rFonts w:cs="Arial"/>
        </w:rPr>
        <w:t xml:space="preserve"> </w:t>
      </w:r>
    </w:p>
    <w:p w14:paraId="36912E47" w14:textId="77777777" w:rsidR="0045386A" w:rsidRPr="00A241F5" w:rsidRDefault="0045386A" w:rsidP="0045386A">
      <w:pPr>
        <w:widowControl/>
        <w:tabs>
          <w:tab w:val="clear" w:pos="1418"/>
          <w:tab w:val="left" w:pos="1440"/>
        </w:tabs>
        <w:rPr>
          <w:rFonts w:cs="Arial"/>
        </w:rPr>
      </w:pPr>
    </w:p>
    <w:p w14:paraId="7AA917E8" w14:textId="4F98250A" w:rsidR="0045386A" w:rsidRPr="00A241F5" w:rsidRDefault="00917B30" w:rsidP="0045386A">
      <w:pPr>
        <w:widowControl/>
        <w:tabs>
          <w:tab w:val="clear" w:pos="1418"/>
          <w:tab w:val="left" w:pos="1440"/>
        </w:tabs>
        <w:rPr>
          <w:rFonts w:cs="Arial"/>
        </w:rPr>
      </w:pPr>
      <w:r w:rsidRPr="00A241F5">
        <w:rPr>
          <w:rFonts w:cs="Arial"/>
        </w:rPr>
        <w:t>15.</w:t>
      </w:r>
      <w:r w:rsidR="0045386A" w:rsidRPr="00A241F5">
        <w:rPr>
          <w:rFonts w:cs="Arial"/>
        </w:rPr>
        <w:t>4</w:t>
      </w:r>
      <w:r w:rsidR="0045386A" w:rsidRPr="00A241F5">
        <w:rPr>
          <w:rFonts w:cs="Arial"/>
        </w:rPr>
        <w:tab/>
        <w:t xml:space="preserve">Likewise, a professional body said that </w:t>
      </w:r>
      <w:r w:rsidR="00C61F4B" w:rsidRPr="00A241F5">
        <w:rPr>
          <w:rFonts w:cs="Arial"/>
          <w:i/>
        </w:rPr>
        <w:t>"</w:t>
      </w:r>
      <w:r w:rsidR="0045386A" w:rsidRPr="00A241F5">
        <w:rPr>
          <w:rFonts w:cs="Arial"/>
          <w:i/>
        </w:rPr>
        <w:t>it should be a matter of commercial negotiation as between a client and the lawyers as to how other arbitration-related work should be charged, including (for example) whether or not this should be the subject of the same or a different DBA</w:t>
      </w:r>
      <w:r w:rsidR="00C61F4B" w:rsidRPr="00A241F5">
        <w:rPr>
          <w:rFonts w:cs="Arial"/>
          <w:i/>
        </w:rPr>
        <w:t>"</w:t>
      </w:r>
      <w:r w:rsidR="00033640" w:rsidRPr="00A241F5">
        <w:rPr>
          <w:rFonts w:cs="Arial"/>
        </w:rPr>
        <w:t>.</w:t>
      </w:r>
      <w:r w:rsidR="0045386A" w:rsidRPr="00A241F5">
        <w:rPr>
          <w:rFonts w:cs="Arial"/>
        </w:rPr>
        <w:t xml:space="preserve">  As this Respondent put it, </w:t>
      </w:r>
      <w:r w:rsidR="00C61F4B" w:rsidRPr="00A241F5">
        <w:rPr>
          <w:rFonts w:cs="Arial"/>
          <w:i/>
        </w:rPr>
        <w:t>"</w:t>
      </w:r>
      <w:r w:rsidR="0045386A" w:rsidRPr="00A241F5">
        <w:rPr>
          <w:rFonts w:cs="Arial"/>
        </w:rPr>
        <w:t>[</w:t>
      </w:r>
      <w:r w:rsidR="0045386A" w:rsidRPr="00A241F5">
        <w:rPr>
          <w:rFonts w:cs="Arial"/>
          <w:i/>
        </w:rPr>
        <w:t>t</w:t>
      </w:r>
      <w:r w:rsidR="0045386A" w:rsidRPr="00A241F5">
        <w:rPr>
          <w:rFonts w:cs="Arial"/>
        </w:rPr>
        <w:t>]</w:t>
      </w:r>
      <w:r w:rsidR="0045386A" w:rsidRPr="00A241F5">
        <w:rPr>
          <w:rFonts w:cs="Arial"/>
          <w:i/>
        </w:rPr>
        <w:t>his recommendation just reflects the above ability to be flexible in how a party might structure the engagement of its legal advisers</w:t>
      </w:r>
      <w:r w:rsidR="00C61F4B" w:rsidRPr="00A241F5">
        <w:rPr>
          <w:rFonts w:cs="Arial"/>
          <w:i/>
        </w:rPr>
        <w:t>"</w:t>
      </w:r>
      <w:r w:rsidR="00033640" w:rsidRPr="00A241F5">
        <w:rPr>
          <w:rFonts w:cs="Arial"/>
        </w:rPr>
        <w:t>.</w:t>
      </w:r>
      <w:r w:rsidR="0045386A" w:rsidRPr="00A241F5">
        <w:rPr>
          <w:rFonts w:cs="Arial"/>
        </w:rPr>
        <w:t xml:space="preserve">  It emphasised that</w:t>
      </w:r>
      <w:r w:rsidR="0045386A" w:rsidRPr="00A241F5">
        <w:rPr>
          <w:rFonts w:cs="Arial"/>
          <w:i/>
        </w:rPr>
        <w:t xml:space="preserve"> </w:t>
      </w:r>
      <w:r w:rsidR="00C61F4B" w:rsidRPr="00A241F5">
        <w:rPr>
          <w:rFonts w:cs="Arial"/>
          <w:i/>
        </w:rPr>
        <w:t>"</w:t>
      </w:r>
      <w:r w:rsidR="0045386A" w:rsidRPr="00A241F5">
        <w:rPr>
          <w:rFonts w:cs="Arial"/>
          <w:i/>
        </w:rPr>
        <w:t>Hong Kong should aim for maximum flexibility in this regard</w:t>
      </w:r>
      <w:r w:rsidR="00C61F4B" w:rsidRPr="00A241F5">
        <w:rPr>
          <w:rFonts w:cs="Arial"/>
          <w:i/>
        </w:rPr>
        <w:t>"</w:t>
      </w:r>
      <w:r w:rsidR="00033640" w:rsidRPr="00A241F5">
        <w:rPr>
          <w:rFonts w:cs="Arial"/>
        </w:rPr>
        <w:t>.</w:t>
      </w:r>
    </w:p>
    <w:p w14:paraId="44070F60" w14:textId="77777777" w:rsidR="0045386A" w:rsidRPr="00A241F5" w:rsidRDefault="0045386A" w:rsidP="0045386A">
      <w:pPr>
        <w:widowControl/>
        <w:tabs>
          <w:tab w:val="clear" w:pos="1418"/>
          <w:tab w:val="left" w:pos="1440"/>
        </w:tabs>
        <w:rPr>
          <w:rFonts w:cs="Arial"/>
        </w:rPr>
      </w:pPr>
    </w:p>
    <w:p w14:paraId="5DE5A586" w14:textId="68115A07" w:rsidR="0045386A" w:rsidRPr="00A241F5" w:rsidRDefault="00917B30" w:rsidP="0045386A">
      <w:pPr>
        <w:widowControl/>
        <w:tabs>
          <w:tab w:val="clear" w:pos="1418"/>
          <w:tab w:val="left" w:pos="1440"/>
        </w:tabs>
        <w:rPr>
          <w:rFonts w:cs="Arial"/>
        </w:rPr>
      </w:pPr>
      <w:r w:rsidRPr="00A241F5">
        <w:rPr>
          <w:rFonts w:cs="Arial"/>
        </w:rPr>
        <w:t>15.</w:t>
      </w:r>
      <w:r w:rsidR="0045386A" w:rsidRPr="00A241F5">
        <w:rPr>
          <w:rFonts w:cs="Arial"/>
        </w:rPr>
        <w:t>5</w:t>
      </w:r>
      <w:r w:rsidR="0045386A" w:rsidRPr="00A241F5">
        <w:rPr>
          <w:rFonts w:cs="Arial"/>
        </w:rPr>
        <w:tab/>
        <w:t xml:space="preserve">Also emphasising flexibility and freedom of contract, the Consumer Council confirmed that it did </w:t>
      </w:r>
      <w:r w:rsidR="00C61F4B" w:rsidRPr="00A241F5">
        <w:rPr>
          <w:rFonts w:cs="Arial"/>
          <w:i/>
        </w:rPr>
        <w:t>"</w:t>
      </w:r>
      <w:r w:rsidR="0045386A" w:rsidRPr="00A241F5">
        <w:rPr>
          <w:rFonts w:cs="Arial"/>
          <w:i/>
        </w:rPr>
        <w:t>not object to legal practitioners charging separately for work done in relation to separate but related aspects of the arbitration, thus offering further options and flexibility to consumer clients in managing their case</w:t>
      </w:r>
      <w:r w:rsidR="00C61F4B" w:rsidRPr="00A241F5">
        <w:rPr>
          <w:rFonts w:cs="Arial"/>
          <w:i/>
        </w:rPr>
        <w:t>"</w:t>
      </w:r>
      <w:r w:rsidR="00033640" w:rsidRPr="00A241F5">
        <w:rPr>
          <w:rFonts w:cs="Arial"/>
        </w:rPr>
        <w:t>.</w:t>
      </w:r>
    </w:p>
    <w:p w14:paraId="4E0BE2BD" w14:textId="77777777" w:rsidR="0045386A" w:rsidRPr="00A241F5" w:rsidRDefault="0045386A" w:rsidP="0045386A">
      <w:pPr>
        <w:widowControl/>
        <w:tabs>
          <w:tab w:val="clear" w:pos="1418"/>
          <w:tab w:val="left" w:pos="1440"/>
        </w:tabs>
        <w:rPr>
          <w:rFonts w:cs="Arial"/>
        </w:rPr>
      </w:pPr>
    </w:p>
    <w:p w14:paraId="39065D6E" w14:textId="0CFE4F4A" w:rsidR="0045386A" w:rsidRPr="00A241F5" w:rsidRDefault="00917B30" w:rsidP="0045386A">
      <w:pPr>
        <w:widowControl/>
        <w:tabs>
          <w:tab w:val="clear" w:pos="1418"/>
          <w:tab w:val="left" w:pos="1440"/>
        </w:tabs>
        <w:rPr>
          <w:rFonts w:cs="Arial"/>
        </w:rPr>
      </w:pPr>
      <w:r w:rsidRPr="00A241F5">
        <w:rPr>
          <w:rFonts w:cs="Arial"/>
        </w:rPr>
        <w:t>15.</w:t>
      </w:r>
      <w:r w:rsidR="0045386A" w:rsidRPr="00A241F5">
        <w:rPr>
          <w:rFonts w:cs="Arial"/>
        </w:rPr>
        <w:t>6</w:t>
      </w:r>
      <w:r w:rsidR="0045386A" w:rsidRPr="00A241F5">
        <w:rPr>
          <w:rFonts w:cs="Arial"/>
        </w:rPr>
        <w:tab/>
        <w:t>A Governmental department also concurred, pointing out that they</w:t>
      </w:r>
      <w:r w:rsidR="0045386A" w:rsidRPr="00A241F5">
        <w:rPr>
          <w:rFonts w:cs="Arial"/>
          <w:i/>
        </w:rPr>
        <w:t xml:space="preserve"> </w:t>
      </w:r>
      <w:r w:rsidR="00C61F4B" w:rsidRPr="00A241F5">
        <w:rPr>
          <w:rFonts w:cs="Arial"/>
          <w:i/>
        </w:rPr>
        <w:t>"</w:t>
      </w:r>
      <w:r w:rsidR="0045386A" w:rsidRPr="00A241F5">
        <w:rPr>
          <w:rFonts w:cs="Arial"/>
          <w:i/>
        </w:rPr>
        <w:t>have no objection to this recommendation in principle as long as ORFSs are confined to the legal work performed in relation to Arbitration</w:t>
      </w:r>
      <w:r w:rsidR="00C61F4B" w:rsidRPr="00A241F5">
        <w:rPr>
          <w:rFonts w:cs="Arial"/>
          <w:i/>
        </w:rPr>
        <w:t>"</w:t>
      </w:r>
      <w:r w:rsidR="00033640" w:rsidRPr="00A241F5">
        <w:rPr>
          <w:rFonts w:cs="Arial"/>
        </w:rPr>
        <w:t>.</w:t>
      </w:r>
    </w:p>
    <w:p w14:paraId="443B0699" w14:textId="77777777" w:rsidR="0045386A" w:rsidRPr="00A241F5" w:rsidRDefault="0045386A" w:rsidP="0045386A">
      <w:pPr>
        <w:widowControl/>
        <w:tabs>
          <w:tab w:val="clear" w:pos="1418"/>
          <w:tab w:val="left" w:pos="1440"/>
        </w:tabs>
        <w:rPr>
          <w:rFonts w:cs="Arial"/>
        </w:rPr>
      </w:pPr>
    </w:p>
    <w:p w14:paraId="2778F9EB" w14:textId="03FF2895" w:rsidR="0045386A" w:rsidRPr="00A241F5" w:rsidRDefault="00917B30" w:rsidP="0045386A">
      <w:pPr>
        <w:widowControl/>
        <w:tabs>
          <w:tab w:val="clear" w:pos="1418"/>
          <w:tab w:val="left" w:pos="1440"/>
        </w:tabs>
        <w:rPr>
          <w:rFonts w:cs="Arial"/>
        </w:rPr>
      </w:pPr>
      <w:r w:rsidRPr="00A241F5">
        <w:rPr>
          <w:rFonts w:cs="Arial"/>
        </w:rPr>
        <w:lastRenderedPageBreak/>
        <w:t>15.</w:t>
      </w:r>
      <w:r w:rsidR="0045386A" w:rsidRPr="00A241F5">
        <w:rPr>
          <w:rFonts w:cs="Arial"/>
        </w:rPr>
        <w:t>7</w:t>
      </w:r>
      <w:r w:rsidR="0045386A" w:rsidRPr="00A241F5">
        <w:rPr>
          <w:rFonts w:cs="Arial"/>
        </w:rPr>
        <w:tab/>
        <w:t xml:space="preserve">A litigation funder also supported this recommendation and noted that, provided there is a requirement for clients to receive independent advice, </w:t>
      </w:r>
      <w:r w:rsidR="00C61F4B" w:rsidRPr="00A241F5">
        <w:rPr>
          <w:rFonts w:cs="Arial"/>
          <w:i/>
        </w:rPr>
        <w:t>"</w:t>
      </w:r>
      <w:r w:rsidR="0045386A" w:rsidRPr="00A241F5">
        <w:rPr>
          <w:rFonts w:cs="Arial"/>
          <w:i/>
        </w:rPr>
        <w:t>there should be commercial autonomy for parties to negotiate the most appropriate terms in the circumstances of the case</w:t>
      </w:r>
      <w:r w:rsidR="00C61F4B" w:rsidRPr="00A241F5">
        <w:rPr>
          <w:rFonts w:cs="Arial"/>
          <w:i/>
        </w:rPr>
        <w:t>"</w:t>
      </w:r>
      <w:r w:rsidR="00FD3F6D" w:rsidRPr="00A241F5">
        <w:rPr>
          <w:rFonts w:cs="Arial"/>
        </w:rPr>
        <w:t>.</w:t>
      </w:r>
      <w:r w:rsidR="0045386A" w:rsidRPr="00A241F5">
        <w:rPr>
          <w:rFonts w:cs="Arial"/>
        </w:rPr>
        <w:t xml:space="preserve">    </w:t>
      </w:r>
    </w:p>
    <w:p w14:paraId="67187A25" w14:textId="77777777" w:rsidR="0045386A" w:rsidRPr="00A241F5" w:rsidRDefault="0045386A" w:rsidP="0045386A">
      <w:pPr>
        <w:widowControl/>
        <w:tabs>
          <w:tab w:val="clear" w:pos="1418"/>
          <w:tab w:val="left" w:pos="1440"/>
        </w:tabs>
        <w:rPr>
          <w:rFonts w:cs="Arial"/>
        </w:rPr>
      </w:pPr>
    </w:p>
    <w:p w14:paraId="3112CC1D" w14:textId="77777777" w:rsidR="0045386A" w:rsidRPr="00A241F5" w:rsidRDefault="0045386A" w:rsidP="0045386A">
      <w:pPr>
        <w:widowControl/>
        <w:tabs>
          <w:tab w:val="clear" w:pos="1418"/>
          <w:tab w:val="left" w:pos="1440"/>
        </w:tabs>
        <w:rPr>
          <w:rFonts w:cs="Arial"/>
        </w:rPr>
      </w:pPr>
    </w:p>
    <w:p w14:paraId="392D32E0" w14:textId="77777777" w:rsidR="0045386A" w:rsidRPr="00A241F5" w:rsidRDefault="0045386A" w:rsidP="0045386A">
      <w:pPr>
        <w:pStyle w:val="Heading2"/>
        <w:keepLines/>
        <w:widowControl/>
        <w:tabs>
          <w:tab w:val="clear" w:pos="1418"/>
          <w:tab w:val="left" w:pos="1440"/>
        </w:tabs>
        <w:rPr>
          <w:rFonts w:cs="Arial"/>
          <w:i/>
          <w:sz w:val="24"/>
        </w:rPr>
      </w:pPr>
      <w:r w:rsidRPr="00A241F5">
        <w:rPr>
          <w:rFonts w:cs="Arial"/>
          <w:i/>
          <w:sz w:val="24"/>
        </w:rPr>
        <w:t>Comments from Respondents who opposed Recommendation 14</w:t>
      </w:r>
    </w:p>
    <w:p w14:paraId="16059A03" w14:textId="77777777" w:rsidR="0045386A" w:rsidRPr="00A241F5" w:rsidRDefault="0045386A" w:rsidP="0045386A">
      <w:pPr>
        <w:keepNext/>
        <w:keepLines/>
        <w:widowControl/>
        <w:tabs>
          <w:tab w:val="clear" w:pos="1418"/>
          <w:tab w:val="left" w:pos="1440"/>
        </w:tabs>
        <w:rPr>
          <w:rFonts w:cs="Arial"/>
        </w:rPr>
      </w:pPr>
    </w:p>
    <w:p w14:paraId="6FF2285F" w14:textId="2A5DE326" w:rsidR="0045386A" w:rsidRPr="00A241F5" w:rsidRDefault="00917B30" w:rsidP="0045386A">
      <w:pPr>
        <w:widowControl/>
        <w:tabs>
          <w:tab w:val="clear" w:pos="1418"/>
          <w:tab w:val="left" w:pos="1440"/>
        </w:tabs>
        <w:rPr>
          <w:rFonts w:cs="Arial"/>
        </w:rPr>
      </w:pPr>
      <w:r w:rsidRPr="00A241F5">
        <w:rPr>
          <w:rFonts w:cs="Arial"/>
        </w:rPr>
        <w:t>15.</w:t>
      </w:r>
      <w:r w:rsidR="0045386A" w:rsidRPr="00A241F5">
        <w:rPr>
          <w:rFonts w:cs="Arial"/>
        </w:rPr>
        <w:t>8</w:t>
      </w:r>
      <w:r w:rsidR="0045386A" w:rsidRPr="00A241F5">
        <w:rPr>
          <w:rFonts w:cs="Arial"/>
        </w:rPr>
        <w:tab/>
        <w:t>No Respondents expressly opposed Recommendation 14.</w:t>
      </w:r>
    </w:p>
    <w:p w14:paraId="3803C910" w14:textId="77777777" w:rsidR="0045386A" w:rsidRPr="00A241F5" w:rsidRDefault="0045386A" w:rsidP="0045386A">
      <w:pPr>
        <w:widowControl/>
        <w:tabs>
          <w:tab w:val="clear" w:pos="1418"/>
          <w:tab w:val="left" w:pos="1440"/>
        </w:tabs>
        <w:rPr>
          <w:rFonts w:cs="Arial"/>
        </w:rPr>
      </w:pPr>
      <w:r w:rsidRPr="00A241F5">
        <w:rPr>
          <w:rFonts w:cs="Arial"/>
        </w:rPr>
        <w:tab/>
      </w:r>
    </w:p>
    <w:p w14:paraId="04452ABB" w14:textId="5FEBC287" w:rsidR="0045386A" w:rsidRPr="00A241F5" w:rsidRDefault="00917B30" w:rsidP="0045386A">
      <w:pPr>
        <w:widowControl/>
        <w:tabs>
          <w:tab w:val="clear" w:pos="1418"/>
          <w:tab w:val="left" w:pos="1440"/>
        </w:tabs>
        <w:rPr>
          <w:rFonts w:cs="Arial"/>
          <w:lang w:val="en-HK"/>
        </w:rPr>
      </w:pPr>
      <w:r w:rsidRPr="00A241F5">
        <w:rPr>
          <w:rFonts w:cs="Arial"/>
        </w:rPr>
        <w:t>15.</w:t>
      </w:r>
      <w:r w:rsidR="0045386A" w:rsidRPr="00A241F5">
        <w:rPr>
          <w:rFonts w:cs="Arial"/>
        </w:rPr>
        <w:t>9</w:t>
      </w:r>
      <w:r w:rsidR="0045386A" w:rsidRPr="00A241F5">
        <w:rPr>
          <w:rFonts w:cs="Arial"/>
        </w:rPr>
        <w:tab/>
        <w:t>Two Respondents, an arbitrator/barrister and a professional body, commented that much depends on whether appeals and enforcement actions are included in respect of the same DBA or different DBAs</w:t>
      </w:r>
      <w:r w:rsidR="005E7CD6" w:rsidRPr="00A241F5">
        <w:rPr>
          <w:rFonts w:cs="Arial"/>
        </w:rPr>
        <w:t xml:space="preserve"> (including Hybrid DBAs)</w:t>
      </w:r>
      <w:r w:rsidR="0045386A" w:rsidRPr="00A241F5">
        <w:rPr>
          <w:rFonts w:cs="Arial"/>
        </w:rPr>
        <w:t>, which seems to support the ability of clients and Lawyers to agree different ORFSs for different aspects of an Arbitration in line with the principle of freedom of contract and party autonomy.  Consistent with this, and in line with the comments made in relation to Final Recommendation 13(</w:t>
      </w:r>
      <w:r w:rsidR="001D6F88" w:rsidRPr="00A241F5">
        <w:rPr>
          <w:rFonts w:cs="Arial"/>
        </w:rPr>
        <w:t>c</w:t>
      </w:r>
      <w:r w:rsidR="0045386A" w:rsidRPr="00A241F5">
        <w:rPr>
          <w:rFonts w:cs="Arial"/>
        </w:rPr>
        <w:t>), (</w:t>
      </w:r>
      <w:r w:rsidR="001D6F88" w:rsidRPr="00A241F5">
        <w:rPr>
          <w:rFonts w:cs="Arial"/>
        </w:rPr>
        <w:t>d</w:t>
      </w:r>
      <w:r w:rsidR="0045386A" w:rsidRPr="00A241F5">
        <w:rPr>
          <w:rFonts w:cs="Arial"/>
        </w:rPr>
        <w:t>), (</w:t>
      </w:r>
      <w:r w:rsidR="001D6F88" w:rsidRPr="00A241F5">
        <w:rPr>
          <w:rFonts w:cs="Arial"/>
        </w:rPr>
        <w:t>e</w:t>
      </w:r>
      <w:r w:rsidR="0045386A" w:rsidRPr="00A241F5">
        <w:rPr>
          <w:rFonts w:cs="Arial"/>
        </w:rPr>
        <w:t>) and (</w:t>
      </w:r>
      <w:r w:rsidR="001D6F88" w:rsidRPr="00A241F5">
        <w:rPr>
          <w:rFonts w:cs="Arial"/>
        </w:rPr>
        <w:t>f</w:t>
      </w:r>
      <w:r w:rsidR="0045386A" w:rsidRPr="00A241F5">
        <w:rPr>
          <w:rFonts w:cs="Arial"/>
        </w:rPr>
        <w:t xml:space="preserve">) above, these same Respondents noted that </w:t>
      </w:r>
      <w:r w:rsidR="00C61F4B" w:rsidRPr="00A241F5">
        <w:rPr>
          <w:rFonts w:cs="Arial"/>
          <w:i/>
        </w:rPr>
        <w:t>"</w:t>
      </w:r>
      <w:r w:rsidR="0045386A" w:rsidRPr="00A241F5">
        <w:rPr>
          <w:rFonts w:cs="Arial"/>
          <w:i/>
        </w:rPr>
        <w:t xml:space="preserve">what constitute </w:t>
      </w:r>
      <w:r w:rsidR="0045386A" w:rsidRPr="00A241F5">
        <w:rPr>
          <w:rFonts w:cs="Arial"/>
        </w:rPr>
        <w:t>[</w:t>
      </w:r>
      <w:r w:rsidR="0045386A" w:rsidRPr="00A241F5">
        <w:rPr>
          <w:rFonts w:cs="Arial"/>
          <w:i/>
        </w:rPr>
        <w:t>sic</w:t>
      </w:r>
      <w:r w:rsidR="0045386A" w:rsidRPr="00A241F5">
        <w:rPr>
          <w:rFonts w:cs="Arial"/>
        </w:rPr>
        <w:t xml:space="preserve">] </w:t>
      </w:r>
      <w:r w:rsidR="00C61F4B" w:rsidRPr="00A241F5">
        <w:rPr>
          <w:rFonts w:cs="Arial"/>
          <w:i/>
        </w:rPr>
        <w:t>'</w:t>
      </w:r>
      <w:r w:rsidR="0045386A" w:rsidRPr="00A241F5">
        <w:rPr>
          <w:rFonts w:cs="Arial"/>
          <w:i/>
        </w:rPr>
        <w:t>financial benefits</w:t>
      </w:r>
      <w:r w:rsidR="00C61F4B" w:rsidRPr="00A241F5">
        <w:rPr>
          <w:rFonts w:cs="Arial"/>
          <w:i/>
        </w:rPr>
        <w:t>'</w:t>
      </w:r>
      <w:r w:rsidR="0045386A" w:rsidRPr="00A241F5">
        <w:rPr>
          <w:rFonts w:cs="Arial"/>
          <w:i/>
        </w:rPr>
        <w:t xml:space="preserve"> in the context of a particular case is clearly subject to what was negotiated and agreed as between the client and the lawyers</w:t>
      </w:r>
      <w:r w:rsidR="00C61F4B" w:rsidRPr="00A241F5">
        <w:rPr>
          <w:rFonts w:cs="Arial"/>
          <w:i/>
        </w:rPr>
        <w:t>"</w:t>
      </w:r>
      <w:r w:rsidR="0045386A" w:rsidRPr="00A241F5">
        <w:rPr>
          <w:rFonts w:cs="Arial"/>
        </w:rPr>
        <w:t xml:space="preserve">.    </w:t>
      </w:r>
    </w:p>
    <w:p w14:paraId="6C84F916" w14:textId="77777777" w:rsidR="0045386A" w:rsidRPr="00A241F5" w:rsidRDefault="0045386A" w:rsidP="0045386A">
      <w:pPr>
        <w:widowControl/>
        <w:tabs>
          <w:tab w:val="clear" w:pos="1418"/>
          <w:tab w:val="left" w:pos="1440"/>
        </w:tabs>
        <w:rPr>
          <w:rFonts w:cs="Arial"/>
          <w:lang w:val="en-HK"/>
        </w:rPr>
      </w:pPr>
    </w:p>
    <w:p w14:paraId="4454A0D3" w14:textId="77777777" w:rsidR="0045386A" w:rsidRPr="00A241F5" w:rsidRDefault="0045386A" w:rsidP="0045386A">
      <w:pPr>
        <w:widowControl/>
        <w:tabs>
          <w:tab w:val="clear" w:pos="1418"/>
          <w:tab w:val="left" w:pos="1440"/>
        </w:tabs>
        <w:rPr>
          <w:rFonts w:cs="Arial"/>
          <w:lang w:val="en-HK"/>
        </w:rPr>
      </w:pPr>
    </w:p>
    <w:p w14:paraId="7DAAA4C7" w14:textId="77777777" w:rsidR="0045386A" w:rsidRPr="00A241F5" w:rsidRDefault="0045386A" w:rsidP="0045386A">
      <w:pPr>
        <w:pStyle w:val="Heading2"/>
        <w:keepLines/>
        <w:widowControl/>
        <w:tabs>
          <w:tab w:val="clear" w:pos="1418"/>
          <w:tab w:val="left" w:pos="1440"/>
        </w:tabs>
        <w:rPr>
          <w:rFonts w:cs="Arial"/>
        </w:rPr>
      </w:pPr>
      <w:r w:rsidRPr="00A241F5">
        <w:rPr>
          <w:rFonts w:cs="Arial"/>
        </w:rPr>
        <w:t>Our analysis and response</w:t>
      </w:r>
    </w:p>
    <w:p w14:paraId="1680563D" w14:textId="77777777" w:rsidR="0045386A" w:rsidRPr="00A241F5" w:rsidRDefault="0045386A" w:rsidP="0045386A"/>
    <w:p w14:paraId="54792405" w14:textId="30A62773" w:rsidR="0045386A" w:rsidRPr="00A241F5" w:rsidRDefault="00917B30" w:rsidP="0045386A">
      <w:pPr>
        <w:widowControl/>
        <w:tabs>
          <w:tab w:val="clear" w:pos="1418"/>
          <w:tab w:val="left" w:pos="1440"/>
        </w:tabs>
        <w:rPr>
          <w:rFonts w:cs="Arial"/>
        </w:rPr>
      </w:pPr>
      <w:r w:rsidRPr="00A241F5">
        <w:rPr>
          <w:rFonts w:cs="Arial"/>
        </w:rPr>
        <w:t>15.</w:t>
      </w:r>
      <w:r w:rsidR="0045386A" w:rsidRPr="00A241F5">
        <w:rPr>
          <w:rFonts w:cs="Arial"/>
        </w:rPr>
        <w:t>10</w:t>
      </w:r>
      <w:r w:rsidR="0045386A" w:rsidRPr="00A241F5">
        <w:rPr>
          <w:rFonts w:cs="Arial"/>
        </w:rPr>
        <w:tab/>
        <w:t>The majority of Respondents who commented on Recommendation 14 clearly agreed that Lawyers and legal practices should be permitted to charge separately for work done in relation to separate but related aspects of the Arbitration.</w:t>
      </w:r>
      <w:r w:rsidR="0045386A" w:rsidRPr="00A241F5">
        <w:rPr>
          <w:rFonts w:eastAsia="DengXian" w:cs="Arial" w:hint="eastAsia"/>
          <w:lang w:eastAsia="zh-CN"/>
        </w:rPr>
        <w:t xml:space="preserve">  </w:t>
      </w:r>
      <w:r w:rsidR="0045386A" w:rsidRPr="00A241F5">
        <w:rPr>
          <w:rFonts w:cs="Arial"/>
        </w:rPr>
        <w:t xml:space="preserve">We agree with the Sub-committee that such approach upholds freedom of contract, and allows considerable flexibility for the client and the Lawyer not only to agree on how to structure their fee (and any ORFS) arrangements to suit their particular needs and circumstances, but also maximum flexibility to negotiate and agree what constitutes a </w:t>
      </w:r>
      <w:r w:rsidR="00A10EC2" w:rsidRPr="00A241F5">
        <w:rPr>
          <w:rFonts w:cs="Arial"/>
        </w:rPr>
        <w:t xml:space="preserve">Financial Benefit </w:t>
      </w:r>
      <w:r w:rsidR="0045386A" w:rsidRPr="00A241F5">
        <w:rPr>
          <w:rFonts w:cs="Arial"/>
        </w:rPr>
        <w:t>in the context of the particular case in which the ORFS is being used.  As noted, this is consistent with Final Recommendation 13(</w:t>
      </w:r>
      <w:r w:rsidR="001D6F88" w:rsidRPr="00A241F5">
        <w:rPr>
          <w:rFonts w:cs="Arial"/>
        </w:rPr>
        <w:t>c</w:t>
      </w:r>
      <w:r w:rsidR="0045386A" w:rsidRPr="00A241F5">
        <w:rPr>
          <w:rFonts w:cs="Arial"/>
        </w:rPr>
        <w:t>), (</w:t>
      </w:r>
      <w:r w:rsidR="001D6F88" w:rsidRPr="00A241F5">
        <w:rPr>
          <w:rFonts w:cs="Arial"/>
        </w:rPr>
        <w:t>d</w:t>
      </w:r>
      <w:r w:rsidR="0045386A" w:rsidRPr="00A241F5">
        <w:rPr>
          <w:rFonts w:cs="Arial"/>
        </w:rPr>
        <w:t>), (</w:t>
      </w:r>
      <w:r w:rsidR="001D6F88" w:rsidRPr="00A241F5">
        <w:rPr>
          <w:rFonts w:cs="Arial"/>
        </w:rPr>
        <w:t>e</w:t>
      </w:r>
      <w:r w:rsidR="0045386A" w:rsidRPr="00A241F5">
        <w:rPr>
          <w:rFonts w:cs="Arial"/>
        </w:rPr>
        <w:t>) and (</w:t>
      </w:r>
      <w:r w:rsidR="001D6F88" w:rsidRPr="00A241F5">
        <w:rPr>
          <w:rFonts w:cs="Arial"/>
        </w:rPr>
        <w:t>f</w:t>
      </w:r>
      <w:r w:rsidR="0045386A" w:rsidRPr="00A241F5">
        <w:rPr>
          <w:rFonts w:cs="Arial"/>
        </w:rPr>
        <w:t>), discussed in Chapter 1</w:t>
      </w:r>
      <w:r w:rsidR="00F32ECE" w:rsidRPr="00A241F5">
        <w:rPr>
          <w:rFonts w:cs="Arial"/>
        </w:rPr>
        <w:t>4</w:t>
      </w:r>
      <w:r w:rsidR="0045386A" w:rsidRPr="00A241F5">
        <w:rPr>
          <w:rFonts w:cs="Arial"/>
        </w:rPr>
        <w:t xml:space="preserve"> above. </w:t>
      </w:r>
    </w:p>
    <w:p w14:paraId="4667C70E" w14:textId="77777777" w:rsidR="0045386A" w:rsidRPr="00A241F5" w:rsidRDefault="0045386A" w:rsidP="0045386A">
      <w:pPr>
        <w:widowControl/>
        <w:tabs>
          <w:tab w:val="clear" w:pos="1418"/>
          <w:tab w:val="left" w:pos="1440"/>
        </w:tabs>
        <w:rPr>
          <w:rFonts w:cs="Arial"/>
        </w:rPr>
      </w:pPr>
    </w:p>
    <w:p w14:paraId="164C4BDD" w14:textId="329A7610" w:rsidR="0045386A" w:rsidRPr="00A241F5" w:rsidRDefault="00917B30" w:rsidP="0045386A">
      <w:pPr>
        <w:widowControl/>
        <w:tabs>
          <w:tab w:val="clear" w:pos="1418"/>
          <w:tab w:val="left" w:pos="1440"/>
        </w:tabs>
        <w:rPr>
          <w:rFonts w:cs="Arial"/>
        </w:rPr>
      </w:pPr>
      <w:r w:rsidRPr="00A241F5">
        <w:rPr>
          <w:rFonts w:cs="Arial"/>
        </w:rPr>
        <w:t>15.</w:t>
      </w:r>
      <w:r w:rsidR="0045386A" w:rsidRPr="00A241F5">
        <w:rPr>
          <w:rFonts w:cs="Arial"/>
        </w:rPr>
        <w:t>11</w:t>
      </w:r>
      <w:r w:rsidR="0045386A" w:rsidRPr="00A241F5">
        <w:rPr>
          <w:rFonts w:cs="Arial"/>
        </w:rPr>
        <w:tab/>
        <w:t xml:space="preserve">Accordingly, we recommend that Lawyers should be permitted to charge separately for work done in relation to separate but related aspects of the Arbitration.  This does not mean that every stage of an Arbitration - claim, counterclaim, set aside, enforcement, etc - must be subject to an ORFS.  It does, nevertheless, allow clients to discuss with their Lawyers which aspects, if any, might be suitable for an ORFS, whether and how to define </w:t>
      </w:r>
      <w:r w:rsidR="00C61F4B" w:rsidRPr="00A241F5">
        <w:rPr>
          <w:rFonts w:cs="Arial"/>
        </w:rPr>
        <w:t>"</w:t>
      </w:r>
      <w:r w:rsidR="0045386A" w:rsidRPr="00A241F5">
        <w:rPr>
          <w:rFonts w:cs="Arial"/>
        </w:rPr>
        <w:t>success</w:t>
      </w:r>
      <w:r w:rsidR="00C61F4B" w:rsidRPr="00A241F5">
        <w:rPr>
          <w:rFonts w:cs="Arial"/>
        </w:rPr>
        <w:t>"</w:t>
      </w:r>
      <w:r w:rsidR="0045386A" w:rsidRPr="00A241F5">
        <w:rPr>
          <w:rFonts w:cs="Arial"/>
        </w:rPr>
        <w:t xml:space="preserve"> and </w:t>
      </w:r>
      <w:r w:rsidR="00F32ECE" w:rsidRPr="00A241F5">
        <w:rPr>
          <w:rFonts w:cs="Arial"/>
        </w:rPr>
        <w:t>F</w:t>
      </w:r>
      <w:r w:rsidR="0045386A" w:rsidRPr="00A241F5">
        <w:rPr>
          <w:rFonts w:cs="Arial"/>
        </w:rPr>
        <w:t xml:space="preserve">inancial </w:t>
      </w:r>
      <w:r w:rsidR="00F32ECE" w:rsidRPr="00A241F5">
        <w:rPr>
          <w:rFonts w:cs="Arial"/>
        </w:rPr>
        <w:t>B</w:t>
      </w:r>
      <w:r w:rsidR="0045386A" w:rsidRPr="00A241F5">
        <w:rPr>
          <w:rFonts w:cs="Arial"/>
        </w:rPr>
        <w:t>enefit for each aspect, and to negotiate and agree accordingly.</w:t>
      </w:r>
    </w:p>
    <w:p w14:paraId="080726B8" w14:textId="57E1FA72" w:rsidR="0045386A" w:rsidRPr="00A241F5" w:rsidRDefault="0045386A" w:rsidP="0045386A">
      <w:pPr>
        <w:rPr>
          <w:rFonts w:cs="Arial"/>
        </w:rPr>
      </w:pPr>
    </w:p>
    <w:p w14:paraId="1351C839" w14:textId="220D6C44" w:rsidR="00C61F4B" w:rsidRPr="00A241F5" w:rsidRDefault="00C61F4B" w:rsidP="0045386A">
      <w:pPr>
        <w:rPr>
          <w:rFonts w:cs="Arial"/>
        </w:rPr>
      </w:pPr>
    </w:p>
    <w:p w14:paraId="77FF2293" w14:textId="54E3CEDB" w:rsidR="00C61F4B" w:rsidRPr="00A241F5" w:rsidRDefault="00C61F4B" w:rsidP="0045386A">
      <w:pPr>
        <w:rPr>
          <w:rFonts w:cs="Arial"/>
        </w:rPr>
      </w:pPr>
    </w:p>
    <w:p w14:paraId="42839075" w14:textId="39EAEF3E" w:rsidR="00C61F4B" w:rsidRPr="00A241F5" w:rsidRDefault="00C61F4B" w:rsidP="0045386A">
      <w:pPr>
        <w:rPr>
          <w:rFonts w:cs="Arial"/>
        </w:rPr>
      </w:pPr>
    </w:p>
    <w:p w14:paraId="04E8E948" w14:textId="6A331453" w:rsidR="00C61F4B" w:rsidRPr="00A241F5" w:rsidRDefault="00C61F4B" w:rsidP="0045386A">
      <w:pPr>
        <w:rPr>
          <w:rFonts w:cs="Arial"/>
        </w:rPr>
      </w:pPr>
    </w:p>
    <w:p w14:paraId="449F9EDA" w14:textId="16EE30AB" w:rsidR="00C61F4B" w:rsidRPr="00A241F5" w:rsidRDefault="00C61F4B" w:rsidP="0045386A">
      <w:pPr>
        <w:rPr>
          <w:rFonts w:cs="Arial"/>
        </w:rPr>
      </w:pPr>
    </w:p>
    <w:p w14:paraId="4ACDDC66" w14:textId="4B09B092" w:rsidR="00C61F4B" w:rsidRPr="00A241F5" w:rsidRDefault="00C61F4B" w:rsidP="0045386A">
      <w:pPr>
        <w:rPr>
          <w:rFonts w:cs="Arial"/>
        </w:rPr>
      </w:pPr>
    </w:p>
    <w:p w14:paraId="4DC7B717" w14:textId="77777777" w:rsidR="00C61F4B" w:rsidRPr="00A241F5" w:rsidRDefault="00C61F4B" w:rsidP="0045386A">
      <w:pPr>
        <w:rPr>
          <w:rFonts w:cs="Arial"/>
        </w:rPr>
      </w:pPr>
    </w:p>
    <w:p w14:paraId="1565149F" w14:textId="2771DE72" w:rsidR="0045386A" w:rsidRPr="00A241F5" w:rsidRDefault="0045386A" w:rsidP="0045386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r w:rsidRPr="00A241F5">
        <w:t>Final Recommendation 14</w:t>
      </w:r>
    </w:p>
    <w:p w14:paraId="61D4DEF1" w14:textId="77777777" w:rsidR="0045386A" w:rsidRPr="00A241F5" w:rsidRDefault="0045386A" w:rsidP="0045386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pPr>
    </w:p>
    <w:p w14:paraId="3E79B2D2" w14:textId="77777777" w:rsidR="0045386A" w:rsidRPr="00A241F5" w:rsidRDefault="0045386A" w:rsidP="0045386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rPr>
          <w:rFonts w:cs="Arial"/>
        </w:rPr>
      </w:pPr>
      <w:r w:rsidRPr="00A241F5">
        <w:rPr>
          <w:rFonts w:cs="Arial"/>
        </w:rPr>
        <w:t>We recommend that:</w:t>
      </w:r>
    </w:p>
    <w:p w14:paraId="5DCDF203" w14:textId="77777777" w:rsidR="0045386A" w:rsidRPr="00A241F5" w:rsidRDefault="0045386A" w:rsidP="0045386A">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right="720" w:firstLine="0"/>
        <w:textAlignment w:val="baseline"/>
        <w:rPr>
          <w:rFonts w:cs="Arial"/>
        </w:rPr>
      </w:pPr>
    </w:p>
    <w:p w14:paraId="40CA411F" w14:textId="72A01961" w:rsidR="0045386A" w:rsidRPr="00A241F5" w:rsidRDefault="00A42048" w:rsidP="00A42048">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rPr>
        <w:t>(a)</w:t>
      </w:r>
      <w:r w:rsidRPr="00A241F5">
        <w:rPr>
          <w:rFonts w:cs="Arial"/>
        </w:rPr>
        <w:tab/>
      </w:r>
      <w:r w:rsidR="0045386A" w:rsidRPr="00A241F5">
        <w:rPr>
          <w:rFonts w:cs="Arial"/>
        </w:rPr>
        <w:t xml:space="preserve">Lawyers and legal practices should be permitted to charge separately for work done in relation to separate but related aspects of the Arbitration, such as counterclaims, enforcement actions and appeals.  </w:t>
      </w:r>
    </w:p>
    <w:p w14:paraId="2A31088C" w14:textId="77777777" w:rsidR="0045386A" w:rsidRPr="00A241F5" w:rsidRDefault="0045386A" w:rsidP="00A42048">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p>
    <w:p w14:paraId="3621A4DF" w14:textId="23F140C0" w:rsidR="0045386A" w:rsidRPr="00A241F5" w:rsidRDefault="00A42048" w:rsidP="00A42048">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r w:rsidRPr="00A241F5">
        <w:rPr>
          <w:rFonts w:cs="Arial"/>
          <w:lang w:eastAsia="zh-HK"/>
        </w:rPr>
        <w:t>(b)</w:t>
      </w:r>
      <w:r w:rsidRPr="00A241F5">
        <w:rPr>
          <w:rFonts w:cs="Arial"/>
          <w:lang w:eastAsia="zh-HK"/>
        </w:rPr>
        <w:tab/>
      </w:r>
      <w:r w:rsidR="0045386A" w:rsidRPr="00A241F5">
        <w:rPr>
          <w:rFonts w:cs="Arial" w:hint="eastAsia"/>
          <w:lang w:eastAsia="zh-HK"/>
        </w:rPr>
        <w:t>Subsidiary legislation should include provisions to require the following ma</w:t>
      </w:r>
      <w:r w:rsidR="0045386A" w:rsidRPr="00A241F5">
        <w:rPr>
          <w:rFonts w:cs="Arial"/>
          <w:lang w:eastAsia="zh-HK"/>
        </w:rPr>
        <w:t xml:space="preserve">tters to be stated clearly in </w:t>
      </w:r>
      <w:r w:rsidR="0045386A" w:rsidRPr="00A241F5">
        <w:rPr>
          <w:rFonts w:cs="Arial"/>
        </w:rPr>
        <w:t>the ORFS:</w:t>
      </w:r>
    </w:p>
    <w:p w14:paraId="322586D8" w14:textId="480EA287" w:rsidR="00A42048" w:rsidRPr="00A241F5" w:rsidRDefault="00A42048" w:rsidP="00A42048">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1440" w:right="720"/>
        <w:textAlignment w:val="baseline"/>
        <w:rPr>
          <w:rFonts w:cs="Arial"/>
        </w:rPr>
      </w:pPr>
    </w:p>
    <w:p w14:paraId="747DF0D4" w14:textId="794DD326" w:rsidR="00A42048" w:rsidRPr="00A241F5" w:rsidRDefault="00A42048" w:rsidP="00A42048">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rPr>
          <w:rFonts w:cs="Arial"/>
        </w:rPr>
      </w:pPr>
      <w:r w:rsidRPr="00A241F5">
        <w:rPr>
          <w:rFonts w:cs="Arial"/>
        </w:rPr>
        <w:tab/>
        <w:t>(i)</w:t>
      </w:r>
      <w:r w:rsidRPr="00A241F5">
        <w:rPr>
          <w:rFonts w:cs="Arial"/>
        </w:rPr>
        <w:tab/>
        <w:t>the Arbitration or parts thereof (including any appeal, set aside or counterclaim) to which the ORFS relates;</w:t>
      </w:r>
      <w:r w:rsidRPr="00A241F5">
        <w:rPr>
          <w:rStyle w:val="FootnoteReference"/>
          <w:rFonts w:cs="Arial"/>
          <w:sz w:val="24"/>
        </w:rPr>
        <w:footnoteReference w:id="114"/>
      </w:r>
      <w:r w:rsidRPr="00A241F5">
        <w:rPr>
          <w:rFonts w:cs="Arial"/>
        </w:rPr>
        <w:t xml:space="preserve"> and</w:t>
      </w:r>
    </w:p>
    <w:p w14:paraId="1D5624DB" w14:textId="2F357699" w:rsidR="00A42048" w:rsidRPr="00A241F5" w:rsidRDefault="00A42048" w:rsidP="00A42048">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rPr>
          <w:rFonts w:cs="Arial"/>
        </w:rPr>
      </w:pPr>
    </w:p>
    <w:p w14:paraId="3113A9B1" w14:textId="7E128828" w:rsidR="00A42048" w:rsidRPr="00A241F5" w:rsidRDefault="00A42048" w:rsidP="00A42048">
      <w:pPr>
        <w:pStyle w:val="Recommendationindent1"/>
        <w:keepNext/>
        <w:keepLines/>
        <w:pBdr>
          <w:top w:val="single" w:sz="4" w:space="8" w:color="auto"/>
          <w:left w:val="single" w:sz="4" w:space="8" w:color="auto"/>
          <w:bottom w:val="single" w:sz="4" w:space="8" w:color="auto"/>
          <w:right w:val="single" w:sz="4" w:space="8" w:color="auto"/>
        </w:pBdr>
        <w:autoSpaceDE w:val="0"/>
        <w:autoSpaceDN w:val="0"/>
        <w:ind w:left="2160" w:right="720" w:hanging="1440"/>
        <w:textAlignment w:val="baseline"/>
        <w:rPr>
          <w:rFonts w:cs="Arial"/>
        </w:rPr>
      </w:pPr>
      <w:r w:rsidRPr="00A241F5">
        <w:rPr>
          <w:rFonts w:cs="Arial"/>
        </w:rPr>
        <w:tab/>
        <w:t>(ii)</w:t>
      </w:r>
      <w:r w:rsidRPr="00A241F5">
        <w:rPr>
          <w:rFonts w:cs="Arial"/>
        </w:rPr>
        <w:tab/>
        <w:t>whether the ORFS covers the client</w:t>
      </w:r>
      <w:r w:rsidR="00C61F4B" w:rsidRPr="00A241F5">
        <w:rPr>
          <w:rFonts w:cs="Arial"/>
        </w:rPr>
        <w:t>'</w:t>
      </w:r>
      <w:r w:rsidRPr="00A241F5">
        <w:rPr>
          <w:rFonts w:cs="Arial"/>
        </w:rPr>
        <w:t>s prosecution or defence of the claim (or both)</w:t>
      </w:r>
      <w:r w:rsidRPr="00A241F5">
        <w:rPr>
          <w:rFonts w:cs="Arial" w:hint="eastAsia"/>
        </w:rPr>
        <w:t>.</w:t>
      </w:r>
      <w:r w:rsidRPr="00A241F5">
        <w:rPr>
          <w:rStyle w:val="FootnoteReference"/>
          <w:rFonts w:cs="Arial"/>
          <w:sz w:val="24"/>
        </w:rPr>
        <w:footnoteReference w:id="115"/>
      </w:r>
    </w:p>
    <w:p w14:paraId="06CDFE7A" w14:textId="77777777" w:rsidR="0045386A" w:rsidRPr="00A241F5" w:rsidRDefault="0045386A" w:rsidP="0045386A">
      <w:pPr>
        <w:rPr>
          <w:b/>
        </w:rPr>
      </w:pPr>
    </w:p>
    <w:p w14:paraId="27A8349C" w14:textId="77777777" w:rsidR="0045386A" w:rsidRPr="00A241F5" w:rsidRDefault="0045386A" w:rsidP="0045386A">
      <w:pPr>
        <w:rPr>
          <w:b/>
        </w:rPr>
      </w:pPr>
    </w:p>
    <w:p w14:paraId="7AF7178A" w14:textId="77777777" w:rsidR="0045386A" w:rsidRPr="00A241F5" w:rsidRDefault="0045386A" w:rsidP="0045386A">
      <w:pPr>
        <w:rPr>
          <w:b/>
        </w:rPr>
      </w:pPr>
    </w:p>
    <w:p w14:paraId="744F0549" w14:textId="77777777" w:rsidR="0045386A" w:rsidRPr="00A241F5" w:rsidRDefault="0045386A" w:rsidP="0045386A">
      <w:pPr>
        <w:rPr>
          <w:b/>
        </w:rPr>
        <w:sectPr w:rsidR="0045386A" w:rsidRPr="00A241F5" w:rsidSect="001C4520">
          <w:footnotePr>
            <w:numRestart w:val="eachSect"/>
          </w:footnotePr>
          <w:pgSz w:w="11906" w:h="16838" w:code="9"/>
          <w:pgMar w:top="1440" w:right="1800" w:bottom="1440" w:left="1800" w:header="720" w:footer="720" w:gutter="0"/>
          <w:cols w:space="425"/>
          <w:docGrid w:linePitch="360"/>
        </w:sectPr>
      </w:pPr>
    </w:p>
    <w:p w14:paraId="168AC0FA" w14:textId="550BEB95" w:rsidR="0045386A" w:rsidRPr="00A241F5" w:rsidRDefault="0045386A" w:rsidP="0045386A">
      <w:pPr>
        <w:pStyle w:val="Heading1"/>
      </w:pPr>
      <w:r w:rsidRPr="00A241F5">
        <w:lastRenderedPageBreak/>
        <w:t>Chapter 1</w:t>
      </w:r>
      <w:r w:rsidR="00917B30" w:rsidRPr="00A241F5">
        <w:t>6</w:t>
      </w:r>
      <w:bookmarkStart w:id="28" w:name="Chapter16"/>
      <w:bookmarkEnd w:id="28"/>
    </w:p>
    <w:p w14:paraId="6419E93F" w14:textId="77777777" w:rsidR="0045386A" w:rsidRPr="00A241F5" w:rsidRDefault="0045386A" w:rsidP="0045386A"/>
    <w:p w14:paraId="5115F917" w14:textId="77777777" w:rsidR="0045386A" w:rsidRPr="00A241F5" w:rsidRDefault="0045386A" w:rsidP="0045386A">
      <w:pPr>
        <w:pStyle w:val="Heading1"/>
      </w:pPr>
      <w:r w:rsidRPr="00A241F5">
        <w:t xml:space="preserve">Summary of our </w:t>
      </w:r>
    </w:p>
    <w:p w14:paraId="5301D413" w14:textId="77777777" w:rsidR="0045386A" w:rsidRPr="00A241F5" w:rsidRDefault="0045386A" w:rsidP="0045386A">
      <w:pPr>
        <w:pStyle w:val="Heading1"/>
      </w:pPr>
      <w:r w:rsidRPr="00A241F5">
        <w:t>Final Recommendations</w:t>
      </w:r>
    </w:p>
    <w:p w14:paraId="0831CC40" w14:textId="77777777" w:rsidR="0045386A" w:rsidRPr="00A241F5" w:rsidRDefault="0045386A" w:rsidP="0045386A">
      <w:r w:rsidRPr="00A241F5">
        <w:t>__________________________________</w:t>
      </w:r>
    </w:p>
    <w:p w14:paraId="79756393" w14:textId="77777777" w:rsidR="0045386A" w:rsidRPr="00A241F5" w:rsidRDefault="0045386A" w:rsidP="0045386A"/>
    <w:p w14:paraId="277A04AD" w14:textId="77777777" w:rsidR="0045386A" w:rsidRPr="00A241F5" w:rsidRDefault="0045386A" w:rsidP="0045386A"/>
    <w:p w14:paraId="0F122782" w14:textId="77777777" w:rsidR="0045386A" w:rsidRPr="00A241F5" w:rsidRDefault="0045386A" w:rsidP="0045386A">
      <w:pPr>
        <w:keepNext/>
        <w:widowControl/>
        <w:outlineLvl w:val="2"/>
        <w:rPr>
          <w:b/>
          <w:bCs/>
          <w:i/>
        </w:rPr>
      </w:pPr>
      <w:r w:rsidRPr="00A241F5">
        <w:rPr>
          <w:b/>
          <w:bCs/>
          <w:i/>
        </w:rPr>
        <w:t>Final Recommendation 1</w:t>
      </w:r>
    </w:p>
    <w:p w14:paraId="468264B7" w14:textId="77777777" w:rsidR="0045386A" w:rsidRPr="00A241F5" w:rsidRDefault="0045386A" w:rsidP="0045386A">
      <w:pPr>
        <w:keepNext/>
        <w:widowControl/>
      </w:pPr>
    </w:p>
    <w:p w14:paraId="135EAD0E" w14:textId="43D8271E" w:rsidR="0045386A" w:rsidRPr="00A241F5" w:rsidRDefault="001C47F6" w:rsidP="0045386A">
      <w:pPr>
        <w:keepNext/>
        <w:widowControl/>
      </w:pPr>
      <w:r w:rsidRPr="00A241F5">
        <w:t>We recommend that prohibitions on the use of CFAs in Arbitration by Lawyers should be lifted, so that Lawyers may choose to enter into CFAs for Arbitration.</w:t>
      </w:r>
    </w:p>
    <w:p w14:paraId="56618529" w14:textId="398A02BB" w:rsidR="001C47F6" w:rsidRPr="00A241F5" w:rsidRDefault="001C47F6" w:rsidP="001C47F6">
      <w:pPr>
        <w:widowControl/>
        <w:rPr>
          <w:rFonts w:cs="Arial"/>
        </w:rPr>
      </w:pPr>
      <w:r w:rsidRPr="00A241F5">
        <w:rPr>
          <w:rFonts w:cs="Arial"/>
        </w:rPr>
        <w:t xml:space="preserve">(Paras </w:t>
      </w:r>
      <w:r w:rsidR="00842345" w:rsidRPr="00A241F5">
        <w:rPr>
          <w:rFonts w:cs="Arial"/>
        </w:rPr>
        <w:t xml:space="preserve">2.10 </w:t>
      </w:r>
      <w:r w:rsidRPr="00A241F5">
        <w:rPr>
          <w:rFonts w:cs="Arial"/>
        </w:rPr>
        <w:t xml:space="preserve">to </w:t>
      </w:r>
      <w:r w:rsidR="00842345" w:rsidRPr="00A241F5">
        <w:rPr>
          <w:rFonts w:cs="Arial"/>
        </w:rPr>
        <w:t>2.32</w:t>
      </w:r>
      <w:r w:rsidRPr="00A241F5">
        <w:rPr>
          <w:rFonts w:cs="Arial"/>
        </w:rPr>
        <w:t>)</w:t>
      </w:r>
    </w:p>
    <w:p w14:paraId="3221AD21" w14:textId="77777777" w:rsidR="0045386A" w:rsidRPr="00A241F5" w:rsidRDefault="0045386A" w:rsidP="0045386A">
      <w:pPr>
        <w:widowControl/>
      </w:pPr>
    </w:p>
    <w:p w14:paraId="50FBA9EC" w14:textId="77777777" w:rsidR="0045386A" w:rsidRPr="00A241F5" w:rsidRDefault="0045386A" w:rsidP="0045386A">
      <w:pPr>
        <w:widowControl/>
      </w:pPr>
    </w:p>
    <w:p w14:paraId="61B2A1E4" w14:textId="77777777" w:rsidR="0045386A" w:rsidRPr="00A241F5" w:rsidRDefault="0045386A" w:rsidP="0045386A">
      <w:pPr>
        <w:keepNext/>
        <w:keepLines/>
        <w:widowControl/>
        <w:outlineLvl w:val="2"/>
        <w:rPr>
          <w:b/>
          <w:bCs/>
          <w:i/>
        </w:rPr>
      </w:pPr>
      <w:r w:rsidRPr="00A241F5">
        <w:rPr>
          <w:b/>
          <w:bCs/>
          <w:i/>
        </w:rPr>
        <w:t>Final Recommendation 2</w:t>
      </w:r>
    </w:p>
    <w:p w14:paraId="1CF99BE5" w14:textId="77777777" w:rsidR="0045386A" w:rsidRPr="00A241F5" w:rsidRDefault="0045386A" w:rsidP="0045386A">
      <w:pPr>
        <w:widowControl/>
      </w:pPr>
    </w:p>
    <w:p w14:paraId="245060DF" w14:textId="34D1570C" w:rsidR="0045386A" w:rsidRPr="00A241F5" w:rsidRDefault="001C47F6" w:rsidP="0045386A">
      <w:pPr>
        <w:widowControl/>
        <w:rPr>
          <w:rFonts w:cs="Arial"/>
        </w:rPr>
      </w:pPr>
      <w:r w:rsidRPr="00A241F5">
        <w:rPr>
          <w:rFonts w:cs="Arial"/>
        </w:rPr>
        <w:t>Where a CFA is in place, we recommend that any Success Fee premium and any Legal Expense Insurance premium agreed by a client with its Lawyers and insurers respectively shall not, in principle, be borne by the unsuccessful party.  However, where in the opinion of the Tribunal there are exceptional circumstances, the Tribunal may apportion such Success Fee premium and/or Legal Expense Insurance premium between the parties if it determines that apportionment is reasonable, taking into account the exceptional circumstances of the case.  (Paras 3.</w:t>
      </w:r>
      <w:r w:rsidR="00842345" w:rsidRPr="00A241F5">
        <w:rPr>
          <w:rFonts w:cs="Arial"/>
        </w:rPr>
        <w:t>1</w:t>
      </w:r>
      <w:r w:rsidRPr="00A241F5">
        <w:rPr>
          <w:rFonts w:cs="Arial"/>
        </w:rPr>
        <w:t>0 to</w:t>
      </w:r>
      <w:r w:rsidR="00842345" w:rsidRPr="00A241F5">
        <w:rPr>
          <w:rFonts w:cs="Arial"/>
        </w:rPr>
        <w:t xml:space="preserve"> 3.20</w:t>
      </w:r>
      <w:r w:rsidRPr="00A241F5">
        <w:rPr>
          <w:rFonts w:cs="Arial"/>
        </w:rPr>
        <w:t>)</w:t>
      </w:r>
    </w:p>
    <w:p w14:paraId="71A5327F" w14:textId="77777777" w:rsidR="001C47F6" w:rsidRPr="00A241F5" w:rsidRDefault="001C47F6" w:rsidP="0045386A">
      <w:pPr>
        <w:widowControl/>
      </w:pPr>
    </w:p>
    <w:p w14:paraId="3AA102E9" w14:textId="77777777" w:rsidR="0045386A" w:rsidRPr="00A241F5" w:rsidRDefault="0045386A" w:rsidP="0045386A">
      <w:pPr>
        <w:widowControl/>
      </w:pPr>
    </w:p>
    <w:p w14:paraId="4DF96B74" w14:textId="77777777" w:rsidR="0045386A" w:rsidRPr="00A241F5" w:rsidRDefault="0045386A" w:rsidP="0045386A">
      <w:pPr>
        <w:widowControl/>
        <w:rPr>
          <w:b/>
          <w:i/>
        </w:rPr>
      </w:pPr>
      <w:r w:rsidRPr="00A241F5">
        <w:rPr>
          <w:b/>
          <w:i/>
        </w:rPr>
        <w:t>Final Recommendation 3</w:t>
      </w:r>
    </w:p>
    <w:p w14:paraId="749C0D91" w14:textId="77777777" w:rsidR="0045386A" w:rsidRPr="00A241F5" w:rsidRDefault="0045386A" w:rsidP="0045386A">
      <w:pPr>
        <w:widowControl/>
      </w:pPr>
    </w:p>
    <w:p w14:paraId="2ABBADE5" w14:textId="77777777" w:rsidR="001C47F6" w:rsidRPr="00A241F5" w:rsidRDefault="001C47F6" w:rsidP="001C47F6">
      <w:pPr>
        <w:widowControl/>
        <w:rPr>
          <w:rFonts w:cs="Arial"/>
        </w:rPr>
      </w:pPr>
      <w:r w:rsidRPr="00A241F5">
        <w:rPr>
          <w:rFonts w:cs="Arial"/>
        </w:rPr>
        <w:t>Where a CFA is in place, we recommend that:</w:t>
      </w:r>
    </w:p>
    <w:p w14:paraId="7D0AE11C" w14:textId="77777777" w:rsidR="001C47F6" w:rsidRPr="00A241F5" w:rsidRDefault="001C47F6" w:rsidP="001C47F6">
      <w:pPr>
        <w:widowControl/>
        <w:rPr>
          <w:rFonts w:cs="Arial"/>
        </w:rPr>
      </w:pPr>
    </w:p>
    <w:p w14:paraId="256AF4D9" w14:textId="2A14E75E" w:rsidR="001C47F6" w:rsidRPr="00A241F5" w:rsidRDefault="001C47F6" w:rsidP="001C47F6">
      <w:pPr>
        <w:widowControl/>
        <w:ind w:left="1440" w:hanging="720"/>
        <w:rPr>
          <w:rFonts w:cs="Arial"/>
        </w:rPr>
      </w:pPr>
      <w:r w:rsidRPr="00A241F5">
        <w:rPr>
          <w:rFonts w:cs="Arial"/>
        </w:rPr>
        <w:t>(a)</w:t>
      </w:r>
      <w:r w:rsidRPr="00A241F5">
        <w:rPr>
          <w:rFonts w:cs="Arial"/>
        </w:rPr>
        <w:tab/>
        <w:t xml:space="preserve">there should be a cap on the Success Fee of 100% of </w:t>
      </w:r>
      <w:r w:rsidR="00C61F4B" w:rsidRPr="00A241F5">
        <w:rPr>
          <w:rFonts w:cs="Arial"/>
        </w:rPr>
        <w:t>"</w:t>
      </w:r>
      <w:r w:rsidRPr="00A241F5">
        <w:rPr>
          <w:rFonts w:cs="Arial"/>
        </w:rPr>
        <w:t>benchmark</w:t>
      </w:r>
      <w:r w:rsidR="00C61F4B" w:rsidRPr="00A241F5">
        <w:rPr>
          <w:rFonts w:cs="Arial"/>
        </w:rPr>
        <w:t>"</w:t>
      </w:r>
      <w:r w:rsidRPr="00A241F5">
        <w:rPr>
          <w:rFonts w:cs="Arial"/>
        </w:rPr>
        <w:t xml:space="preserve"> costs; and</w:t>
      </w:r>
    </w:p>
    <w:p w14:paraId="133FDE1C" w14:textId="77777777" w:rsidR="001C47F6" w:rsidRPr="00A241F5" w:rsidRDefault="001C47F6" w:rsidP="001C47F6">
      <w:pPr>
        <w:widowControl/>
        <w:ind w:left="1440" w:hanging="720"/>
        <w:rPr>
          <w:rFonts w:cs="Arial"/>
        </w:rPr>
      </w:pPr>
    </w:p>
    <w:p w14:paraId="6483167A" w14:textId="38586AEE" w:rsidR="0045386A" w:rsidRPr="00A241F5" w:rsidRDefault="001C47F6" w:rsidP="001C47F6">
      <w:pPr>
        <w:widowControl/>
        <w:ind w:left="1440" w:hanging="720"/>
      </w:pPr>
      <w:r w:rsidRPr="00A241F5">
        <w:rPr>
          <w:rFonts w:cs="Arial"/>
        </w:rPr>
        <w:t>(b)</w:t>
      </w:r>
      <w:r w:rsidRPr="00A241F5">
        <w:rPr>
          <w:rFonts w:cs="Arial"/>
        </w:rPr>
        <w:tab/>
        <w:t xml:space="preserve">barristers should be subject to the same cap in such circumstances. </w:t>
      </w:r>
      <w:r w:rsidR="00570F24" w:rsidRPr="00A241F5">
        <w:rPr>
          <w:rFonts w:cs="Arial"/>
        </w:rPr>
        <w:t xml:space="preserve"> (Paras </w:t>
      </w:r>
      <w:r w:rsidR="00842345" w:rsidRPr="00A241F5">
        <w:rPr>
          <w:rFonts w:cs="Arial"/>
        </w:rPr>
        <w:t xml:space="preserve">4.18 </w:t>
      </w:r>
      <w:r w:rsidR="00570F24" w:rsidRPr="00A241F5">
        <w:rPr>
          <w:rFonts w:cs="Arial"/>
        </w:rPr>
        <w:t xml:space="preserve">to </w:t>
      </w:r>
      <w:r w:rsidR="00842345" w:rsidRPr="00A241F5">
        <w:rPr>
          <w:rFonts w:cs="Arial"/>
        </w:rPr>
        <w:t>4.26</w:t>
      </w:r>
      <w:r w:rsidR="00570F24" w:rsidRPr="00A241F5">
        <w:rPr>
          <w:rFonts w:cs="Arial"/>
        </w:rPr>
        <w:t>)</w:t>
      </w:r>
    </w:p>
    <w:p w14:paraId="140232BF" w14:textId="30DEA1E4" w:rsidR="0045386A" w:rsidRPr="00A241F5" w:rsidRDefault="0045386A" w:rsidP="0045386A">
      <w:pPr>
        <w:widowControl/>
      </w:pPr>
    </w:p>
    <w:p w14:paraId="67F56B69" w14:textId="77777777" w:rsidR="001C47F6" w:rsidRPr="00A241F5" w:rsidRDefault="001C47F6" w:rsidP="0045386A">
      <w:pPr>
        <w:widowControl/>
      </w:pPr>
    </w:p>
    <w:p w14:paraId="3361767F" w14:textId="77777777" w:rsidR="0045386A" w:rsidRPr="00A241F5" w:rsidRDefault="0045386A" w:rsidP="0045386A">
      <w:pPr>
        <w:keepLines/>
        <w:widowControl/>
        <w:outlineLvl w:val="2"/>
        <w:rPr>
          <w:b/>
          <w:bCs/>
          <w:i/>
        </w:rPr>
      </w:pPr>
      <w:r w:rsidRPr="00A241F5">
        <w:rPr>
          <w:b/>
          <w:bCs/>
          <w:i/>
        </w:rPr>
        <w:t>Final Recommendation 4</w:t>
      </w:r>
    </w:p>
    <w:p w14:paraId="3D0BA6F3" w14:textId="77777777" w:rsidR="0045386A" w:rsidRPr="00A241F5" w:rsidRDefault="0045386A" w:rsidP="0045386A">
      <w:pPr>
        <w:keepLines/>
        <w:widowControl/>
      </w:pPr>
    </w:p>
    <w:p w14:paraId="031096B1" w14:textId="0B579C39" w:rsidR="0045386A" w:rsidRPr="00A241F5" w:rsidRDefault="001C47F6" w:rsidP="0045386A">
      <w:pPr>
        <w:keepLines/>
        <w:widowControl/>
        <w:rPr>
          <w:rFonts w:cs="Arial"/>
        </w:rPr>
      </w:pPr>
      <w:r w:rsidRPr="00A241F5">
        <w:rPr>
          <w:rFonts w:cs="Arial"/>
        </w:rPr>
        <w:t>We recommend that prohibitions on the use by Lawyers of DBAs in Arbitration should be lifted, so that Lawyers may use DBAs for Arbitration.</w:t>
      </w:r>
      <w:r w:rsidR="00570F24" w:rsidRPr="00A241F5">
        <w:rPr>
          <w:rFonts w:cs="Arial"/>
        </w:rPr>
        <w:t xml:space="preserve">  (Paras </w:t>
      </w:r>
      <w:r w:rsidR="00842345" w:rsidRPr="00A241F5">
        <w:rPr>
          <w:rFonts w:cs="Arial"/>
        </w:rPr>
        <w:t>5.10</w:t>
      </w:r>
      <w:r w:rsidR="00570F24" w:rsidRPr="00A241F5">
        <w:rPr>
          <w:rFonts w:cs="Arial"/>
        </w:rPr>
        <w:t xml:space="preserve"> to </w:t>
      </w:r>
      <w:r w:rsidR="00842345" w:rsidRPr="00A241F5">
        <w:rPr>
          <w:rFonts w:cs="Arial"/>
        </w:rPr>
        <w:t>5.17</w:t>
      </w:r>
      <w:r w:rsidR="00570F24" w:rsidRPr="00A241F5">
        <w:rPr>
          <w:rFonts w:cs="Arial"/>
        </w:rPr>
        <w:t>)</w:t>
      </w:r>
    </w:p>
    <w:p w14:paraId="2E71B2AF" w14:textId="77777777" w:rsidR="0045386A" w:rsidRPr="00A241F5" w:rsidRDefault="0045386A" w:rsidP="0045386A">
      <w:pPr>
        <w:keepLines/>
        <w:widowControl/>
        <w:rPr>
          <w:rFonts w:cs="Arial"/>
        </w:rPr>
      </w:pPr>
    </w:p>
    <w:p w14:paraId="5AE0A7C3" w14:textId="77777777" w:rsidR="0045386A" w:rsidRPr="00A241F5" w:rsidRDefault="0045386A" w:rsidP="0045386A">
      <w:pPr>
        <w:keepLines/>
        <w:widowControl/>
        <w:rPr>
          <w:rFonts w:cs="Arial"/>
        </w:rPr>
      </w:pPr>
    </w:p>
    <w:p w14:paraId="7790B98E" w14:textId="77777777" w:rsidR="0045386A" w:rsidRPr="00A241F5" w:rsidRDefault="0045386A" w:rsidP="0045386A">
      <w:pPr>
        <w:keepNext/>
        <w:keepLines/>
        <w:widowControl/>
        <w:outlineLvl w:val="2"/>
        <w:rPr>
          <w:b/>
          <w:bCs/>
          <w:i/>
        </w:rPr>
      </w:pPr>
      <w:r w:rsidRPr="00A241F5">
        <w:rPr>
          <w:b/>
          <w:bCs/>
          <w:i/>
        </w:rPr>
        <w:t>Final Recommendation 5</w:t>
      </w:r>
    </w:p>
    <w:p w14:paraId="062B7500" w14:textId="77777777" w:rsidR="0045386A" w:rsidRPr="00A241F5" w:rsidRDefault="0045386A" w:rsidP="0045386A">
      <w:pPr>
        <w:keepNext/>
      </w:pPr>
    </w:p>
    <w:p w14:paraId="093884B9" w14:textId="18C26C75" w:rsidR="0045386A" w:rsidRPr="00A241F5" w:rsidRDefault="001C47F6" w:rsidP="0045386A">
      <w:pPr>
        <w:widowControl/>
        <w:rPr>
          <w:rFonts w:cs="Arial"/>
        </w:rPr>
      </w:pPr>
      <w:r w:rsidRPr="00A241F5">
        <w:rPr>
          <w:rFonts w:cs="Arial"/>
        </w:rPr>
        <w:t xml:space="preserve">Where a DBA, or a Hybrid DBA, is in place, we recommend that any Legal Expense Insurance premium agreed by a client with its insurers shall not, in principle, be borne by the unsuccessful party. </w:t>
      </w:r>
      <w:r w:rsidR="00CD370E" w:rsidRPr="00A241F5">
        <w:rPr>
          <w:rFonts w:cs="Arial"/>
        </w:rPr>
        <w:t xml:space="preserve"> </w:t>
      </w:r>
      <w:r w:rsidRPr="00A241F5">
        <w:rPr>
          <w:rFonts w:cs="Arial"/>
        </w:rPr>
        <w:t xml:space="preserve">However, where in the opinion </w:t>
      </w:r>
      <w:r w:rsidRPr="00A241F5">
        <w:rPr>
          <w:rFonts w:cs="Arial"/>
        </w:rPr>
        <w:lastRenderedPageBreak/>
        <w:t>of the Tribunal there are exceptional circumstances, the Tribunal may apportion such Legal Expense Insurance premium between the parties if it determines that apportionment is reasonable, taking into account the exceptional circumstances of the case.</w:t>
      </w:r>
      <w:r w:rsidR="00570F24" w:rsidRPr="00A241F5">
        <w:rPr>
          <w:rFonts w:cs="Arial"/>
        </w:rPr>
        <w:t xml:space="preserve">  (Paras </w:t>
      </w:r>
      <w:r w:rsidR="00842345" w:rsidRPr="00A241F5">
        <w:rPr>
          <w:rFonts w:cs="Arial"/>
        </w:rPr>
        <w:t>6.7 to 6.9</w:t>
      </w:r>
      <w:r w:rsidR="00570F24" w:rsidRPr="00A241F5">
        <w:rPr>
          <w:rFonts w:cs="Arial"/>
        </w:rPr>
        <w:t>)</w:t>
      </w:r>
    </w:p>
    <w:p w14:paraId="0DBB26C5" w14:textId="77777777" w:rsidR="001C47F6" w:rsidRPr="00A241F5" w:rsidRDefault="001C47F6" w:rsidP="0045386A">
      <w:pPr>
        <w:widowControl/>
      </w:pPr>
    </w:p>
    <w:p w14:paraId="58485059" w14:textId="77777777" w:rsidR="0045386A" w:rsidRPr="00A241F5" w:rsidRDefault="0045386A" w:rsidP="0045386A">
      <w:pPr>
        <w:widowControl/>
      </w:pPr>
    </w:p>
    <w:p w14:paraId="693F4770" w14:textId="77777777" w:rsidR="0045386A" w:rsidRPr="00A241F5" w:rsidRDefault="0045386A" w:rsidP="0045386A">
      <w:pPr>
        <w:keepNext/>
        <w:keepLines/>
        <w:widowControl/>
        <w:outlineLvl w:val="2"/>
        <w:rPr>
          <w:b/>
          <w:bCs/>
          <w:i/>
        </w:rPr>
      </w:pPr>
      <w:r w:rsidRPr="00A241F5">
        <w:rPr>
          <w:b/>
          <w:bCs/>
          <w:i/>
        </w:rPr>
        <w:t>Final Recommendation 6</w:t>
      </w:r>
    </w:p>
    <w:p w14:paraId="3BA47D1D" w14:textId="77777777" w:rsidR="0045386A" w:rsidRPr="00A241F5" w:rsidRDefault="0045386A" w:rsidP="0045386A"/>
    <w:p w14:paraId="02BA4022" w14:textId="52FED8F8" w:rsidR="0045386A" w:rsidRPr="00A241F5" w:rsidRDefault="001C47F6" w:rsidP="0045386A">
      <w:pPr>
        <w:keepNext/>
        <w:keepLines/>
        <w:widowControl/>
        <w:rPr>
          <w:rFonts w:cs="Arial"/>
        </w:rPr>
      </w:pPr>
      <w:r w:rsidRPr="00A241F5">
        <w:rPr>
          <w:rFonts w:cs="Arial"/>
        </w:rPr>
        <w:t>We recommend that the Success fee model should apply to DBAs, including Hybrid DBAs.</w:t>
      </w:r>
      <w:r w:rsidR="00570F24" w:rsidRPr="00A241F5">
        <w:rPr>
          <w:rFonts w:cs="Arial"/>
        </w:rPr>
        <w:t xml:space="preserve">  (Paras </w:t>
      </w:r>
      <w:r w:rsidR="00842345" w:rsidRPr="00A241F5">
        <w:rPr>
          <w:rFonts w:cs="Arial"/>
        </w:rPr>
        <w:t>7.14 to 7.20</w:t>
      </w:r>
      <w:r w:rsidR="00570F24" w:rsidRPr="00A241F5">
        <w:rPr>
          <w:rFonts w:cs="Arial"/>
        </w:rPr>
        <w:t>)</w:t>
      </w:r>
    </w:p>
    <w:p w14:paraId="4AAF2BBC" w14:textId="77777777" w:rsidR="001C47F6" w:rsidRPr="00A241F5" w:rsidRDefault="001C47F6" w:rsidP="0045386A">
      <w:pPr>
        <w:keepNext/>
        <w:keepLines/>
        <w:widowControl/>
        <w:rPr>
          <w:rFonts w:cs="Arial"/>
        </w:rPr>
      </w:pPr>
    </w:p>
    <w:p w14:paraId="3E3B016A" w14:textId="77777777" w:rsidR="0045386A" w:rsidRPr="00A241F5" w:rsidRDefault="0045386A" w:rsidP="0045386A">
      <w:pPr>
        <w:keepNext/>
        <w:keepLines/>
        <w:widowControl/>
        <w:rPr>
          <w:b/>
        </w:rPr>
      </w:pPr>
    </w:p>
    <w:p w14:paraId="78B207AA" w14:textId="77777777" w:rsidR="0045386A" w:rsidRPr="00A241F5" w:rsidRDefault="0045386A" w:rsidP="0045386A">
      <w:pPr>
        <w:keepNext/>
        <w:keepLines/>
        <w:widowControl/>
        <w:outlineLvl w:val="2"/>
        <w:rPr>
          <w:b/>
          <w:bCs/>
          <w:i/>
        </w:rPr>
      </w:pPr>
      <w:r w:rsidRPr="00A241F5">
        <w:rPr>
          <w:b/>
          <w:bCs/>
          <w:i/>
        </w:rPr>
        <w:t>Final Recommendation 7</w:t>
      </w:r>
    </w:p>
    <w:p w14:paraId="60DCF287" w14:textId="77777777" w:rsidR="0045386A" w:rsidRPr="00A241F5" w:rsidRDefault="0045386A" w:rsidP="0045386A"/>
    <w:p w14:paraId="175102EE" w14:textId="6C5F1ADA" w:rsidR="0045386A" w:rsidRPr="00A241F5" w:rsidRDefault="001C47F6" w:rsidP="0045386A">
      <w:pPr>
        <w:rPr>
          <w:rFonts w:cs="Arial"/>
        </w:rPr>
      </w:pPr>
      <w:r w:rsidRPr="00A241F5">
        <w:rPr>
          <w:rFonts w:cs="Arial"/>
        </w:rPr>
        <w:t>We recommend that any DBA Payment be capped at 50% of the Financial Benefit obtained by the client.</w:t>
      </w:r>
      <w:r w:rsidR="00570F24" w:rsidRPr="00A241F5">
        <w:rPr>
          <w:rFonts w:cs="Arial"/>
        </w:rPr>
        <w:t xml:space="preserve">  (Paras </w:t>
      </w:r>
      <w:r w:rsidR="00842345" w:rsidRPr="00A241F5">
        <w:rPr>
          <w:rFonts w:cs="Arial"/>
        </w:rPr>
        <w:t>8.14</w:t>
      </w:r>
      <w:r w:rsidR="00570F24" w:rsidRPr="00A241F5">
        <w:rPr>
          <w:rFonts w:cs="Arial"/>
        </w:rPr>
        <w:t xml:space="preserve"> to</w:t>
      </w:r>
      <w:r w:rsidR="00842345" w:rsidRPr="00A241F5">
        <w:rPr>
          <w:rFonts w:cs="Arial"/>
        </w:rPr>
        <w:t xml:space="preserve"> 8.23</w:t>
      </w:r>
      <w:r w:rsidR="00570F24" w:rsidRPr="00A241F5">
        <w:rPr>
          <w:rFonts w:cs="Arial"/>
        </w:rPr>
        <w:t>)</w:t>
      </w:r>
    </w:p>
    <w:p w14:paraId="19EA2ECB" w14:textId="77777777" w:rsidR="0045386A" w:rsidRPr="00A241F5" w:rsidRDefault="0045386A" w:rsidP="0045386A">
      <w:pPr>
        <w:rPr>
          <w:rFonts w:cs="Arial"/>
        </w:rPr>
      </w:pPr>
    </w:p>
    <w:p w14:paraId="4811DC6A" w14:textId="77777777" w:rsidR="0045386A" w:rsidRPr="00A241F5" w:rsidRDefault="0045386A" w:rsidP="0045386A">
      <w:pPr>
        <w:rPr>
          <w:rFonts w:cs="Arial"/>
        </w:rPr>
      </w:pPr>
    </w:p>
    <w:p w14:paraId="7041B0F6" w14:textId="77777777" w:rsidR="0045386A" w:rsidRPr="00A241F5" w:rsidRDefault="0045386A" w:rsidP="0045386A">
      <w:pPr>
        <w:keepNext/>
        <w:keepLines/>
        <w:widowControl/>
        <w:outlineLvl w:val="2"/>
        <w:rPr>
          <w:b/>
          <w:bCs/>
          <w:i/>
        </w:rPr>
      </w:pPr>
      <w:r w:rsidRPr="00A241F5">
        <w:rPr>
          <w:b/>
          <w:bCs/>
          <w:i/>
        </w:rPr>
        <w:t xml:space="preserve">Final Recommendation 8 </w:t>
      </w:r>
    </w:p>
    <w:p w14:paraId="232EC122" w14:textId="77777777" w:rsidR="0045386A" w:rsidRPr="00A241F5" w:rsidRDefault="0045386A" w:rsidP="0045386A"/>
    <w:p w14:paraId="263DC710" w14:textId="77777777" w:rsidR="001C47F6" w:rsidRPr="00A241F5" w:rsidRDefault="001C47F6" w:rsidP="003119D4">
      <w:pPr>
        <w:keepLines/>
        <w:widowControl/>
        <w:outlineLvl w:val="2"/>
        <w:rPr>
          <w:rFonts w:cs="Arial"/>
        </w:rPr>
      </w:pPr>
      <w:r w:rsidRPr="00A241F5">
        <w:rPr>
          <w:rFonts w:cs="Arial"/>
        </w:rPr>
        <w:t>We recommend that:</w:t>
      </w:r>
    </w:p>
    <w:p w14:paraId="2B0A71ED" w14:textId="77777777" w:rsidR="001C47F6" w:rsidRPr="00A241F5" w:rsidRDefault="001C47F6" w:rsidP="003119D4">
      <w:pPr>
        <w:keepLines/>
        <w:widowControl/>
        <w:outlineLvl w:val="2"/>
        <w:rPr>
          <w:rFonts w:cs="Arial"/>
        </w:rPr>
      </w:pPr>
    </w:p>
    <w:p w14:paraId="4AC16504" w14:textId="71F65034" w:rsidR="001C47F6" w:rsidRPr="00A241F5" w:rsidRDefault="001C47F6" w:rsidP="003119D4">
      <w:pPr>
        <w:keepLines/>
        <w:widowControl/>
        <w:ind w:left="1440" w:hanging="720"/>
        <w:outlineLvl w:val="2"/>
        <w:rPr>
          <w:rFonts w:cs="Arial"/>
        </w:rPr>
      </w:pPr>
      <w:r w:rsidRPr="00A241F5">
        <w:rPr>
          <w:rFonts w:cs="Arial"/>
        </w:rPr>
        <w:t>(a)</w:t>
      </w:r>
      <w:r w:rsidRPr="00A241F5">
        <w:rPr>
          <w:rFonts w:cs="Arial"/>
        </w:rPr>
        <w:tab/>
        <w:t>A CFA, DBA, or Hybrid DBA should specify whether, and if so in what circumstances, a Lawyer or client is entitled to terminate the ORFS prior to the conclusion of the Arbitration.</w:t>
      </w:r>
    </w:p>
    <w:p w14:paraId="784D3513" w14:textId="77777777" w:rsidR="001C47F6" w:rsidRPr="00A241F5" w:rsidRDefault="001C47F6" w:rsidP="003119D4">
      <w:pPr>
        <w:keepLines/>
        <w:widowControl/>
        <w:outlineLvl w:val="2"/>
        <w:rPr>
          <w:rFonts w:cs="Arial"/>
        </w:rPr>
      </w:pPr>
    </w:p>
    <w:p w14:paraId="44FA05F3" w14:textId="7A33CECF" w:rsidR="001C47F6" w:rsidRPr="00A241F5" w:rsidRDefault="001C47F6" w:rsidP="003119D4">
      <w:pPr>
        <w:keepLines/>
        <w:widowControl/>
        <w:ind w:left="1440" w:hanging="720"/>
        <w:outlineLvl w:val="2"/>
        <w:rPr>
          <w:rFonts w:cs="Arial"/>
        </w:rPr>
      </w:pPr>
      <w:r w:rsidRPr="00A241F5">
        <w:rPr>
          <w:rFonts w:cs="Arial"/>
        </w:rPr>
        <w:t>(b)</w:t>
      </w:r>
      <w:r w:rsidRPr="00A241F5">
        <w:rPr>
          <w:rFonts w:cs="Arial"/>
        </w:rPr>
        <w:tab/>
        <w:t xml:space="preserve">Subsidiary legislation should specify, on a non-exhaustive basis, that a Lawyer is entitled to terminate an ORFS prior to the conclusion of the Arbitration if the Lawyer reasonably believes that: </w:t>
      </w:r>
    </w:p>
    <w:p w14:paraId="46C3126B" w14:textId="77777777" w:rsidR="001C47F6" w:rsidRPr="00A241F5" w:rsidRDefault="001C47F6" w:rsidP="003119D4">
      <w:pPr>
        <w:keepLines/>
        <w:widowControl/>
        <w:ind w:left="2160" w:hanging="720"/>
        <w:outlineLvl w:val="2"/>
        <w:rPr>
          <w:rFonts w:cs="Arial"/>
        </w:rPr>
      </w:pPr>
    </w:p>
    <w:p w14:paraId="44A6763A" w14:textId="69E96446" w:rsidR="001C47F6" w:rsidRPr="00A241F5" w:rsidRDefault="001C47F6" w:rsidP="003119D4">
      <w:pPr>
        <w:keepLines/>
        <w:widowControl/>
        <w:ind w:left="2160" w:hanging="720"/>
        <w:outlineLvl w:val="2"/>
        <w:rPr>
          <w:rFonts w:cs="Arial"/>
        </w:rPr>
      </w:pPr>
      <w:r w:rsidRPr="00A241F5">
        <w:rPr>
          <w:rFonts w:cs="Arial"/>
        </w:rPr>
        <w:t>(i)</w:t>
      </w:r>
      <w:r w:rsidRPr="00A241F5">
        <w:rPr>
          <w:rFonts w:cs="Arial"/>
        </w:rPr>
        <w:tab/>
        <w:t>the client has committed a material breach of the CFA, DBA or Hybrid DBA; or</w:t>
      </w:r>
    </w:p>
    <w:p w14:paraId="4112635D" w14:textId="77777777" w:rsidR="001C47F6" w:rsidRPr="00A241F5" w:rsidRDefault="001C47F6" w:rsidP="003119D4">
      <w:pPr>
        <w:keepLines/>
        <w:widowControl/>
        <w:ind w:left="2160" w:hanging="720"/>
        <w:outlineLvl w:val="2"/>
        <w:rPr>
          <w:rFonts w:cs="Arial"/>
        </w:rPr>
      </w:pPr>
    </w:p>
    <w:p w14:paraId="797ACDE2" w14:textId="229B0020" w:rsidR="001C47F6" w:rsidRPr="00A241F5" w:rsidRDefault="001C47F6" w:rsidP="003119D4">
      <w:pPr>
        <w:keepLines/>
        <w:widowControl/>
        <w:ind w:left="2160" w:hanging="720"/>
        <w:outlineLvl w:val="2"/>
        <w:rPr>
          <w:rFonts w:cs="Arial"/>
        </w:rPr>
      </w:pPr>
      <w:r w:rsidRPr="00A241F5">
        <w:rPr>
          <w:rFonts w:cs="Arial"/>
        </w:rPr>
        <w:t>(ii)</w:t>
      </w:r>
      <w:r w:rsidRPr="00A241F5">
        <w:rPr>
          <w:rFonts w:cs="Arial"/>
        </w:rPr>
        <w:tab/>
        <w:t>the cli</w:t>
      </w:r>
      <w:r w:rsidR="00842345" w:rsidRPr="00A241F5">
        <w:rPr>
          <w:rFonts w:cs="Arial"/>
        </w:rPr>
        <w:t xml:space="preserve">ent has behaved or is behaving </w:t>
      </w:r>
      <w:r w:rsidRPr="00A241F5">
        <w:rPr>
          <w:rFonts w:cs="Arial"/>
        </w:rPr>
        <w:t>unreasonably.</w:t>
      </w:r>
    </w:p>
    <w:p w14:paraId="773954E7" w14:textId="77777777" w:rsidR="001C47F6" w:rsidRPr="00A241F5" w:rsidRDefault="001C47F6" w:rsidP="003119D4">
      <w:pPr>
        <w:keepLines/>
        <w:widowControl/>
        <w:ind w:left="2160" w:hanging="720"/>
        <w:outlineLvl w:val="2"/>
        <w:rPr>
          <w:rFonts w:cs="Arial"/>
        </w:rPr>
      </w:pPr>
    </w:p>
    <w:p w14:paraId="6D7B2138" w14:textId="62373464" w:rsidR="001C47F6" w:rsidRPr="00A241F5" w:rsidRDefault="001C47F6" w:rsidP="003119D4">
      <w:pPr>
        <w:keepLines/>
        <w:widowControl/>
        <w:ind w:left="1440" w:hanging="720"/>
        <w:outlineLvl w:val="2"/>
        <w:rPr>
          <w:rFonts w:cs="Arial"/>
        </w:rPr>
      </w:pPr>
      <w:r w:rsidRPr="00A241F5">
        <w:rPr>
          <w:rFonts w:cs="Arial"/>
        </w:rPr>
        <w:t>(c)</w:t>
      </w:r>
      <w:r w:rsidRPr="00A241F5">
        <w:rPr>
          <w:rFonts w:cs="Arial"/>
        </w:rPr>
        <w:tab/>
        <w:t>A CFA, DBA, or Hybrid DBA should specify an alternative basis (for example, hourly rates) on which the client shall pay the Lawyer in the event of such termination, save that the Lawyer may not charge the client more than the Lawyer</w:t>
      </w:r>
      <w:r w:rsidR="00C61F4B" w:rsidRPr="00A241F5">
        <w:rPr>
          <w:rFonts w:cs="Arial"/>
        </w:rPr>
        <w:t>'</w:t>
      </w:r>
      <w:r w:rsidRPr="00A241F5">
        <w:rPr>
          <w:rFonts w:cs="Arial"/>
        </w:rPr>
        <w:t>s costs, expenses and disbursements for the work undertaken in respect of the Proceedings to which the CFA, DBA or Hybrid DBA relates.</w:t>
      </w:r>
    </w:p>
    <w:p w14:paraId="27B65290" w14:textId="77777777" w:rsidR="001C47F6" w:rsidRPr="00A241F5" w:rsidRDefault="001C47F6" w:rsidP="003119D4">
      <w:pPr>
        <w:keepLines/>
        <w:widowControl/>
        <w:outlineLvl w:val="2"/>
        <w:rPr>
          <w:rFonts w:cs="Arial"/>
        </w:rPr>
      </w:pPr>
    </w:p>
    <w:p w14:paraId="64B1195F" w14:textId="73FE43CC" w:rsidR="0045386A" w:rsidRPr="00A241F5" w:rsidRDefault="001C47F6" w:rsidP="003119D4">
      <w:pPr>
        <w:keepLines/>
        <w:widowControl/>
        <w:ind w:left="1440" w:hanging="720"/>
        <w:outlineLvl w:val="2"/>
        <w:rPr>
          <w:rFonts w:cs="Arial"/>
        </w:rPr>
      </w:pPr>
      <w:r w:rsidRPr="00A241F5">
        <w:rPr>
          <w:rFonts w:cs="Arial"/>
        </w:rPr>
        <w:t>(d)</w:t>
      </w:r>
      <w:r w:rsidRPr="00A241F5">
        <w:rPr>
          <w:rFonts w:cs="Arial"/>
        </w:rPr>
        <w:tab/>
        <w:t>The grounds on which a client may terminate a CFA, DBA or Hybrid DBA prior to the conclusion of the Arbitration should be a matter for agreement with the Lawyer in accordance with basic contractual principles, and no statutory requirements should apply.</w:t>
      </w:r>
      <w:r w:rsidR="00570F24" w:rsidRPr="00A241F5">
        <w:rPr>
          <w:rFonts w:cs="Arial"/>
        </w:rPr>
        <w:t xml:space="preserve">  (Paras </w:t>
      </w:r>
      <w:r w:rsidR="007D6A0D" w:rsidRPr="00A241F5">
        <w:rPr>
          <w:rFonts w:cs="Arial"/>
        </w:rPr>
        <w:t>9.12 to 9.</w:t>
      </w:r>
      <w:r w:rsidR="007C547A" w:rsidRPr="00A241F5">
        <w:rPr>
          <w:rFonts w:cs="Arial"/>
        </w:rPr>
        <w:t>19</w:t>
      </w:r>
      <w:r w:rsidR="007D6A0D" w:rsidRPr="00A241F5">
        <w:rPr>
          <w:rFonts w:cs="Arial"/>
        </w:rPr>
        <w:t>, 9.2</w:t>
      </w:r>
      <w:r w:rsidR="007C547A" w:rsidRPr="00A241F5">
        <w:rPr>
          <w:rFonts w:cs="Arial"/>
        </w:rPr>
        <w:t>3</w:t>
      </w:r>
      <w:r w:rsidR="007D6A0D" w:rsidRPr="00A241F5">
        <w:rPr>
          <w:rFonts w:cs="Arial"/>
        </w:rPr>
        <w:t>)</w:t>
      </w:r>
    </w:p>
    <w:p w14:paraId="6070E2B0" w14:textId="77777777" w:rsidR="001C47F6" w:rsidRPr="00A241F5" w:rsidRDefault="001C47F6" w:rsidP="003119D4">
      <w:pPr>
        <w:keepLines/>
        <w:widowControl/>
        <w:outlineLvl w:val="2"/>
        <w:rPr>
          <w:bCs/>
          <w:i/>
        </w:rPr>
      </w:pPr>
    </w:p>
    <w:p w14:paraId="79273490" w14:textId="77777777" w:rsidR="0045386A" w:rsidRPr="00A241F5" w:rsidRDefault="0045386A" w:rsidP="0045386A">
      <w:pPr>
        <w:keepNext/>
        <w:keepLines/>
        <w:widowControl/>
        <w:outlineLvl w:val="2"/>
        <w:rPr>
          <w:bCs/>
          <w:i/>
        </w:rPr>
      </w:pPr>
    </w:p>
    <w:p w14:paraId="70187D75" w14:textId="77777777" w:rsidR="0045386A" w:rsidRPr="00A241F5" w:rsidRDefault="0045386A" w:rsidP="0045386A">
      <w:pPr>
        <w:keepNext/>
        <w:keepLines/>
        <w:widowControl/>
        <w:outlineLvl w:val="2"/>
        <w:rPr>
          <w:b/>
          <w:bCs/>
          <w:i/>
        </w:rPr>
      </w:pPr>
      <w:r w:rsidRPr="00A241F5">
        <w:rPr>
          <w:b/>
          <w:bCs/>
          <w:i/>
        </w:rPr>
        <w:t>Final Recommendation 9</w:t>
      </w:r>
    </w:p>
    <w:p w14:paraId="7691E929" w14:textId="77777777" w:rsidR="0045386A" w:rsidRPr="00A241F5" w:rsidRDefault="0045386A" w:rsidP="0045386A">
      <w:pPr>
        <w:keepNext/>
        <w:keepLines/>
      </w:pPr>
    </w:p>
    <w:p w14:paraId="7D8128E8" w14:textId="77777777" w:rsidR="003119D4" w:rsidRPr="00A241F5" w:rsidRDefault="003119D4" w:rsidP="003119D4">
      <w:pPr>
        <w:widowControl/>
      </w:pPr>
      <w:r w:rsidRPr="00A241F5">
        <w:t>We recommend that:</w:t>
      </w:r>
    </w:p>
    <w:p w14:paraId="5F0B3FD2" w14:textId="77777777" w:rsidR="003119D4" w:rsidRPr="00A241F5" w:rsidRDefault="003119D4" w:rsidP="003119D4">
      <w:pPr>
        <w:widowControl/>
      </w:pPr>
    </w:p>
    <w:p w14:paraId="4D9C38B9" w14:textId="685CE278" w:rsidR="003119D4" w:rsidRPr="00A241F5" w:rsidRDefault="003119D4" w:rsidP="003119D4">
      <w:pPr>
        <w:keepNext/>
        <w:keepLines/>
        <w:widowControl/>
        <w:ind w:left="1440" w:hanging="720"/>
        <w:outlineLvl w:val="2"/>
      </w:pPr>
      <w:r w:rsidRPr="00A241F5">
        <w:t>(a)</w:t>
      </w:r>
      <w:r w:rsidRPr="00A241F5">
        <w:tab/>
        <w:t>Clients should be able to agree, on a case by case basis, whether:</w:t>
      </w:r>
    </w:p>
    <w:p w14:paraId="4E691379" w14:textId="4803305E" w:rsidR="003119D4" w:rsidRPr="00A241F5" w:rsidRDefault="003119D4" w:rsidP="003119D4">
      <w:pPr>
        <w:keepNext/>
        <w:keepLines/>
        <w:widowControl/>
        <w:ind w:left="2138" w:hanging="720"/>
        <w:outlineLvl w:val="2"/>
      </w:pPr>
    </w:p>
    <w:p w14:paraId="3D6362D6" w14:textId="44A0C7E6" w:rsidR="003119D4" w:rsidRPr="00A241F5" w:rsidRDefault="003119D4" w:rsidP="003119D4">
      <w:pPr>
        <w:keepNext/>
        <w:keepLines/>
        <w:widowControl/>
        <w:ind w:left="2138" w:hanging="720"/>
        <w:outlineLvl w:val="2"/>
      </w:pPr>
      <w:r w:rsidRPr="00A241F5">
        <w:t>(i)</w:t>
      </w:r>
      <w:r w:rsidRPr="00A241F5">
        <w:tab/>
        <w:t>the DBA Payment (and thus the DBA Payment cap) includes barristers</w:t>
      </w:r>
      <w:r w:rsidR="00C61F4B" w:rsidRPr="00A241F5">
        <w:t>'</w:t>
      </w:r>
      <w:r w:rsidRPr="00A241F5">
        <w:t xml:space="preserve"> fees; or</w:t>
      </w:r>
    </w:p>
    <w:p w14:paraId="2214218B" w14:textId="52986714" w:rsidR="003119D4" w:rsidRPr="00A241F5" w:rsidRDefault="003119D4" w:rsidP="003119D4">
      <w:pPr>
        <w:keepNext/>
        <w:keepLines/>
        <w:widowControl/>
        <w:ind w:left="2138" w:hanging="720"/>
        <w:outlineLvl w:val="2"/>
      </w:pPr>
    </w:p>
    <w:p w14:paraId="3BB7406F" w14:textId="111D4D7C" w:rsidR="003119D4" w:rsidRPr="00A241F5" w:rsidRDefault="003119D4" w:rsidP="003119D4">
      <w:pPr>
        <w:keepNext/>
        <w:keepLines/>
        <w:widowControl/>
        <w:ind w:left="2138" w:hanging="720"/>
        <w:outlineLvl w:val="2"/>
      </w:pPr>
      <w:r w:rsidRPr="00A241F5">
        <w:t>(ii)</w:t>
      </w:r>
      <w:r w:rsidRPr="00A241F5">
        <w:tab/>
        <w:t>barristers</w:t>
      </w:r>
      <w:r w:rsidR="00C61F4B" w:rsidRPr="00A241F5">
        <w:t>'</w:t>
      </w:r>
      <w:r w:rsidRPr="00A241F5">
        <w:t xml:space="preserve"> fees will be charged as a separate disbursement outside the DBA Payment.</w:t>
      </w:r>
    </w:p>
    <w:p w14:paraId="7D38FE73" w14:textId="77777777" w:rsidR="003119D4" w:rsidRPr="00A241F5" w:rsidRDefault="003119D4" w:rsidP="003119D4">
      <w:pPr>
        <w:widowControl/>
      </w:pPr>
    </w:p>
    <w:p w14:paraId="28946016" w14:textId="20C8EF2E" w:rsidR="003119D4" w:rsidRPr="00A241F5" w:rsidRDefault="003119D4" w:rsidP="003119D4">
      <w:pPr>
        <w:keepNext/>
        <w:keepLines/>
        <w:widowControl/>
        <w:ind w:left="1440" w:hanging="720"/>
        <w:outlineLvl w:val="2"/>
      </w:pPr>
      <w:r w:rsidRPr="00A241F5">
        <w:t>(b)</w:t>
      </w:r>
      <w:r w:rsidRPr="00A241F5">
        <w:tab/>
        <w:t>The DBA</w:t>
      </w:r>
      <w:r w:rsidR="00B2707A" w:rsidRPr="00A241F5">
        <w:t>, including Hybrid DBA,</w:t>
      </w:r>
      <w:r w:rsidRPr="00A241F5">
        <w:t xml:space="preserve"> should specify whether barristers</w:t>
      </w:r>
      <w:r w:rsidR="00C61F4B" w:rsidRPr="00A241F5">
        <w:t>'</w:t>
      </w:r>
      <w:r w:rsidRPr="00A241F5">
        <w:t xml:space="preserve"> fees will be absorbed as part of the DBA Payment, or whether they are to be treated as </w:t>
      </w:r>
      <w:r w:rsidR="00C61F4B" w:rsidRPr="00A241F5">
        <w:t>"</w:t>
      </w:r>
      <w:r w:rsidRPr="00A241F5">
        <w:t>expenses</w:t>
      </w:r>
      <w:r w:rsidR="00C61F4B" w:rsidRPr="00A241F5">
        <w:t>"</w:t>
      </w:r>
      <w:r w:rsidRPr="00A241F5">
        <w:t xml:space="preserve"> which the client is required to pay in addition to the DBA Payment.</w:t>
      </w:r>
    </w:p>
    <w:p w14:paraId="5F36FBF0" w14:textId="77777777" w:rsidR="003119D4" w:rsidRPr="00A241F5" w:rsidRDefault="003119D4" w:rsidP="003119D4">
      <w:pPr>
        <w:widowControl/>
      </w:pPr>
    </w:p>
    <w:p w14:paraId="6577844B" w14:textId="5D65CB76" w:rsidR="0045386A" w:rsidRPr="00A241F5" w:rsidRDefault="003119D4" w:rsidP="003119D4">
      <w:pPr>
        <w:keepNext/>
        <w:keepLines/>
        <w:widowControl/>
        <w:tabs>
          <w:tab w:val="clear" w:pos="1418"/>
          <w:tab w:val="left" w:pos="1440"/>
        </w:tabs>
        <w:ind w:left="1440" w:hanging="720"/>
        <w:outlineLvl w:val="2"/>
      </w:pPr>
      <w:r w:rsidRPr="00A241F5">
        <w:t>(c)</w:t>
      </w:r>
      <w:r w:rsidRPr="00A241F5">
        <w:tab/>
        <w:t xml:space="preserve">To the extent that barristers </w:t>
      </w:r>
      <w:r w:rsidRPr="00A241F5">
        <w:rPr>
          <w:rFonts w:cs="Arial"/>
        </w:rPr>
        <w:t>can</w:t>
      </w:r>
      <w:r w:rsidRPr="00A241F5">
        <w:t xml:space="preserve"> be, and are, engaged directly, via a separate DBA, including Hybrid DBA, between client and barrister, a solicitor</w:t>
      </w:r>
      <w:r w:rsidR="00C61F4B" w:rsidRPr="00A241F5">
        <w:t>'</w:t>
      </w:r>
      <w:r w:rsidRPr="00A241F5">
        <w:t>s DBA Payment plus a barrister</w:t>
      </w:r>
      <w:r w:rsidR="00C61F4B" w:rsidRPr="00A241F5">
        <w:t>'</w:t>
      </w:r>
      <w:r w:rsidRPr="00A241F5">
        <w:t>s DBA Payment in relation to the same claim or Proceedings should not exceed the prescribed DBA Payment cap.</w:t>
      </w:r>
      <w:r w:rsidR="00570F24" w:rsidRPr="00A241F5">
        <w:t xml:space="preserve">  </w:t>
      </w:r>
      <w:r w:rsidR="00570F24" w:rsidRPr="00A241F5">
        <w:rPr>
          <w:rFonts w:cs="Arial"/>
        </w:rPr>
        <w:t>(</w:t>
      </w:r>
      <w:r w:rsidR="00C207A2" w:rsidRPr="00A241F5">
        <w:rPr>
          <w:rFonts w:cs="Arial"/>
        </w:rPr>
        <w:t>Paras 10.9 to 10.11, 10.17</w:t>
      </w:r>
      <w:r w:rsidR="00570F24" w:rsidRPr="00A241F5">
        <w:rPr>
          <w:rFonts w:cs="Arial"/>
        </w:rPr>
        <w:t>)</w:t>
      </w:r>
    </w:p>
    <w:p w14:paraId="351B22C3" w14:textId="67A1DB6B" w:rsidR="0045386A" w:rsidRPr="00A241F5" w:rsidRDefault="0045386A" w:rsidP="0045386A">
      <w:pPr>
        <w:widowControl/>
        <w:tabs>
          <w:tab w:val="clear" w:pos="1418"/>
          <w:tab w:val="left" w:pos="1440"/>
        </w:tabs>
      </w:pPr>
    </w:p>
    <w:p w14:paraId="476B7DA0" w14:textId="77777777" w:rsidR="003119D4" w:rsidRPr="00A241F5" w:rsidRDefault="003119D4" w:rsidP="0045386A">
      <w:pPr>
        <w:widowControl/>
        <w:tabs>
          <w:tab w:val="clear" w:pos="1418"/>
          <w:tab w:val="left" w:pos="1440"/>
        </w:tabs>
      </w:pPr>
    </w:p>
    <w:p w14:paraId="6D1173CB" w14:textId="77777777" w:rsidR="0045386A" w:rsidRPr="00A241F5" w:rsidRDefault="0045386A" w:rsidP="0045386A">
      <w:pPr>
        <w:keepNext/>
        <w:keepLines/>
        <w:widowControl/>
        <w:outlineLvl w:val="2"/>
        <w:rPr>
          <w:b/>
          <w:bCs/>
          <w:i/>
        </w:rPr>
      </w:pPr>
      <w:r w:rsidRPr="00A241F5">
        <w:rPr>
          <w:b/>
          <w:bCs/>
          <w:i/>
        </w:rPr>
        <w:t>Final Recommendation 10</w:t>
      </w:r>
    </w:p>
    <w:p w14:paraId="51943499" w14:textId="77777777" w:rsidR="0045386A" w:rsidRPr="00A241F5" w:rsidRDefault="0045386A" w:rsidP="0045386A"/>
    <w:p w14:paraId="5D7F58BB" w14:textId="77777777" w:rsidR="003119D4" w:rsidRPr="00A241F5" w:rsidRDefault="003119D4" w:rsidP="003119D4">
      <w:pPr>
        <w:tabs>
          <w:tab w:val="clear" w:pos="1418"/>
        </w:tabs>
        <w:rPr>
          <w:rFonts w:cs="Arial"/>
        </w:rPr>
      </w:pPr>
      <w:r w:rsidRPr="00A241F5">
        <w:rPr>
          <w:rFonts w:cs="Arial"/>
        </w:rPr>
        <w:t>We recommend that:</w:t>
      </w:r>
      <w:r w:rsidRPr="00A241F5">
        <w:rPr>
          <w:rFonts w:cs="Arial"/>
        </w:rPr>
        <w:tab/>
      </w:r>
    </w:p>
    <w:p w14:paraId="797BD453" w14:textId="77777777" w:rsidR="003119D4" w:rsidRPr="00A241F5" w:rsidRDefault="003119D4" w:rsidP="003119D4">
      <w:pPr>
        <w:tabs>
          <w:tab w:val="clear" w:pos="1418"/>
        </w:tabs>
        <w:rPr>
          <w:rFonts w:cs="Arial"/>
        </w:rPr>
      </w:pPr>
    </w:p>
    <w:p w14:paraId="1E8D5E8E" w14:textId="77777777" w:rsidR="003119D4" w:rsidRPr="00A241F5" w:rsidRDefault="003119D4" w:rsidP="003119D4">
      <w:pPr>
        <w:keepNext/>
        <w:keepLines/>
        <w:widowControl/>
        <w:tabs>
          <w:tab w:val="clear" w:pos="1418"/>
          <w:tab w:val="left" w:pos="1440"/>
        </w:tabs>
        <w:ind w:left="1440" w:hanging="720"/>
        <w:outlineLvl w:val="2"/>
        <w:rPr>
          <w:rFonts w:cs="Arial"/>
        </w:rPr>
      </w:pPr>
      <w:r w:rsidRPr="00A241F5">
        <w:rPr>
          <w:rFonts w:cs="Arial"/>
        </w:rPr>
        <w:t>(a)</w:t>
      </w:r>
      <w:r w:rsidRPr="00A241F5">
        <w:rPr>
          <w:rFonts w:cs="Arial"/>
        </w:rPr>
        <w:tab/>
        <w:t xml:space="preserve">Prohibitions on the use of </w:t>
      </w:r>
      <w:r w:rsidRPr="00A241F5">
        <w:t>Hybrid</w:t>
      </w:r>
      <w:r w:rsidRPr="00A241F5">
        <w:rPr>
          <w:rFonts w:cs="Arial"/>
        </w:rPr>
        <w:t xml:space="preserve"> DBAs in Arbitration by Lawyers should be lifted, so that Lawyers may choose to enter into Hybrid DBAs for Arbitration.</w:t>
      </w:r>
    </w:p>
    <w:p w14:paraId="30711E5E" w14:textId="77777777" w:rsidR="003119D4" w:rsidRPr="00A241F5" w:rsidRDefault="003119D4" w:rsidP="003119D4">
      <w:pPr>
        <w:tabs>
          <w:tab w:val="clear" w:pos="1418"/>
        </w:tabs>
        <w:rPr>
          <w:rFonts w:cs="Arial"/>
        </w:rPr>
      </w:pPr>
    </w:p>
    <w:p w14:paraId="7EA6B923" w14:textId="77777777" w:rsidR="003119D4" w:rsidRPr="00A241F5" w:rsidRDefault="003119D4" w:rsidP="003119D4">
      <w:pPr>
        <w:keepNext/>
        <w:keepLines/>
        <w:widowControl/>
        <w:tabs>
          <w:tab w:val="clear" w:pos="1418"/>
          <w:tab w:val="left" w:pos="1440"/>
        </w:tabs>
        <w:ind w:left="1440" w:hanging="720"/>
        <w:outlineLvl w:val="2"/>
        <w:rPr>
          <w:rFonts w:cs="Arial"/>
        </w:rPr>
      </w:pPr>
      <w:r w:rsidRPr="00A241F5">
        <w:rPr>
          <w:rFonts w:cs="Arial"/>
        </w:rPr>
        <w:t>(b)</w:t>
      </w:r>
      <w:r w:rsidRPr="00A241F5">
        <w:rPr>
          <w:rFonts w:cs="Arial"/>
        </w:rPr>
        <w:tab/>
        <w:t>In the event that a case under a Hybrid DBA is unsuccessful (such that no Financial Benefit is obtained),</w:t>
      </w:r>
    </w:p>
    <w:p w14:paraId="5D196E5F" w14:textId="77777777" w:rsidR="003119D4" w:rsidRPr="00A241F5" w:rsidRDefault="003119D4" w:rsidP="003119D4">
      <w:pPr>
        <w:tabs>
          <w:tab w:val="clear" w:pos="1418"/>
        </w:tabs>
        <w:rPr>
          <w:rFonts w:cs="Arial"/>
        </w:rPr>
      </w:pPr>
    </w:p>
    <w:p w14:paraId="33AC19B0" w14:textId="048F8CF4" w:rsidR="003119D4" w:rsidRPr="00A241F5" w:rsidRDefault="003119D4" w:rsidP="00C207A2">
      <w:pPr>
        <w:keepLines/>
        <w:widowControl/>
        <w:tabs>
          <w:tab w:val="clear" w:pos="1418"/>
          <w:tab w:val="left" w:pos="1440"/>
        </w:tabs>
        <w:ind w:left="2138" w:hanging="720"/>
        <w:outlineLvl w:val="2"/>
      </w:pPr>
      <w:r w:rsidRPr="00A241F5">
        <w:tab/>
        <w:t>(i)</w:t>
      </w:r>
      <w:r w:rsidRPr="00A241F5">
        <w:tab/>
        <w:t xml:space="preserve">the Lawyer should be permitted to retain only a proportion of the </w:t>
      </w:r>
      <w:r w:rsidR="0073058E" w:rsidRPr="00A241F5">
        <w:t xml:space="preserve">"benchmark" </w:t>
      </w:r>
      <w:r w:rsidRPr="00A241F5">
        <w:t xml:space="preserve">costs he or she has incurred in pursuing the unsuccessful claim; </w:t>
      </w:r>
      <w:r w:rsidR="00217850" w:rsidRPr="00A241F5">
        <w:t>and</w:t>
      </w:r>
    </w:p>
    <w:p w14:paraId="6C625358" w14:textId="77777777" w:rsidR="003119D4" w:rsidRPr="00A241F5" w:rsidRDefault="003119D4" w:rsidP="00C207A2">
      <w:pPr>
        <w:keepLines/>
        <w:widowControl/>
        <w:tabs>
          <w:tab w:val="clear" w:pos="1418"/>
          <w:tab w:val="left" w:pos="1440"/>
        </w:tabs>
        <w:ind w:left="2138" w:hanging="720"/>
        <w:outlineLvl w:val="2"/>
      </w:pPr>
    </w:p>
    <w:p w14:paraId="13245214" w14:textId="05DB7911" w:rsidR="003119D4" w:rsidRPr="00A241F5" w:rsidRDefault="003119D4" w:rsidP="00C207A2">
      <w:pPr>
        <w:keepLines/>
        <w:widowControl/>
        <w:tabs>
          <w:tab w:val="clear" w:pos="1418"/>
          <w:tab w:val="left" w:pos="1440"/>
        </w:tabs>
        <w:ind w:left="2138" w:hanging="720"/>
        <w:outlineLvl w:val="2"/>
      </w:pPr>
      <w:r w:rsidRPr="00A241F5">
        <w:tab/>
        <w:t xml:space="preserve">(ii) </w:t>
      </w:r>
      <w:r w:rsidRPr="00A241F5">
        <w:tab/>
        <w:t>that proportion should be capped at 50% of the irrecoverable costs incurred in pursuing the unsuccessful claim</w:t>
      </w:r>
      <w:r w:rsidR="00217850" w:rsidRPr="00A241F5">
        <w:t>.</w:t>
      </w:r>
    </w:p>
    <w:p w14:paraId="736D8D86" w14:textId="77777777" w:rsidR="003119D4" w:rsidRPr="00A241F5" w:rsidRDefault="003119D4" w:rsidP="00C207A2">
      <w:pPr>
        <w:keepLines/>
        <w:widowControl/>
        <w:tabs>
          <w:tab w:val="clear" w:pos="1418"/>
          <w:tab w:val="left" w:pos="1440"/>
        </w:tabs>
        <w:ind w:left="2138" w:hanging="720"/>
        <w:outlineLvl w:val="2"/>
      </w:pPr>
    </w:p>
    <w:p w14:paraId="67B2DF75" w14:textId="49D546EF" w:rsidR="0045386A" w:rsidRPr="00A241F5" w:rsidRDefault="00A46CA3" w:rsidP="001336F0">
      <w:pPr>
        <w:widowControl/>
        <w:tabs>
          <w:tab w:val="clear" w:pos="1418"/>
          <w:tab w:val="left" w:pos="1440"/>
        </w:tabs>
        <w:ind w:left="1440" w:hanging="720"/>
        <w:outlineLvl w:val="2"/>
      </w:pPr>
      <w:r w:rsidRPr="00A241F5">
        <w:t>(c)</w:t>
      </w:r>
      <w:r w:rsidR="003119D4" w:rsidRPr="00A241F5">
        <w:tab/>
      </w:r>
      <w:r w:rsidR="00E76650" w:rsidRPr="00A241F5">
        <w:t>T</w:t>
      </w:r>
      <w:r w:rsidR="003119D4" w:rsidRPr="00A241F5">
        <w:t xml:space="preserve">he relevant regulations should provide that, if the DBA Payment </w:t>
      </w:r>
      <w:r w:rsidR="003634A7" w:rsidRPr="00A241F5">
        <w:t xml:space="preserve">plus the recoverable costs </w:t>
      </w:r>
      <w:r w:rsidR="003119D4" w:rsidRPr="00A241F5">
        <w:t>for a Hybrid DBA (in a successful scenario) is less than the capped amount of irrecoverable costs</w:t>
      </w:r>
      <w:r w:rsidR="003634A7" w:rsidRPr="00A241F5">
        <w:t xml:space="preserve"> (which is 50% of the irrecoverable costs incurred in pursuing the unsuccessful claim)</w:t>
      </w:r>
      <w:r w:rsidR="003119D4" w:rsidRPr="00A241F5">
        <w:t xml:space="preserve">, the Lawyer is entitled to retain the capped </w:t>
      </w:r>
      <w:r w:rsidR="003119D4" w:rsidRPr="00A241F5">
        <w:lastRenderedPageBreak/>
        <w:t>amount of irrecoverable costs instead of the DBA Payment</w:t>
      </w:r>
      <w:r w:rsidR="00B601FA" w:rsidRPr="00A241F5">
        <w:t xml:space="preserve"> </w:t>
      </w:r>
      <w:r w:rsidR="001923A1" w:rsidRPr="00A241F5">
        <w:t>plus</w:t>
      </w:r>
      <w:r w:rsidR="00B601FA" w:rsidRPr="00A241F5">
        <w:t xml:space="preserve"> the recoverable costs</w:t>
      </w:r>
      <w:r w:rsidR="003119D4" w:rsidRPr="00A241F5">
        <w:t>.</w:t>
      </w:r>
      <w:r w:rsidR="00570F24" w:rsidRPr="00A241F5">
        <w:t xml:space="preserve">  </w:t>
      </w:r>
      <w:r w:rsidR="00570F24" w:rsidRPr="00A241F5">
        <w:rPr>
          <w:rFonts w:cs="Arial"/>
        </w:rPr>
        <w:t>(</w:t>
      </w:r>
      <w:r w:rsidR="00C207A2" w:rsidRPr="00A241F5">
        <w:rPr>
          <w:rFonts w:cs="Arial"/>
        </w:rPr>
        <w:t>Paras 11.13 to 11.17, 11.23 to 11.25, 11.28 to 11.30, 11.35</w:t>
      </w:r>
      <w:r w:rsidR="00570F24" w:rsidRPr="00A241F5">
        <w:rPr>
          <w:rFonts w:cs="Arial"/>
        </w:rPr>
        <w:t>)</w:t>
      </w:r>
    </w:p>
    <w:p w14:paraId="207F92A1" w14:textId="77777777" w:rsidR="003119D4" w:rsidRPr="00A241F5" w:rsidRDefault="003119D4" w:rsidP="003119D4">
      <w:pPr>
        <w:tabs>
          <w:tab w:val="clear" w:pos="1418"/>
        </w:tabs>
        <w:rPr>
          <w:rFonts w:cs="Arial"/>
        </w:rPr>
      </w:pPr>
    </w:p>
    <w:p w14:paraId="54336D22" w14:textId="77777777" w:rsidR="0045386A" w:rsidRPr="00A241F5" w:rsidRDefault="0045386A" w:rsidP="0045386A">
      <w:pPr>
        <w:widowControl/>
        <w:tabs>
          <w:tab w:val="clear" w:pos="1418"/>
          <w:tab w:val="left" w:pos="1440"/>
        </w:tabs>
        <w:rPr>
          <w:rFonts w:cs="Arial"/>
        </w:rPr>
      </w:pPr>
    </w:p>
    <w:p w14:paraId="53EEA531" w14:textId="77777777" w:rsidR="0045386A" w:rsidRPr="00A241F5" w:rsidRDefault="0045386A" w:rsidP="0045386A">
      <w:pPr>
        <w:keepNext/>
        <w:keepLines/>
        <w:widowControl/>
        <w:outlineLvl w:val="2"/>
        <w:rPr>
          <w:b/>
          <w:bCs/>
          <w:i/>
        </w:rPr>
      </w:pPr>
      <w:r w:rsidRPr="00A241F5">
        <w:rPr>
          <w:b/>
          <w:bCs/>
          <w:i/>
        </w:rPr>
        <w:t>Final Recommendation 11</w:t>
      </w:r>
    </w:p>
    <w:p w14:paraId="05441B9A" w14:textId="77777777" w:rsidR="0045386A" w:rsidRPr="00A241F5" w:rsidRDefault="0045386A" w:rsidP="0045386A"/>
    <w:p w14:paraId="3BA0EFCA" w14:textId="77777777" w:rsidR="003119D4" w:rsidRPr="00A241F5" w:rsidRDefault="003119D4" w:rsidP="003119D4">
      <w:pPr>
        <w:tabs>
          <w:tab w:val="clear" w:pos="1418"/>
        </w:tabs>
        <w:rPr>
          <w:rFonts w:cs="Arial"/>
        </w:rPr>
      </w:pPr>
      <w:r w:rsidRPr="00A241F5">
        <w:rPr>
          <w:rFonts w:cs="Arial"/>
        </w:rPr>
        <w:t>We recommend that:</w:t>
      </w:r>
    </w:p>
    <w:p w14:paraId="281BE4F6" w14:textId="77777777" w:rsidR="003119D4" w:rsidRPr="00A241F5" w:rsidRDefault="003119D4" w:rsidP="003119D4">
      <w:pPr>
        <w:tabs>
          <w:tab w:val="clear" w:pos="1418"/>
        </w:tabs>
        <w:rPr>
          <w:rFonts w:cs="Arial"/>
        </w:rPr>
      </w:pPr>
    </w:p>
    <w:p w14:paraId="512B7D45" w14:textId="7A180BA2" w:rsidR="003119D4" w:rsidRPr="00A241F5" w:rsidRDefault="003119D4" w:rsidP="003119D4">
      <w:pPr>
        <w:keepNext/>
        <w:keepLines/>
        <w:widowControl/>
        <w:tabs>
          <w:tab w:val="clear" w:pos="1418"/>
          <w:tab w:val="left" w:pos="1440"/>
        </w:tabs>
        <w:ind w:left="1440" w:hanging="720"/>
        <w:outlineLvl w:val="2"/>
        <w:rPr>
          <w:rFonts w:cs="Arial"/>
        </w:rPr>
      </w:pPr>
      <w:r w:rsidRPr="00A241F5">
        <w:rPr>
          <w:rFonts w:cs="Arial"/>
        </w:rPr>
        <w:t>(a)</w:t>
      </w:r>
      <w:r w:rsidRPr="00A241F5">
        <w:rPr>
          <w:rFonts w:cs="Arial"/>
        </w:rPr>
        <w:tab/>
        <w:t xml:space="preserve">Section 64(1)(b) of the Legal Practitioners Ordinance should be amended </w:t>
      </w:r>
      <w:r w:rsidR="007D3FF0" w:rsidRPr="00A241F5">
        <w:rPr>
          <w:rFonts w:cs="Arial"/>
        </w:rPr>
        <w:t>such that</w:t>
      </w:r>
      <w:r w:rsidRPr="00A241F5">
        <w:rPr>
          <w:rFonts w:cs="Arial"/>
        </w:rPr>
        <w:t xml:space="preserve"> CFAs, DBAs and Hybrid DBAs for Arbitration </w:t>
      </w:r>
      <w:r w:rsidR="007D3FF0" w:rsidRPr="00A241F5">
        <w:rPr>
          <w:rFonts w:cs="Arial"/>
        </w:rPr>
        <w:t xml:space="preserve">would be valid </w:t>
      </w:r>
      <w:r w:rsidRPr="00A241F5">
        <w:rPr>
          <w:rFonts w:cs="Arial"/>
        </w:rPr>
        <w:t>under Hong Kong law.</w:t>
      </w:r>
    </w:p>
    <w:p w14:paraId="0C7199FC" w14:textId="77777777" w:rsidR="003119D4" w:rsidRPr="00A241F5" w:rsidRDefault="003119D4" w:rsidP="003119D4">
      <w:pPr>
        <w:tabs>
          <w:tab w:val="clear" w:pos="1418"/>
        </w:tabs>
        <w:rPr>
          <w:rFonts w:cs="Arial"/>
        </w:rPr>
      </w:pPr>
    </w:p>
    <w:p w14:paraId="7D2D0AD2" w14:textId="0783447C" w:rsidR="003119D4" w:rsidRPr="00A241F5" w:rsidRDefault="003119D4" w:rsidP="003119D4">
      <w:pPr>
        <w:keepNext/>
        <w:keepLines/>
        <w:widowControl/>
        <w:tabs>
          <w:tab w:val="clear" w:pos="1418"/>
          <w:tab w:val="left" w:pos="1440"/>
        </w:tabs>
        <w:ind w:left="1440" w:hanging="720"/>
        <w:outlineLvl w:val="2"/>
        <w:rPr>
          <w:rFonts w:cs="Arial"/>
        </w:rPr>
      </w:pPr>
      <w:r w:rsidRPr="00A241F5">
        <w:rPr>
          <w:rFonts w:cs="Arial"/>
        </w:rPr>
        <w:t>(b)</w:t>
      </w:r>
      <w:r w:rsidRPr="00A241F5">
        <w:rPr>
          <w:rFonts w:cs="Arial"/>
        </w:rPr>
        <w:tab/>
        <w:t xml:space="preserve">Part 10A of the Arbitration Ordinance should be amended, and a new Part 10B added, </w:t>
      </w:r>
      <w:r w:rsidR="007D3FF0" w:rsidRPr="00A241F5">
        <w:rPr>
          <w:rFonts w:cs="Arial"/>
        </w:rPr>
        <w:t>such that</w:t>
      </w:r>
      <w:r w:rsidRPr="00A241F5">
        <w:rPr>
          <w:rFonts w:cs="Arial"/>
        </w:rPr>
        <w:t xml:space="preserve"> CFAs, DBAs and Hybrid DBAs for Arbitration </w:t>
      </w:r>
      <w:r w:rsidR="007D3FF0" w:rsidRPr="00A241F5">
        <w:rPr>
          <w:rFonts w:cs="Arial"/>
        </w:rPr>
        <w:t xml:space="preserve">would be valid </w:t>
      </w:r>
      <w:r w:rsidRPr="00A241F5">
        <w:rPr>
          <w:rFonts w:cs="Arial"/>
        </w:rPr>
        <w:t>under Hong Kong law.</w:t>
      </w:r>
    </w:p>
    <w:p w14:paraId="440515EC" w14:textId="77777777" w:rsidR="003119D4" w:rsidRPr="00A241F5" w:rsidRDefault="003119D4" w:rsidP="003119D4">
      <w:pPr>
        <w:tabs>
          <w:tab w:val="clear" w:pos="1418"/>
        </w:tabs>
        <w:rPr>
          <w:rFonts w:cs="Arial"/>
        </w:rPr>
      </w:pPr>
    </w:p>
    <w:p w14:paraId="064B8A12" w14:textId="72DB0724" w:rsidR="0045386A" w:rsidRPr="00A241F5" w:rsidRDefault="003119D4" w:rsidP="003119D4">
      <w:pPr>
        <w:keepNext/>
        <w:keepLines/>
        <w:widowControl/>
        <w:tabs>
          <w:tab w:val="clear" w:pos="1418"/>
          <w:tab w:val="left" w:pos="1440"/>
        </w:tabs>
        <w:ind w:left="1440" w:hanging="720"/>
        <w:outlineLvl w:val="2"/>
        <w:rPr>
          <w:rFonts w:cs="Arial"/>
        </w:rPr>
      </w:pPr>
      <w:r w:rsidRPr="00A241F5">
        <w:rPr>
          <w:rFonts w:cs="Arial"/>
        </w:rPr>
        <w:t>(c)</w:t>
      </w:r>
      <w:r w:rsidRPr="00A241F5">
        <w:rPr>
          <w:rFonts w:cs="Arial"/>
        </w:rPr>
        <w:tab/>
        <w:t>The Hong Kong Solicitors</w:t>
      </w:r>
      <w:r w:rsidR="00C61F4B" w:rsidRPr="00A241F5">
        <w:rPr>
          <w:rFonts w:cs="Arial"/>
        </w:rPr>
        <w:t>'</w:t>
      </w:r>
      <w:r w:rsidRPr="00A241F5">
        <w:rPr>
          <w:rFonts w:cs="Arial"/>
        </w:rPr>
        <w:t xml:space="preserve"> Guide to Professional Conduct should be amended to permit solicitors to enter into ORFSs for Arbitration.</w:t>
      </w:r>
    </w:p>
    <w:p w14:paraId="329047F6" w14:textId="539DCA1F" w:rsidR="003119D4" w:rsidRPr="00A241F5" w:rsidRDefault="003119D4" w:rsidP="003119D4">
      <w:pPr>
        <w:keepNext/>
        <w:keepLines/>
        <w:widowControl/>
        <w:tabs>
          <w:tab w:val="clear" w:pos="1418"/>
          <w:tab w:val="left" w:pos="1440"/>
        </w:tabs>
        <w:ind w:left="1440" w:hanging="720"/>
        <w:outlineLvl w:val="2"/>
        <w:rPr>
          <w:rFonts w:cs="Arial"/>
        </w:rPr>
      </w:pPr>
    </w:p>
    <w:p w14:paraId="0DF7DDE1" w14:textId="455B1DC0" w:rsidR="00570F24" w:rsidRPr="00A241F5" w:rsidRDefault="003119D4" w:rsidP="003119D4">
      <w:pPr>
        <w:keepNext/>
        <w:keepLines/>
        <w:widowControl/>
        <w:tabs>
          <w:tab w:val="clear" w:pos="1418"/>
          <w:tab w:val="left" w:pos="1440"/>
        </w:tabs>
        <w:ind w:left="1440" w:hanging="720"/>
        <w:outlineLvl w:val="2"/>
      </w:pPr>
      <w:r w:rsidRPr="00A241F5">
        <w:t>(d)</w:t>
      </w:r>
      <w:r w:rsidRPr="00A241F5">
        <w:tab/>
        <w:t>The HKBA</w:t>
      </w:r>
      <w:r w:rsidR="00C61F4B" w:rsidRPr="00A241F5">
        <w:t>'</w:t>
      </w:r>
      <w:r w:rsidRPr="00A241F5">
        <w:t>s Code of Conduct should be amended so that barristers may enter into ORFSs for Arbitration, and may also decline instructions involving ORFSs for Arbitration.</w:t>
      </w:r>
      <w:r w:rsidR="00570F24" w:rsidRPr="00A241F5">
        <w:t xml:space="preserve">  </w:t>
      </w:r>
    </w:p>
    <w:p w14:paraId="675FE525" w14:textId="6B75BF7B" w:rsidR="003119D4" w:rsidRPr="00A241F5" w:rsidRDefault="00570F24" w:rsidP="003119D4">
      <w:pPr>
        <w:keepNext/>
        <w:keepLines/>
        <w:widowControl/>
        <w:tabs>
          <w:tab w:val="clear" w:pos="1418"/>
          <w:tab w:val="left" w:pos="1440"/>
        </w:tabs>
        <w:ind w:left="1440" w:hanging="720"/>
        <w:outlineLvl w:val="2"/>
      </w:pPr>
      <w:r w:rsidRPr="00A241F5">
        <w:tab/>
      </w:r>
      <w:r w:rsidRPr="00A241F5">
        <w:rPr>
          <w:rFonts w:cs="Arial"/>
        </w:rPr>
        <w:t xml:space="preserve">(Paras </w:t>
      </w:r>
      <w:r w:rsidR="00C207A2" w:rsidRPr="00A241F5">
        <w:rPr>
          <w:rFonts w:cs="Arial"/>
        </w:rPr>
        <w:t>12.9 to 12.19</w:t>
      </w:r>
      <w:r w:rsidRPr="00A241F5">
        <w:rPr>
          <w:rFonts w:cs="Arial"/>
        </w:rPr>
        <w:t>)</w:t>
      </w:r>
    </w:p>
    <w:p w14:paraId="1AFC7D87" w14:textId="77777777" w:rsidR="0045386A" w:rsidRPr="00A241F5" w:rsidRDefault="0045386A" w:rsidP="003119D4">
      <w:pPr>
        <w:keepNext/>
        <w:keepLines/>
        <w:widowControl/>
        <w:outlineLvl w:val="2"/>
        <w:rPr>
          <w:bCs/>
          <w:i/>
        </w:rPr>
      </w:pPr>
    </w:p>
    <w:p w14:paraId="6368653B" w14:textId="77777777" w:rsidR="0045386A" w:rsidRPr="00A241F5" w:rsidRDefault="0045386A" w:rsidP="0045386A">
      <w:pPr>
        <w:keepNext/>
        <w:keepLines/>
        <w:widowControl/>
        <w:outlineLvl w:val="2"/>
        <w:rPr>
          <w:bCs/>
          <w:i/>
        </w:rPr>
      </w:pPr>
    </w:p>
    <w:p w14:paraId="37006353" w14:textId="77777777" w:rsidR="0045386A" w:rsidRPr="00A241F5" w:rsidRDefault="0045386A" w:rsidP="0045386A">
      <w:pPr>
        <w:keepNext/>
        <w:keepLines/>
        <w:widowControl/>
        <w:outlineLvl w:val="2"/>
        <w:rPr>
          <w:b/>
          <w:bCs/>
          <w:i/>
        </w:rPr>
      </w:pPr>
      <w:r w:rsidRPr="00A241F5">
        <w:rPr>
          <w:b/>
          <w:bCs/>
          <w:i/>
        </w:rPr>
        <w:t xml:space="preserve">Final Recommendation 12 </w:t>
      </w:r>
    </w:p>
    <w:p w14:paraId="24EF274B" w14:textId="77777777" w:rsidR="0045386A" w:rsidRPr="00A241F5" w:rsidRDefault="0045386A" w:rsidP="0045386A"/>
    <w:p w14:paraId="390E7767" w14:textId="77777777" w:rsidR="003119D4" w:rsidRPr="00A241F5" w:rsidRDefault="003119D4" w:rsidP="003119D4">
      <w:pPr>
        <w:tabs>
          <w:tab w:val="clear" w:pos="1418"/>
        </w:tabs>
      </w:pPr>
      <w:r w:rsidRPr="00A241F5">
        <w:t>We recommend that:</w:t>
      </w:r>
    </w:p>
    <w:p w14:paraId="7B077425" w14:textId="77777777" w:rsidR="003119D4" w:rsidRPr="00A241F5" w:rsidRDefault="003119D4" w:rsidP="003119D4">
      <w:pPr>
        <w:tabs>
          <w:tab w:val="clear" w:pos="1418"/>
        </w:tabs>
      </w:pPr>
    </w:p>
    <w:p w14:paraId="67FFA574" w14:textId="46E78882" w:rsidR="003119D4" w:rsidRPr="00A241F5" w:rsidRDefault="003119D4" w:rsidP="003119D4">
      <w:pPr>
        <w:keepNext/>
        <w:keepLines/>
        <w:widowControl/>
        <w:tabs>
          <w:tab w:val="clear" w:pos="1418"/>
          <w:tab w:val="left" w:pos="1440"/>
        </w:tabs>
        <w:ind w:left="1440" w:hanging="720"/>
        <w:outlineLvl w:val="2"/>
      </w:pPr>
      <w:r w:rsidRPr="00A241F5">
        <w:t>(a)</w:t>
      </w:r>
      <w:r w:rsidRPr="00A241F5">
        <w:tab/>
        <w:t xml:space="preserve">the more detailed regulatory framework should be set out in subsidiary legislation which, like the </w:t>
      </w:r>
      <w:r w:rsidRPr="00A241F5">
        <w:rPr>
          <w:rFonts w:cs="Arial"/>
        </w:rPr>
        <w:t>legislative</w:t>
      </w:r>
      <w:r w:rsidRPr="00A241F5">
        <w:t xml:space="preserve"> amendments referred to in Final Recommendation 11, should be </w:t>
      </w:r>
      <w:r w:rsidR="007373BA" w:rsidRPr="00A241F5">
        <w:t xml:space="preserve">as </w:t>
      </w:r>
      <w:r w:rsidRPr="00A241F5">
        <w:t xml:space="preserve">simple and clear </w:t>
      </w:r>
      <w:r w:rsidR="007373BA" w:rsidRPr="00A241F5">
        <w:t xml:space="preserve">as possible </w:t>
      </w:r>
      <w:r w:rsidRPr="00A241F5">
        <w:t xml:space="preserve">to avoid frivolous technical challenges; and </w:t>
      </w:r>
    </w:p>
    <w:p w14:paraId="557B3047" w14:textId="77777777" w:rsidR="003119D4" w:rsidRPr="00A241F5" w:rsidRDefault="003119D4" w:rsidP="003119D4">
      <w:pPr>
        <w:tabs>
          <w:tab w:val="clear" w:pos="1418"/>
        </w:tabs>
      </w:pPr>
    </w:p>
    <w:p w14:paraId="6C36033E" w14:textId="5CD51958" w:rsidR="0045386A" w:rsidRPr="00A241F5" w:rsidRDefault="003119D4" w:rsidP="003119D4">
      <w:pPr>
        <w:keepNext/>
        <w:keepLines/>
        <w:widowControl/>
        <w:tabs>
          <w:tab w:val="clear" w:pos="1418"/>
          <w:tab w:val="left" w:pos="1440"/>
        </w:tabs>
        <w:ind w:left="1440" w:hanging="720"/>
        <w:outlineLvl w:val="2"/>
        <w:rPr>
          <w:rFonts w:cs="Arial"/>
        </w:rPr>
      </w:pPr>
      <w:r w:rsidRPr="00A241F5">
        <w:t>(b)</w:t>
      </w:r>
      <w:r w:rsidRPr="00A241F5">
        <w:tab/>
        <w:t>further client-care provisions (to the extent these are required) could also be set out in professional codes of conduct so that trivial breaches can be dealt with expeditiously by the professional bodies.</w:t>
      </w:r>
      <w:r w:rsidR="00570F24" w:rsidRPr="00A241F5">
        <w:t xml:space="preserve">  </w:t>
      </w:r>
      <w:r w:rsidR="00570F24" w:rsidRPr="00A241F5">
        <w:rPr>
          <w:rFonts w:cs="Arial"/>
        </w:rPr>
        <w:t xml:space="preserve">(Paras </w:t>
      </w:r>
      <w:r w:rsidR="00C207A2" w:rsidRPr="00A241F5">
        <w:rPr>
          <w:rFonts w:cs="Arial"/>
        </w:rPr>
        <w:t>13.11 to 13.13</w:t>
      </w:r>
      <w:r w:rsidR="00570F24" w:rsidRPr="00A241F5">
        <w:rPr>
          <w:rFonts w:cs="Arial"/>
        </w:rPr>
        <w:t>)</w:t>
      </w:r>
      <w:r w:rsidR="0045386A" w:rsidRPr="00A241F5">
        <w:rPr>
          <w:rFonts w:cs="Arial"/>
        </w:rPr>
        <w:t xml:space="preserve">  </w:t>
      </w:r>
    </w:p>
    <w:p w14:paraId="6F274C12" w14:textId="77777777" w:rsidR="0045386A" w:rsidRPr="00A241F5" w:rsidRDefault="0045386A" w:rsidP="0045386A">
      <w:pPr>
        <w:pStyle w:val="ListParagraph"/>
        <w:rPr>
          <w:rFonts w:cs="Arial"/>
        </w:rPr>
      </w:pPr>
    </w:p>
    <w:p w14:paraId="519E33C4" w14:textId="77777777" w:rsidR="0045386A" w:rsidRPr="00A241F5" w:rsidRDefault="0045386A" w:rsidP="0045386A">
      <w:pPr>
        <w:ind w:left="1440"/>
        <w:rPr>
          <w:rFonts w:cs="Arial"/>
        </w:rPr>
      </w:pPr>
    </w:p>
    <w:p w14:paraId="3D34CF54" w14:textId="77777777" w:rsidR="0045386A" w:rsidRPr="00A241F5" w:rsidRDefault="0045386A" w:rsidP="0045386A">
      <w:pPr>
        <w:keepNext/>
        <w:keepLines/>
        <w:widowControl/>
        <w:outlineLvl w:val="2"/>
        <w:rPr>
          <w:bCs/>
          <w:i/>
        </w:rPr>
      </w:pPr>
      <w:r w:rsidRPr="00A241F5">
        <w:rPr>
          <w:b/>
          <w:bCs/>
          <w:i/>
        </w:rPr>
        <w:t>Final Recommendation 13</w:t>
      </w:r>
    </w:p>
    <w:p w14:paraId="2E029D49" w14:textId="77777777" w:rsidR="0045386A" w:rsidRPr="00A241F5" w:rsidRDefault="0045386A" w:rsidP="0045386A"/>
    <w:p w14:paraId="6987240E" w14:textId="77777777" w:rsidR="00771E3C" w:rsidRPr="00A241F5" w:rsidRDefault="00771E3C" w:rsidP="00771E3C">
      <w:pPr>
        <w:keepLines/>
        <w:widowControl/>
        <w:ind w:left="720" w:hanging="720"/>
        <w:outlineLvl w:val="2"/>
        <w:rPr>
          <w:rFonts w:cs="Arial"/>
        </w:rPr>
      </w:pPr>
      <w:r w:rsidRPr="00A241F5">
        <w:rPr>
          <w:rFonts w:cs="Arial"/>
        </w:rPr>
        <w:t>We recommend that:</w:t>
      </w:r>
    </w:p>
    <w:p w14:paraId="007F1A8F" w14:textId="77777777" w:rsidR="00771E3C" w:rsidRPr="00A241F5" w:rsidRDefault="00771E3C" w:rsidP="00771E3C">
      <w:pPr>
        <w:keepLines/>
        <w:widowControl/>
        <w:ind w:left="720" w:hanging="720"/>
        <w:outlineLvl w:val="2"/>
        <w:rPr>
          <w:rFonts w:cs="Arial"/>
        </w:rPr>
      </w:pPr>
    </w:p>
    <w:p w14:paraId="272AA1E3" w14:textId="77777777" w:rsidR="00771E3C" w:rsidRPr="00A241F5" w:rsidRDefault="00771E3C" w:rsidP="00771E3C">
      <w:pPr>
        <w:keepLines/>
        <w:widowControl/>
        <w:ind w:left="1440" w:hanging="720"/>
        <w:outlineLvl w:val="2"/>
        <w:rPr>
          <w:rFonts w:cs="Arial"/>
        </w:rPr>
      </w:pPr>
      <w:r w:rsidRPr="00A241F5">
        <w:rPr>
          <w:rFonts w:cs="Arial"/>
        </w:rPr>
        <w:t>(a)</w:t>
      </w:r>
      <w:r w:rsidRPr="00A241F5">
        <w:rPr>
          <w:rFonts w:cs="Arial"/>
        </w:rPr>
        <w:tab/>
        <w:t>The subsidiary legislation should include provisions for at least the following safeguards:</w:t>
      </w:r>
    </w:p>
    <w:p w14:paraId="29915550" w14:textId="77777777" w:rsidR="00771E3C" w:rsidRPr="00A241F5" w:rsidRDefault="00771E3C" w:rsidP="00771E3C">
      <w:pPr>
        <w:keepLines/>
        <w:widowControl/>
        <w:ind w:left="720" w:hanging="720"/>
        <w:outlineLvl w:val="2"/>
        <w:rPr>
          <w:rFonts w:cs="Arial"/>
        </w:rPr>
      </w:pPr>
    </w:p>
    <w:p w14:paraId="4782A6DB" w14:textId="4F21B305" w:rsidR="00771E3C" w:rsidRPr="00A241F5" w:rsidRDefault="00771E3C" w:rsidP="00771E3C">
      <w:pPr>
        <w:keepLines/>
        <w:widowControl/>
        <w:tabs>
          <w:tab w:val="clear" w:pos="1418"/>
        </w:tabs>
        <w:ind w:left="2160" w:hanging="720"/>
        <w:outlineLvl w:val="2"/>
        <w:rPr>
          <w:rFonts w:cs="Arial"/>
        </w:rPr>
      </w:pPr>
      <w:r w:rsidRPr="00A241F5">
        <w:rPr>
          <w:rFonts w:cs="Arial"/>
        </w:rPr>
        <w:t>(i)</w:t>
      </w:r>
      <w:r w:rsidRPr="00A241F5">
        <w:rPr>
          <w:rFonts w:cs="Arial"/>
        </w:rPr>
        <w:tab/>
        <w:t>the ORFS must be in writing and signed by the client;</w:t>
      </w:r>
    </w:p>
    <w:p w14:paraId="7A47F802" w14:textId="77777777" w:rsidR="00771E3C" w:rsidRPr="00A241F5" w:rsidRDefault="00771E3C" w:rsidP="00771E3C">
      <w:pPr>
        <w:keepLines/>
        <w:widowControl/>
        <w:tabs>
          <w:tab w:val="clear" w:pos="1418"/>
        </w:tabs>
        <w:ind w:left="720" w:hanging="720"/>
        <w:outlineLvl w:val="2"/>
        <w:rPr>
          <w:rFonts w:cs="Arial"/>
        </w:rPr>
      </w:pPr>
    </w:p>
    <w:p w14:paraId="3F851F9F" w14:textId="19B13397" w:rsidR="0045386A" w:rsidRPr="00A241F5" w:rsidRDefault="00771E3C" w:rsidP="00771E3C">
      <w:pPr>
        <w:keepLines/>
        <w:widowControl/>
        <w:tabs>
          <w:tab w:val="clear" w:pos="1418"/>
        </w:tabs>
        <w:ind w:left="2160" w:hanging="720"/>
        <w:outlineLvl w:val="2"/>
        <w:rPr>
          <w:rFonts w:cs="Arial"/>
        </w:rPr>
      </w:pPr>
      <w:r w:rsidRPr="00A241F5">
        <w:rPr>
          <w:rFonts w:cs="Arial"/>
        </w:rPr>
        <w:lastRenderedPageBreak/>
        <w:t>(ii)</w:t>
      </w:r>
      <w:r w:rsidRPr="00A241F5">
        <w:rPr>
          <w:rFonts w:cs="Arial"/>
        </w:rPr>
        <w:tab/>
        <w:t xml:space="preserve">the Lawyer should give the client all relevant information relating to the ORFS that is being entered into, </w:t>
      </w:r>
      <w:r w:rsidR="00DA569C" w:rsidRPr="00A241F5">
        <w:rPr>
          <w:rFonts w:cs="Arial"/>
        </w:rPr>
        <w:t xml:space="preserve">and </w:t>
      </w:r>
      <w:r w:rsidR="000B04CF" w:rsidRPr="00A241F5">
        <w:rPr>
          <w:rFonts w:cs="Arial"/>
        </w:rPr>
        <w:t xml:space="preserve">should </w:t>
      </w:r>
      <w:r w:rsidRPr="00A241F5">
        <w:rPr>
          <w:rFonts w:cs="Arial"/>
        </w:rPr>
        <w:t>provide that information in a clear and accessible form;</w:t>
      </w:r>
    </w:p>
    <w:p w14:paraId="2C2EC70A" w14:textId="21894F98" w:rsidR="00771E3C" w:rsidRPr="00A241F5" w:rsidRDefault="00771E3C" w:rsidP="00771E3C">
      <w:pPr>
        <w:keepLines/>
        <w:widowControl/>
        <w:ind w:left="720" w:hanging="720"/>
        <w:outlineLvl w:val="2"/>
        <w:rPr>
          <w:rFonts w:cs="Arial"/>
        </w:rPr>
      </w:pPr>
    </w:p>
    <w:p w14:paraId="5F9BDC62" w14:textId="77777777" w:rsidR="00771E3C" w:rsidRPr="00A241F5" w:rsidRDefault="00771E3C" w:rsidP="00771E3C">
      <w:pPr>
        <w:keepLines/>
        <w:widowControl/>
        <w:tabs>
          <w:tab w:val="clear" w:pos="1418"/>
        </w:tabs>
        <w:ind w:left="2160" w:hanging="720"/>
        <w:outlineLvl w:val="2"/>
        <w:rPr>
          <w:rFonts w:cs="Arial"/>
        </w:rPr>
      </w:pPr>
      <w:r w:rsidRPr="00A241F5">
        <w:rPr>
          <w:rFonts w:cs="Arial"/>
        </w:rPr>
        <w:t>(iii)</w:t>
      </w:r>
      <w:r w:rsidRPr="00A241F5">
        <w:rPr>
          <w:rFonts w:cs="Arial"/>
        </w:rPr>
        <w:tab/>
        <w:t xml:space="preserve">the Lawyer should inform clients of their right to take independent legal advice, and the ORFS should include a corresponding statement that the client has been informed of the right to seek such independent legal advice;   </w:t>
      </w:r>
    </w:p>
    <w:p w14:paraId="79627D88" w14:textId="77777777" w:rsidR="00771E3C" w:rsidRPr="00A241F5" w:rsidRDefault="00771E3C" w:rsidP="00771E3C">
      <w:pPr>
        <w:keepLines/>
        <w:widowControl/>
        <w:ind w:left="720" w:hanging="720"/>
        <w:outlineLvl w:val="2"/>
        <w:rPr>
          <w:rFonts w:cs="Arial"/>
        </w:rPr>
      </w:pPr>
    </w:p>
    <w:p w14:paraId="5276B3C1" w14:textId="7BA7E944" w:rsidR="00771E3C" w:rsidRPr="00A241F5" w:rsidRDefault="00771E3C" w:rsidP="00771E3C">
      <w:pPr>
        <w:keepLines/>
        <w:widowControl/>
        <w:tabs>
          <w:tab w:val="clear" w:pos="1418"/>
        </w:tabs>
        <w:ind w:left="2160" w:hanging="720"/>
        <w:outlineLvl w:val="2"/>
        <w:rPr>
          <w:rFonts w:cs="Arial"/>
        </w:rPr>
      </w:pPr>
      <w:r w:rsidRPr="00A241F5">
        <w:rPr>
          <w:rFonts w:cs="Arial"/>
        </w:rPr>
        <w:t>(iv)</w:t>
      </w:r>
      <w:r w:rsidRPr="00A241F5">
        <w:rPr>
          <w:rFonts w:cs="Arial"/>
        </w:rPr>
        <w:tab/>
        <w:t xml:space="preserve">the ORFS should be subject to a minimum </w:t>
      </w:r>
      <w:r w:rsidR="00C61F4B" w:rsidRPr="00A241F5">
        <w:rPr>
          <w:rFonts w:cs="Arial"/>
        </w:rPr>
        <w:t>"</w:t>
      </w:r>
      <w:r w:rsidRPr="00A241F5">
        <w:rPr>
          <w:rFonts w:cs="Arial"/>
        </w:rPr>
        <w:t>cooling-off</w:t>
      </w:r>
      <w:r w:rsidR="00C61F4B" w:rsidRPr="00A241F5">
        <w:rPr>
          <w:rFonts w:cs="Arial"/>
        </w:rPr>
        <w:t>"</w:t>
      </w:r>
      <w:r w:rsidRPr="00A241F5">
        <w:rPr>
          <w:rFonts w:cs="Arial"/>
        </w:rPr>
        <w:t xml:space="preserve"> period of seven days during which the client, by written notice, may terminate the ORFS; </w:t>
      </w:r>
    </w:p>
    <w:p w14:paraId="2EDADBF0" w14:textId="77777777" w:rsidR="00771E3C" w:rsidRPr="00A241F5" w:rsidRDefault="00771E3C" w:rsidP="00771E3C">
      <w:pPr>
        <w:keepLines/>
        <w:widowControl/>
        <w:ind w:left="720" w:hanging="720"/>
        <w:outlineLvl w:val="2"/>
        <w:rPr>
          <w:rFonts w:cs="Arial"/>
        </w:rPr>
      </w:pPr>
      <w:r w:rsidRPr="00A241F5">
        <w:rPr>
          <w:rFonts w:cs="Arial"/>
        </w:rPr>
        <w:t xml:space="preserve">  </w:t>
      </w:r>
    </w:p>
    <w:p w14:paraId="1D346473" w14:textId="77777777" w:rsidR="00771E3C" w:rsidRPr="00A241F5" w:rsidRDefault="00771E3C" w:rsidP="00771E3C">
      <w:pPr>
        <w:keepLines/>
        <w:widowControl/>
        <w:tabs>
          <w:tab w:val="clear" w:pos="1418"/>
        </w:tabs>
        <w:ind w:left="2160" w:hanging="720"/>
        <w:outlineLvl w:val="2"/>
        <w:rPr>
          <w:rFonts w:cs="Arial"/>
        </w:rPr>
      </w:pPr>
      <w:r w:rsidRPr="00A241F5">
        <w:rPr>
          <w:rFonts w:cs="Arial"/>
        </w:rPr>
        <w:t>(v)</w:t>
      </w:r>
      <w:r w:rsidRPr="00A241F5">
        <w:rPr>
          <w:rFonts w:cs="Arial"/>
        </w:rPr>
        <w:tab/>
        <w:t>the ORFS itself should state clearly:</w:t>
      </w:r>
    </w:p>
    <w:p w14:paraId="7DFE5695" w14:textId="77777777" w:rsidR="00771E3C" w:rsidRPr="00A241F5" w:rsidRDefault="00771E3C" w:rsidP="00771E3C">
      <w:pPr>
        <w:keepLines/>
        <w:widowControl/>
        <w:ind w:left="720" w:hanging="720"/>
        <w:outlineLvl w:val="2"/>
        <w:rPr>
          <w:rFonts w:cs="Arial"/>
        </w:rPr>
      </w:pPr>
    </w:p>
    <w:p w14:paraId="214C84EC" w14:textId="02C65AEB" w:rsidR="00771E3C" w:rsidRPr="00A241F5" w:rsidRDefault="00771E3C" w:rsidP="00771E3C">
      <w:pPr>
        <w:keepLines/>
        <w:widowControl/>
        <w:tabs>
          <w:tab w:val="clear" w:pos="1418"/>
        </w:tabs>
        <w:ind w:left="2880" w:hanging="720"/>
        <w:outlineLvl w:val="2"/>
        <w:rPr>
          <w:rFonts w:cs="Arial"/>
        </w:rPr>
      </w:pPr>
      <w:r w:rsidRPr="00A241F5">
        <w:rPr>
          <w:rFonts w:cs="Arial"/>
        </w:rPr>
        <w:t>(1)</w:t>
      </w:r>
      <w:r w:rsidRPr="00A241F5">
        <w:rPr>
          <w:rFonts w:cs="Arial"/>
        </w:rPr>
        <w:tab/>
        <w:t>in what circumstances a Lawyer</w:t>
      </w:r>
      <w:r w:rsidR="00C61F4B" w:rsidRPr="00A241F5">
        <w:rPr>
          <w:rFonts w:cs="Arial"/>
        </w:rPr>
        <w:t>'</w:t>
      </w:r>
      <w:r w:rsidRPr="00A241F5">
        <w:rPr>
          <w:rFonts w:cs="Arial"/>
        </w:rPr>
        <w:t>s fees and expenses, or part of them, will be payable;</w:t>
      </w:r>
    </w:p>
    <w:p w14:paraId="0F940FB4" w14:textId="77777777" w:rsidR="00771E3C" w:rsidRPr="00A241F5" w:rsidRDefault="00771E3C" w:rsidP="00771E3C">
      <w:pPr>
        <w:keepLines/>
        <w:widowControl/>
        <w:tabs>
          <w:tab w:val="clear" w:pos="1418"/>
        </w:tabs>
        <w:ind w:left="2880" w:hanging="720"/>
        <w:outlineLvl w:val="2"/>
        <w:rPr>
          <w:rFonts w:cs="Arial"/>
        </w:rPr>
      </w:pPr>
    </w:p>
    <w:p w14:paraId="3E2B282F" w14:textId="5E490DF1" w:rsidR="00771E3C" w:rsidRPr="00A241F5" w:rsidRDefault="00771E3C" w:rsidP="00771E3C">
      <w:pPr>
        <w:keepLines/>
        <w:widowControl/>
        <w:tabs>
          <w:tab w:val="clear" w:pos="1418"/>
        </w:tabs>
        <w:ind w:left="2880" w:hanging="720"/>
        <w:outlineLvl w:val="2"/>
        <w:rPr>
          <w:rFonts w:cs="Arial"/>
        </w:rPr>
      </w:pPr>
      <w:r w:rsidRPr="00A241F5">
        <w:rPr>
          <w:rFonts w:cs="Arial"/>
        </w:rPr>
        <w:t>(2)</w:t>
      </w:r>
      <w:r w:rsidRPr="00A241F5">
        <w:rPr>
          <w:rFonts w:cs="Arial"/>
        </w:rPr>
        <w:tab/>
        <w:t>the circumstances in which the Lawyer</w:t>
      </w:r>
      <w:r w:rsidR="00C61F4B" w:rsidRPr="00A241F5">
        <w:rPr>
          <w:rFonts w:cs="Arial"/>
        </w:rPr>
        <w:t>'</w:t>
      </w:r>
      <w:r w:rsidRPr="00A241F5">
        <w:rPr>
          <w:rFonts w:cs="Arial"/>
        </w:rPr>
        <w:t xml:space="preserve">s payment, expenses and costs, or part of them, are payable by the client in the event that the ORFS is terminated by the Lawyer or the client; and </w:t>
      </w:r>
    </w:p>
    <w:p w14:paraId="18B16AF8" w14:textId="77777777" w:rsidR="00771E3C" w:rsidRPr="00A241F5" w:rsidRDefault="00771E3C" w:rsidP="00771E3C">
      <w:pPr>
        <w:keepLines/>
        <w:widowControl/>
        <w:tabs>
          <w:tab w:val="clear" w:pos="1418"/>
        </w:tabs>
        <w:ind w:left="2880" w:hanging="720"/>
        <w:outlineLvl w:val="2"/>
        <w:rPr>
          <w:rFonts w:cs="Arial"/>
        </w:rPr>
      </w:pPr>
    </w:p>
    <w:p w14:paraId="6961620A" w14:textId="6C6F1C5F" w:rsidR="00771E3C" w:rsidRPr="00A241F5" w:rsidRDefault="00771E3C" w:rsidP="00771E3C">
      <w:pPr>
        <w:keepLines/>
        <w:widowControl/>
        <w:tabs>
          <w:tab w:val="clear" w:pos="1418"/>
        </w:tabs>
        <w:ind w:left="2880" w:hanging="720"/>
        <w:outlineLvl w:val="2"/>
        <w:rPr>
          <w:rFonts w:cs="Arial"/>
        </w:rPr>
      </w:pPr>
      <w:r w:rsidRPr="00A241F5">
        <w:rPr>
          <w:rFonts w:cs="Arial"/>
        </w:rPr>
        <w:t>(3)</w:t>
      </w:r>
      <w:r w:rsidRPr="00A241F5">
        <w:rPr>
          <w:rFonts w:cs="Arial"/>
        </w:rPr>
        <w:tab/>
        <w:t>whether disbursements, including barristers</w:t>
      </w:r>
      <w:r w:rsidR="00C61F4B" w:rsidRPr="00A241F5">
        <w:rPr>
          <w:rFonts w:cs="Arial"/>
        </w:rPr>
        <w:t>'</w:t>
      </w:r>
      <w:r w:rsidRPr="00A241F5">
        <w:rPr>
          <w:rFonts w:cs="Arial"/>
        </w:rPr>
        <w:t xml:space="preserve"> fees, are to be paid irrespective of the outcome of the matter; </w:t>
      </w:r>
    </w:p>
    <w:p w14:paraId="57FB1171" w14:textId="77777777" w:rsidR="00771E3C" w:rsidRPr="00A241F5" w:rsidRDefault="00771E3C" w:rsidP="00771E3C">
      <w:pPr>
        <w:keepLines/>
        <w:widowControl/>
        <w:ind w:left="720" w:hanging="720"/>
        <w:outlineLvl w:val="2"/>
        <w:rPr>
          <w:rFonts w:cs="Arial"/>
        </w:rPr>
      </w:pPr>
    </w:p>
    <w:p w14:paraId="55D906E6" w14:textId="09309A6C" w:rsidR="00771E3C" w:rsidRPr="00A241F5" w:rsidRDefault="00771E3C" w:rsidP="00771E3C">
      <w:pPr>
        <w:keepLines/>
        <w:widowControl/>
        <w:tabs>
          <w:tab w:val="clear" w:pos="1418"/>
        </w:tabs>
        <w:ind w:left="720" w:hanging="720"/>
        <w:outlineLvl w:val="2"/>
        <w:rPr>
          <w:rFonts w:cs="Arial"/>
        </w:rPr>
      </w:pPr>
      <w:r w:rsidRPr="00A241F5">
        <w:rPr>
          <w:rFonts w:cs="Arial"/>
        </w:rPr>
        <w:tab/>
      </w:r>
      <w:r w:rsidRPr="00A241F5">
        <w:rPr>
          <w:rFonts w:cs="Arial"/>
        </w:rPr>
        <w:tab/>
      </w:r>
      <w:r w:rsidRPr="00A241F5">
        <w:rPr>
          <w:rFonts w:cs="Arial"/>
        </w:rPr>
        <w:tab/>
        <w:t>in addition, for CFAs:</w:t>
      </w:r>
    </w:p>
    <w:p w14:paraId="01EA8026" w14:textId="77777777" w:rsidR="00771E3C" w:rsidRPr="00A241F5" w:rsidRDefault="00771E3C" w:rsidP="00771E3C">
      <w:pPr>
        <w:keepLines/>
        <w:widowControl/>
        <w:ind w:left="720" w:hanging="720"/>
        <w:outlineLvl w:val="2"/>
        <w:rPr>
          <w:rFonts w:cs="Arial"/>
        </w:rPr>
      </w:pPr>
    </w:p>
    <w:p w14:paraId="1C42D613" w14:textId="5FFE65E1" w:rsidR="00771E3C" w:rsidRPr="00A241F5" w:rsidRDefault="00771E3C" w:rsidP="00771E3C">
      <w:pPr>
        <w:keepLines/>
        <w:widowControl/>
        <w:tabs>
          <w:tab w:val="clear" w:pos="1418"/>
        </w:tabs>
        <w:ind w:left="2880" w:hanging="720"/>
        <w:outlineLvl w:val="2"/>
        <w:rPr>
          <w:rFonts w:cs="Arial"/>
        </w:rPr>
      </w:pPr>
      <w:r w:rsidRPr="00A241F5">
        <w:rPr>
          <w:rFonts w:cs="Arial"/>
        </w:rPr>
        <w:t>(4)</w:t>
      </w:r>
      <w:r w:rsidRPr="00A241F5">
        <w:rPr>
          <w:rFonts w:cs="Arial"/>
        </w:rPr>
        <w:tab/>
        <w:t xml:space="preserve">the circumstances that constitute a </w:t>
      </w:r>
      <w:r w:rsidR="00C61F4B" w:rsidRPr="00A241F5">
        <w:rPr>
          <w:rFonts w:cs="Arial"/>
        </w:rPr>
        <w:t>"</w:t>
      </w:r>
      <w:r w:rsidRPr="00A241F5">
        <w:rPr>
          <w:rFonts w:cs="Arial"/>
        </w:rPr>
        <w:t>successful outcome</w:t>
      </w:r>
      <w:r w:rsidR="00C61F4B" w:rsidRPr="00A241F5">
        <w:rPr>
          <w:rFonts w:cs="Arial"/>
        </w:rPr>
        <w:t>"</w:t>
      </w:r>
      <w:r w:rsidRPr="00A241F5">
        <w:rPr>
          <w:rFonts w:cs="Arial"/>
        </w:rPr>
        <w:t xml:space="preserve"> of the matter to which it relates; and </w:t>
      </w:r>
    </w:p>
    <w:p w14:paraId="4B1B4715" w14:textId="77777777" w:rsidR="00771E3C" w:rsidRPr="00A241F5" w:rsidRDefault="00771E3C" w:rsidP="00771E3C">
      <w:pPr>
        <w:keepLines/>
        <w:widowControl/>
        <w:ind w:left="720" w:hanging="720"/>
        <w:outlineLvl w:val="2"/>
        <w:rPr>
          <w:rFonts w:cs="Arial"/>
        </w:rPr>
      </w:pPr>
    </w:p>
    <w:p w14:paraId="7082D99A" w14:textId="6D8E846D" w:rsidR="00771E3C" w:rsidRPr="00A241F5" w:rsidRDefault="00771E3C" w:rsidP="00771E3C">
      <w:pPr>
        <w:keepLines/>
        <w:widowControl/>
        <w:tabs>
          <w:tab w:val="clear" w:pos="1418"/>
        </w:tabs>
        <w:ind w:left="2880" w:hanging="720"/>
        <w:outlineLvl w:val="2"/>
        <w:rPr>
          <w:rFonts w:cs="Arial"/>
        </w:rPr>
      </w:pPr>
      <w:r w:rsidRPr="00A241F5">
        <w:rPr>
          <w:rFonts w:cs="Arial"/>
        </w:rPr>
        <w:t>(5)</w:t>
      </w:r>
      <w:r w:rsidRPr="00A241F5">
        <w:rPr>
          <w:rFonts w:cs="Arial"/>
        </w:rPr>
        <w:tab/>
        <w:t xml:space="preserve">the basis of calculation of the Success Fee which would be payable in the event of such </w:t>
      </w:r>
      <w:r w:rsidR="00C61F4B" w:rsidRPr="00A241F5">
        <w:rPr>
          <w:rFonts w:cs="Arial"/>
        </w:rPr>
        <w:t>"</w:t>
      </w:r>
      <w:r w:rsidRPr="00A241F5">
        <w:rPr>
          <w:rFonts w:cs="Arial"/>
        </w:rPr>
        <w:t>successful outcome</w:t>
      </w:r>
      <w:r w:rsidR="00C61F4B" w:rsidRPr="00A241F5">
        <w:rPr>
          <w:rFonts w:cs="Arial"/>
        </w:rPr>
        <w:t>"</w:t>
      </w:r>
      <w:r w:rsidRPr="00A241F5">
        <w:rPr>
          <w:rFonts w:cs="Arial"/>
        </w:rPr>
        <w:t xml:space="preserve">, as well as the Success Fee premium, meaning the percentage uplift by which the amount of the legal costs which would be payable if </w:t>
      </w:r>
      <w:r w:rsidR="003C3A44" w:rsidRPr="00A241F5">
        <w:rPr>
          <w:rFonts w:cs="Arial"/>
        </w:rPr>
        <w:t>there were</w:t>
      </w:r>
      <w:r w:rsidRPr="00A241F5">
        <w:rPr>
          <w:rFonts w:cs="Arial"/>
        </w:rPr>
        <w:t xml:space="preserve"> </w:t>
      </w:r>
      <w:r w:rsidR="003C3A44" w:rsidRPr="00A241F5">
        <w:rPr>
          <w:rFonts w:cs="Arial"/>
        </w:rPr>
        <w:t>no</w:t>
      </w:r>
      <w:r w:rsidRPr="00A241F5">
        <w:rPr>
          <w:rFonts w:cs="Arial"/>
        </w:rPr>
        <w:t xml:space="preserve"> </w:t>
      </w:r>
      <w:r w:rsidR="000B04CF" w:rsidRPr="00A241F5">
        <w:rPr>
          <w:rFonts w:cs="Arial"/>
        </w:rPr>
        <w:t>ORFS</w:t>
      </w:r>
      <w:r w:rsidRPr="00A241F5">
        <w:rPr>
          <w:rFonts w:cs="Arial"/>
        </w:rPr>
        <w:t xml:space="preserve"> i</w:t>
      </w:r>
      <w:r w:rsidR="003C3A44" w:rsidRPr="00A241F5">
        <w:rPr>
          <w:rFonts w:cs="Arial"/>
        </w:rPr>
        <w:t>n place</w:t>
      </w:r>
      <w:r w:rsidRPr="00A241F5">
        <w:rPr>
          <w:rFonts w:cs="Arial"/>
        </w:rPr>
        <w:t>; and</w:t>
      </w:r>
    </w:p>
    <w:p w14:paraId="66E2D524" w14:textId="77777777" w:rsidR="00771E3C" w:rsidRPr="00A241F5" w:rsidRDefault="00771E3C" w:rsidP="00771E3C">
      <w:pPr>
        <w:keepLines/>
        <w:widowControl/>
        <w:ind w:left="720" w:hanging="720"/>
        <w:outlineLvl w:val="2"/>
        <w:rPr>
          <w:rFonts w:cs="Arial"/>
        </w:rPr>
      </w:pPr>
    </w:p>
    <w:p w14:paraId="2717AB02" w14:textId="3E40F1B2" w:rsidR="00771E3C" w:rsidRPr="00A241F5" w:rsidRDefault="00771E3C" w:rsidP="00771E3C">
      <w:pPr>
        <w:keepLines/>
        <w:widowControl/>
        <w:ind w:left="720" w:hanging="720"/>
        <w:outlineLvl w:val="2"/>
        <w:rPr>
          <w:rFonts w:cs="Arial"/>
        </w:rPr>
      </w:pPr>
      <w:r w:rsidRPr="00A241F5">
        <w:rPr>
          <w:rFonts w:cs="Arial"/>
        </w:rPr>
        <w:tab/>
      </w:r>
      <w:r w:rsidRPr="00A241F5">
        <w:rPr>
          <w:rFonts w:cs="Arial"/>
        </w:rPr>
        <w:tab/>
      </w:r>
      <w:r w:rsidRPr="00A241F5">
        <w:rPr>
          <w:rFonts w:cs="Arial"/>
        </w:rPr>
        <w:tab/>
      </w:r>
      <w:r w:rsidRPr="00A241F5">
        <w:rPr>
          <w:rFonts w:cs="Arial"/>
        </w:rPr>
        <w:tab/>
        <w:t>for DBAs (including Hybrid DBAs):</w:t>
      </w:r>
    </w:p>
    <w:p w14:paraId="520838E7" w14:textId="77777777" w:rsidR="00771E3C" w:rsidRPr="00A241F5" w:rsidRDefault="00771E3C" w:rsidP="00771E3C">
      <w:pPr>
        <w:keepLines/>
        <w:widowControl/>
        <w:ind w:left="720" w:hanging="720"/>
        <w:outlineLvl w:val="2"/>
        <w:rPr>
          <w:rFonts w:cs="Arial"/>
        </w:rPr>
      </w:pPr>
    </w:p>
    <w:p w14:paraId="2BBF2DC6" w14:textId="6E1737B5" w:rsidR="00771E3C" w:rsidRPr="00A241F5" w:rsidRDefault="00771E3C" w:rsidP="00771E3C">
      <w:pPr>
        <w:keepLines/>
        <w:widowControl/>
        <w:tabs>
          <w:tab w:val="clear" w:pos="1418"/>
        </w:tabs>
        <w:ind w:left="2880" w:hanging="720"/>
        <w:outlineLvl w:val="2"/>
        <w:rPr>
          <w:rFonts w:cs="Arial"/>
        </w:rPr>
      </w:pPr>
      <w:r w:rsidRPr="00A241F5">
        <w:rPr>
          <w:rFonts w:cs="Arial"/>
        </w:rPr>
        <w:t>(6)</w:t>
      </w:r>
      <w:r w:rsidRPr="00A241F5">
        <w:rPr>
          <w:rFonts w:cs="Arial"/>
        </w:rPr>
        <w:tab/>
        <w:t>the Financial Benefit to which the DBA relates.</w:t>
      </w:r>
    </w:p>
    <w:p w14:paraId="31C69308" w14:textId="77777777" w:rsidR="0045386A" w:rsidRPr="00A241F5" w:rsidRDefault="0045386A" w:rsidP="0045386A">
      <w:pPr>
        <w:keepLines/>
        <w:widowControl/>
        <w:outlineLvl w:val="2"/>
        <w:rPr>
          <w:rFonts w:cs="Arial"/>
        </w:rPr>
      </w:pPr>
    </w:p>
    <w:p w14:paraId="0FF7D58E" w14:textId="77777777" w:rsidR="00771E3C" w:rsidRPr="00A241F5" w:rsidRDefault="00771E3C" w:rsidP="00771E3C">
      <w:pPr>
        <w:keepLines/>
        <w:widowControl/>
        <w:ind w:left="1440" w:hanging="720"/>
        <w:outlineLvl w:val="2"/>
        <w:rPr>
          <w:rFonts w:cs="Arial"/>
        </w:rPr>
      </w:pPr>
      <w:r w:rsidRPr="00A241F5">
        <w:rPr>
          <w:rFonts w:cs="Arial"/>
        </w:rPr>
        <w:t>(b)</w:t>
      </w:r>
      <w:r w:rsidRPr="00A241F5">
        <w:rPr>
          <w:rFonts w:cs="Arial"/>
        </w:rPr>
        <w:tab/>
        <w:t>The Success Fee in CFAs should be fixed with reference to the fee that the Lawyer would charge the client if there were no ORFS in relation to the Arbitration.</w:t>
      </w:r>
    </w:p>
    <w:p w14:paraId="31C85E63" w14:textId="77777777" w:rsidR="00771E3C" w:rsidRPr="00A241F5" w:rsidRDefault="00771E3C" w:rsidP="00771E3C">
      <w:pPr>
        <w:keepLines/>
        <w:widowControl/>
        <w:ind w:left="1440" w:hanging="720"/>
        <w:outlineLvl w:val="2"/>
        <w:rPr>
          <w:rFonts w:cs="Arial"/>
        </w:rPr>
      </w:pPr>
    </w:p>
    <w:p w14:paraId="6ED9BF79" w14:textId="77777777" w:rsidR="00771E3C" w:rsidRPr="00A241F5" w:rsidRDefault="00771E3C" w:rsidP="00771E3C">
      <w:pPr>
        <w:keepLines/>
        <w:widowControl/>
        <w:ind w:left="1440" w:hanging="720"/>
        <w:outlineLvl w:val="2"/>
        <w:rPr>
          <w:rFonts w:cs="Arial"/>
        </w:rPr>
      </w:pPr>
      <w:r w:rsidRPr="00A241F5">
        <w:rPr>
          <w:rFonts w:cs="Arial"/>
        </w:rPr>
        <w:lastRenderedPageBreak/>
        <w:t>(c)</w:t>
      </w:r>
      <w:r w:rsidRPr="00A241F5">
        <w:rPr>
          <w:rFonts w:cs="Arial"/>
        </w:rPr>
        <w:tab/>
        <w:t xml:space="preserve">A DBA Payment should be payable (depending on the terms agreed between Lawyer and client) wherever a Financial Benefit is obtained by the client, based on the value of that Financial Benefit. </w:t>
      </w:r>
    </w:p>
    <w:p w14:paraId="3293780C" w14:textId="77777777" w:rsidR="00771E3C" w:rsidRPr="00A241F5" w:rsidRDefault="00771E3C" w:rsidP="00771E3C">
      <w:pPr>
        <w:keepLines/>
        <w:widowControl/>
        <w:ind w:left="1440" w:hanging="720"/>
        <w:outlineLvl w:val="2"/>
        <w:rPr>
          <w:rFonts w:cs="Arial"/>
        </w:rPr>
      </w:pPr>
    </w:p>
    <w:p w14:paraId="5E713E32" w14:textId="77777777" w:rsidR="00771E3C" w:rsidRPr="00A241F5" w:rsidRDefault="00771E3C" w:rsidP="00771E3C">
      <w:pPr>
        <w:keepLines/>
        <w:widowControl/>
        <w:ind w:left="1440" w:hanging="720"/>
        <w:outlineLvl w:val="2"/>
        <w:rPr>
          <w:rFonts w:cs="Arial"/>
        </w:rPr>
      </w:pPr>
      <w:r w:rsidRPr="00A241F5">
        <w:rPr>
          <w:rFonts w:cs="Arial"/>
        </w:rPr>
        <w:t>(d)</w:t>
      </w:r>
      <w:r w:rsidRPr="00A241F5">
        <w:rPr>
          <w:rFonts w:cs="Arial"/>
        </w:rPr>
        <w:tab/>
        <w:t>The relevant Financial Benefit may be a debt owed to a client, eg under an award or settlement or otherwise, rather than money or property actually received.</w:t>
      </w:r>
    </w:p>
    <w:p w14:paraId="396BFC33" w14:textId="77777777" w:rsidR="00771E3C" w:rsidRPr="00A241F5" w:rsidRDefault="00771E3C" w:rsidP="00771E3C">
      <w:pPr>
        <w:keepLines/>
        <w:widowControl/>
        <w:ind w:left="1440" w:hanging="720"/>
        <w:outlineLvl w:val="2"/>
        <w:rPr>
          <w:rFonts w:cs="Arial"/>
        </w:rPr>
      </w:pPr>
    </w:p>
    <w:p w14:paraId="7EB709EA" w14:textId="0E34425A" w:rsidR="00771E3C" w:rsidRPr="00A241F5" w:rsidRDefault="00771E3C" w:rsidP="00771E3C">
      <w:pPr>
        <w:keepLines/>
        <w:widowControl/>
        <w:ind w:left="1440" w:hanging="720"/>
        <w:outlineLvl w:val="2"/>
        <w:rPr>
          <w:rFonts w:cs="Arial"/>
        </w:rPr>
      </w:pPr>
      <w:r w:rsidRPr="00A241F5">
        <w:rPr>
          <w:rFonts w:cs="Arial"/>
        </w:rPr>
        <w:t>(e)</w:t>
      </w:r>
      <w:r w:rsidRPr="00A241F5">
        <w:rPr>
          <w:rFonts w:cs="Arial"/>
        </w:rPr>
        <w:tab/>
        <w:t>Provision should be made for cases in which the result will not involve monetary damages by providing a definition of money or money</w:t>
      </w:r>
      <w:r w:rsidR="00C61F4B" w:rsidRPr="00A241F5">
        <w:rPr>
          <w:rFonts w:cs="Arial"/>
        </w:rPr>
        <w:t>'</w:t>
      </w:r>
      <w:r w:rsidRPr="00A241F5">
        <w:rPr>
          <w:rFonts w:cs="Arial"/>
        </w:rPr>
        <w:t xml:space="preserve">s worth that includes consideration reducible to a monetary value. </w:t>
      </w:r>
    </w:p>
    <w:p w14:paraId="4F044A98" w14:textId="77777777" w:rsidR="00771E3C" w:rsidRPr="00A241F5" w:rsidRDefault="00771E3C" w:rsidP="00771E3C">
      <w:pPr>
        <w:keepLines/>
        <w:widowControl/>
        <w:ind w:left="1440" w:hanging="720"/>
        <w:outlineLvl w:val="2"/>
        <w:rPr>
          <w:rFonts w:cs="Arial"/>
        </w:rPr>
      </w:pPr>
    </w:p>
    <w:p w14:paraId="72AE9B55" w14:textId="3CFA5E39" w:rsidR="00771E3C" w:rsidRPr="00A241F5" w:rsidRDefault="00771E3C" w:rsidP="00771E3C">
      <w:pPr>
        <w:keepLines/>
        <w:widowControl/>
        <w:ind w:left="1440" w:hanging="720"/>
        <w:outlineLvl w:val="2"/>
        <w:rPr>
          <w:rFonts w:cs="Arial"/>
        </w:rPr>
      </w:pPr>
      <w:r w:rsidRPr="00A241F5">
        <w:rPr>
          <w:rFonts w:cs="Arial"/>
        </w:rPr>
        <w:t>(f)</w:t>
      </w:r>
      <w:r w:rsidRPr="00A241F5">
        <w:rPr>
          <w:rFonts w:cs="Arial"/>
        </w:rPr>
        <w:tab/>
        <w:t xml:space="preserve">Respondents </w:t>
      </w:r>
      <w:r w:rsidR="003C3A44" w:rsidRPr="00A241F5">
        <w:rPr>
          <w:rFonts w:cs="Arial"/>
        </w:rPr>
        <w:t xml:space="preserve">in Arbitrations </w:t>
      </w:r>
      <w:r w:rsidRPr="00A241F5">
        <w:rPr>
          <w:rFonts w:cs="Arial"/>
        </w:rPr>
        <w:t>should be permitted to agree with their Lawyers that a DBA Payment shall be payable in the event the respondents are held liable for less than the amount claimed or less than an agreed threshold.</w:t>
      </w:r>
    </w:p>
    <w:p w14:paraId="2F89FE39" w14:textId="77777777" w:rsidR="00771E3C" w:rsidRPr="00A241F5" w:rsidRDefault="00771E3C" w:rsidP="00771E3C">
      <w:pPr>
        <w:keepLines/>
        <w:widowControl/>
        <w:ind w:left="1440" w:hanging="720"/>
        <w:outlineLvl w:val="2"/>
        <w:rPr>
          <w:rFonts w:cs="Arial"/>
        </w:rPr>
      </w:pPr>
    </w:p>
    <w:p w14:paraId="5BEA8B60" w14:textId="15EF022F" w:rsidR="00771E3C" w:rsidRPr="00A241F5" w:rsidRDefault="00771E3C" w:rsidP="00771E3C">
      <w:pPr>
        <w:keepLines/>
        <w:widowControl/>
        <w:ind w:left="1440" w:hanging="720"/>
        <w:outlineLvl w:val="2"/>
        <w:rPr>
          <w:rFonts w:cs="Arial"/>
        </w:rPr>
      </w:pPr>
      <w:r w:rsidRPr="00A241F5">
        <w:rPr>
          <w:rFonts w:cs="Arial"/>
        </w:rPr>
        <w:t>(g)</w:t>
      </w:r>
      <w:r w:rsidRPr="00A241F5">
        <w:rPr>
          <w:rFonts w:cs="Arial"/>
        </w:rPr>
        <w:tab/>
      </w:r>
      <w:r w:rsidR="009850DA" w:rsidRPr="00A241F5">
        <w:rPr>
          <w:rFonts w:cs="Arial"/>
        </w:rPr>
        <w:t>ORFS</w:t>
      </w:r>
      <w:r w:rsidR="00F123BD" w:rsidRPr="00A241F5">
        <w:rPr>
          <w:rFonts w:cs="Arial"/>
        </w:rPr>
        <w:t>s</w:t>
      </w:r>
      <w:r w:rsidR="009850DA" w:rsidRPr="00A241F5">
        <w:rPr>
          <w:rFonts w:cs="Arial"/>
        </w:rPr>
        <w:t xml:space="preserve"> for Arbitration should be void and unenforceable to the extent that </w:t>
      </w:r>
      <w:r w:rsidR="00F123BD" w:rsidRPr="00A241F5">
        <w:rPr>
          <w:rFonts w:cs="Arial"/>
        </w:rPr>
        <w:t>they</w:t>
      </w:r>
      <w:r w:rsidR="009850DA" w:rsidRPr="00A241F5">
        <w:rPr>
          <w:rFonts w:cs="Arial"/>
        </w:rPr>
        <w:t xml:space="preserve"> relate to personal injur</w:t>
      </w:r>
      <w:r w:rsidR="00F123BD" w:rsidRPr="00A241F5">
        <w:rPr>
          <w:rFonts w:cs="Arial"/>
        </w:rPr>
        <w:t>y</w:t>
      </w:r>
      <w:r w:rsidR="009850DA" w:rsidRPr="00A241F5">
        <w:rPr>
          <w:rFonts w:cs="Arial"/>
        </w:rPr>
        <w:t xml:space="preserve"> claim</w:t>
      </w:r>
      <w:r w:rsidR="00F123BD" w:rsidRPr="00A241F5">
        <w:rPr>
          <w:rFonts w:cs="Arial"/>
        </w:rPr>
        <w:t>s</w:t>
      </w:r>
      <w:r w:rsidRPr="00A241F5">
        <w:rPr>
          <w:rFonts w:cs="Arial"/>
        </w:rPr>
        <w:t>.</w:t>
      </w:r>
    </w:p>
    <w:p w14:paraId="4FF1C455" w14:textId="77777777" w:rsidR="00771E3C" w:rsidRPr="00A241F5" w:rsidRDefault="00771E3C" w:rsidP="00771E3C">
      <w:pPr>
        <w:keepLines/>
        <w:widowControl/>
        <w:ind w:left="1440" w:hanging="720"/>
        <w:outlineLvl w:val="2"/>
        <w:rPr>
          <w:rFonts w:cs="Arial"/>
        </w:rPr>
      </w:pPr>
    </w:p>
    <w:p w14:paraId="2C41AFBB" w14:textId="0D338F7C" w:rsidR="0045386A" w:rsidRPr="00A241F5" w:rsidRDefault="00771E3C" w:rsidP="00771E3C">
      <w:pPr>
        <w:keepLines/>
        <w:widowControl/>
        <w:ind w:left="1440" w:hanging="720"/>
        <w:outlineLvl w:val="2"/>
        <w:rPr>
          <w:rFonts w:cs="Arial"/>
        </w:rPr>
      </w:pPr>
      <w:r w:rsidRPr="00A241F5">
        <w:rPr>
          <w:rFonts w:cs="Arial"/>
        </w:rPr>
        <w:t>(h)</w:t>
      </w:r>
      <w:r w:rsidRPr="00A241F5">
        <w:rPr>
          <w:rFonts w:cs="Arial"/>
        </w:rPr>
        <w:tab/>
        <w:t>No other categories of claims should be treated differently from other claims that are submitted to Arbitration if ORFSs are introduced.</w:t>
      </w:r>
      <w:r w:rsidR="00570F24" w:rsidRPr="00A241F5">
        <w:rPr>
          <w:rFonts w:cs="Arial"/>
        </w:rPr>
        <w:t xml:space="preserve"> </w:t>
      </w:r>
      <w:r w:rsidR="0045386A" w:rsidRPr="00A241F5">
        <w:rPr>
          <w:rFonts w:cs="Arial"/>
        </w:rPr>
        <w:t xml:space="preserve"> </w:t>
      </w:r>
      <w:r w:rsidR="00570F24" w:rsidRPr="00A241F5">
        <w:rPr>
          <w:rFonts w:cs="Arial"/>
        </w:rPr>
        <w:t xml:space="preserve">(Paras </w:t>
      </w:r>
      <w:r w:rsidR="00C207A2" w:rsidRPr="00A241F5">
        <w:rPr>
          <w:rFonts w:cs="Arial"/>
        </w:rPr>
        <w:t>14.17 to 14.22, 14.31 to 14.</w:t>
      </w:r>
      <w:r w:rsidR="00652F5E" w:rsidRPr="00A241F5">
        <w:rPr>
          <w:rFonts w:cs="Arial"/>
        </w:rPr>
        <w:t>43</w:t>
      </w:r>
      <w:r w:rsidR="00C207A2" w:rsidRPr="00A241F5">
        <w:rPr>
          <w:rFonts w:cs="Arial"/>
        </w:rPr>
        <w:t>, 14.51 to 14.57, 14.64 to 14.66</w:t>
      </w:r>
      <w:r w:rsidR="00570F24" w:rsidRPr="00A241F5">
        <w:rPr>
          <w:rFonts w:cs="Arial"/>
        </w:rPr>
        <w:t>)</w:t>
      </w:r>
      <w:r w:rsidR="0045386A" w:rsidRPr="00A241F5">
        <w:rPr>
          <w:rFonts w:cs="Arial"/>
        </w:rPr>
        <w:t xml:space="preserve"> </w:t>
      </w:r>
    </w:p>
    <w:p w14:paraId="6EFF5CE4" w14:textId="77777777" w:rsidR="0045386A" w:rsidRPr="00A241F5" w:rsidRDefault="0045386A" w:rsidP="0045386A">
      <w:pPr>
        <w:keepNext/>
        <w:keepLines/>
        <w:widowControl/>
        <w:outlineLvl w:val="2"/>
        <w:rPr>
          <w:rFonts w:cs="Arial"/>
        </w:rPr>
      </w:pPr>
    </w:p>
    <w:p w14:paraId="48A6FE64" w14:textId="77777777" w:rsidR="0045386A" w:rsidRPr="00A241F5" w:rsidRDefault="0045386A" w:rsidP="0045386A">
      <w:pPr>
        <w:keepNext/>
        <w:keepLines/>
        <w:widowControl/>
        <w:outlineLvl w:val="2"/>
        <w:rPr>
          <w:bCs/>
        </w:rPr>
      </w:pPr>
    </w:p>
    <w:p w14:paraId="497A22FC" w14:textId="77777777" w:rsidR="0045386A" w:rsidRPr="00A241F5" w:rsidRDefault="0045386A" w:rsidP="00570F24">
      <w:pPr>
        <w:keepNext/>
        <w:keepLines/>
        <w:widowControl/>
        <w:tabs>
          <w:tab w:val="clear" w:pos="1418"/>
        </w:tabs>
        <w:ind w:left="720" w:hanging="720"/>
        <w:outlineLvl w:val="2"/>
        <w:rPr>
          <w:b/>
          <w:bCs/>
          <w:i/>
        </w:rPr>
      </w:pPr>
      <w:r w:rsidRPr="00A241F5">
        <w:rPr>
          <w:b/>
          <w:bCs/>
          <w:i/>
        </w:rPr>
        <w:t>Final Recommendation 14</w:t>
      </w:r>
    </w:p>
    <w:p w14:paraId="6D9D0386" w14:textId="77777777" w:rsidR="0045386A" w:rsidRPr="00A241F5" w:rsidRDefault="0045386A" w:rsidP="0045386A">
      <w:pPr>
        <w:keepNext/>
        <w:keepLines/>
        <w:widowControl/>
        <w:rPr>
          <w:rFonts w:cs="Arial"/>
        </w:rPr>
      </w:pPr>
    </w:p>
    <w:p w14:paraId="0356AF01" w14:textId="77777777" w:rsidR="00340245" w:rsidRPr="00A241F5" w:rsidRDefault="00340245" w:rsidP="00340245">
      <w:pPr>
        <w:keepNext/>
        <w:keepLines/>
        <w:widowControl/>
        <w:outlineLvl w:val="2"/>
        <w:rPr>
          <w:rFonts w:cs="Arial"/>
        </w:rPr>
      </w:pPr>
      <w:r w:rsidRPr="00A241F5">
        <w:rPr>
          <w:rFonts w:cs="Arial"/>
        </w:rPr>
        <w:t>We recommend that:</w:t>
      </w:r>
    </w:p>
    <w:p w14:paraId="2F845C0E" w14:textId="77777777" w:rsidR="00340245" w:rsidRPr="00A241F5" w:rsidRDefault="00340245" w:rsidP="00340245">
      <w:pPr>
        <w:keepNext/>
        <w:keepLines/>
        <w:widowControl/>
        <w:outlineLvl w:val="2"/>
        <w:rPr>
          <w:rFonts w:cs="Arial"/>
        </w:rPr>
      </w:pPr>
    </w:p>
    <w:p w14:paraId="03CC62C0" w14:textId="77777777" w:rsidR="00340245" w:rsidRPr="00A241F5" w:rsidRDefault="00340245" w:rsidP="00340245">
      <w:pPr>
        <w:keepNext/>
        <w:keepLines/>
        <w:widowControl/>
        <w:ind w:left="1440" w:hanging="720"/>
        <w:outlineLvl w:val="2"/>
        <w:rPr>
          <w:rFonts w:cs="Arial"/>
        </w:rPr>
      </w:pPr>
      <w:r w:rsidRPr="00A241F5">
        <w:rPr>
          <w:rFonts w:cs="Arial"/>
        </w:rPr>
        <w:t>(a)</w:t>
      </w:r>
      <w:r w:rsidRPr="00A241F5">
        <w:rPr>
          <w:rFonts w:cs="Arial"/>
        </w:rPr>
        <w:tab/>
        <w:t xml:space="preserve">Lawyers and legal practices should be permitted to charge separately for work done in relation to separate but related aspects of the Arbitration, such as counterclaims, enforcement actions and appeals.  </w:t>
      </w:r>
    </w:p>
    <w:p w14:paraId="52F5152C" w14:textId="77777777" w:rsidR="00340245" w:rsidRPr="00A241F5" w:rsidRDefault="00340245" w:rsidP="00340245">
      <w:pPr>
        <w:keepNext/>
        <w:keepLines/>
        <w:widowControl/>
        <w:ind w:left="1440" w:hanging="720"/>
        <w:outlineLvl w:val="2"/>
        <w:rPr>
          <w:rFonts w:cs="Arial"/>
        </w:rPr>
      </w:pPr>
    </w:p>
    <w:p w14:paraId="1F3A2662" w14:textId="77777777" w:rsidR="00340245" w:rsidRPr="00A241F5" w:rsidRDefault="00340245" w:rsidP="00340245">
      <w:pPr>
        <w:keepNext/>
        <w:keepLines/>
        <w:widowControl/>
        <w:ind w:left="1440" w:hanging="720"/>
        <w:outlineLvl w:val="2"/>
        <w:rPr>
          <w:rFonts w:cs="Arial"/>
        </w:rPr>
      </w:pPr>
      <w:r w:rsidRPr="00A241F5">
        <w:rPr>
          <w:rFonts w:cs="Arial"/>
        </w:rPr>
        <w:t>(b)</w:t>
      </w:r>
      <w:r w:rsidRPr="00A241F5">
        <w:rPr>
          <w:rFonts w:cs="Arial"/>
        </w:rPr>
        <w:tab/>
        <w:t>Subsidiary legislation should include provisions to require the following matters to be stated clearly in the ORFS:</w:t>
      </w:r>
    </w:p>
    <w:p w14:paraId="14DF3893" w14:textId="77777777" w:rsidR="00340245" w:rsidRPr="00A241F5" w:rsidRDefault="00340245" w:rsidP="00340245">
      <w:pPr>
        <w:keepNext/>
        <w:keepLines/>
        <w:widowControl/>
        <w:outlineLvl w:val="2"/>
        <w:rPr>
          <w:rFonts w:cs="Arial"/>
        </w:rPr>
      </w:pPr>
    </w:p>
    <w:p w14:paraId="528A1101" w14:textId="5123B7EE" w:rsidR="00340245" w:rsidRPr="00A241F5" w:rsidRDefault="00340245" w:rsidP="00340245">
      <w:pPr>
        <w:keepNext/>
        <w:keepLines/>
        <w:widowControl/>
        <w:tabs>
          <w:tab w:val="clear" w:pos="1418"/>
        </w:tabs>
        <w:ind w:left="2160" w:hanging="720"/>
        <w:outlineLvl w:val="2"/>
        <w:rPr>
          <w:rFonts w:cs="Arial"/>
        </w:rPr>
      </w:pPr>
      <w:r w:rsidRPr="00A241F5">
        <w:rPr>
          <w:rFonts w:cs="Arial"/>
        </w:rPr>
        <w:t>(i)</w:t>
      </w:r>
      <w:r w:rsidRPr="00A241F5">
        <w:rPr>
          <w:rFonts w:cs="Arial"/>
        </w:rPr>
        <w:tab/>
        <w:t>the Arbitration or parts thereof (including any appeal, set aside or counterclaim) to which the ORFS relates; and</w:t>
      </w:r>
    </w:p>
    <w:p w14:paraId="15BB36A5" w14:textId="77777777" w:rsidR="00340245" w:rsidRPr="00A241F5" w:rsidRDefault="00340245" w:rsidP="00340245">
      <w:pPr>
        <w:keepNext/>
        <w:keepLines/>
        <w:widowControl/>
        <w:tabs>
          <w:tab w:val="clear" w:pos="1418"/>
        </w:tabs>
        <w:ind w:left="2160" w:hanging="720"/>
        <w:outlineLvl w:val="2"/>
        <w:rPr>
          <w:rFonts w:cs="Arial"/>
        </w:rPr>
      </w:pPr>
    </w:p>
    <w:p w14:paraId="471E0E70" w14:textId="502DEF05" w:rsidR="0045386A" w:rsidRPr="00A241F5" w:rsidRDefault="00340245" w:rsidP="00340245">
      <w:pPr>
        <w:keepNext/>
        <w:keepLines/>
        <w:widowControl/>
        <w:tabs>
          <w:tab w:val="clear" w:pos="1418"/>
        </w:tabs>
        <w:ind w:left="2160" w:hanging="720"/>
        <w:outlineLvl w:val="2"/>
        <w:rPr>
          <w:rFonts w:cs="Arial"/>
        </w:rPr>
      </w:pPr>
      <w:r w:rsidRPr="00A241F5">
        <w:rPr>
          <w:rFonts w:cs="Arial"/>
        </w:rPr>
        <w:t>(ii)</w:t>
      </w:r>
      <w:r w:rsidRPr="00A241F5">
        <w:rPr>
          <w:rFonts w:cs="Arial"/>
        </w:rPr>
        <w:tab/>
        <w:t>whether the ORFS covers the client</w:t>
      </w:r>
      <w:r w:rsidR="00C61F4B" w:rsidRPr="00A241F5">
        <w:rPr>
          <w:rFonts w:cs="Arial"/>
        </w:rPr>
        <w:t>'</w:t>
      </w:r>
      <w:r w:rsidRPr="00A241F5">
        <w:rPr>
          <w:rFonts w:cs="Arial"/>
        </w:rPr>
        <w:t>s prosecution or defence of the claim (or both).</w:t>
      </w:r>
      <w:r w:rsidR="00570F24" w:rsidRPr="00A241F5">
        <w:rPr>
          <w:rFonts w:cs="Arial"/>
        </w:rPr>
        <w:t xml:space="preserve">  (Paras </w:t>
      </w:r>
      <w:r w:rsidR="00956AB3" w:rsidRPr="00A241F5">
        <w:rPr>
          <w:rFonts w:cs="Arial"/>
        </w:rPr>
        <w:t>15.10 to 15.11</w:t>
      </w:r>
      <w:r w:rsidR="00570F24" w:rsidRPr="00A241F5">
        <w:rPr>
          <w:rFonts w:cs="Arial"/>
        </w:rPr>
        <w:t>)</w:t>
      </w:r>
    </w:p>
    <w:p w14:paraId="7B4E3241" w14:textId="77777777" w:rsidR="001238F2" w:rsidRPr="00A241F5" w:rsidRDefault="001238F2" w:rsidP="001238F2">
      <w:pPr>
        <w:keepNext/>
        <w:keepLines/>
        <w:widowControl/>
        <w:rPr>
          <w:rFonts w:cs="Arial"/>
        </w:rPr>
      </w:pPr>
    </w:p>
    <w:p w14:paraId="01EAEED3" w14:textId="77777777" w:rsidR="001238F2" w:rsidRPr="00A241F5" w:rsidRDefault="001238F2" w:rsidP="001238F2">
      <w:pPr>
        <w:pStyle w:val="Indent10"/>
        <w:tabs>
          <w:tab w:val="clear" w:pos="1418"/>
        </w:tabs>
        <w:ind w:left="0" w:firstLine="0"/>
        <w:rPr>
          <w:rFonts w:cs="Arial"/>
          <w:lang w:val="en-US"/>
        </w:rPr>
        <w:sectPr w:rsidR="001238F2" w:rsidRPr="00A241F5" w:rsidSect="00AC7FE5">
          <w:footerReference w:type="default" r:id="rId25"/>
          <w:footnotePr>
            <w:numRestart w:val="eachSect"/>
          </w:footnotePr>
          <w:pgSz w:w="11909" w:h="16834" w:code="9"/>
          <w:pgMar w:top="1440" w:right="1800" w:bottom="1440" w:left="1800" w:header="720" w:footer="720" w:gutter="0"/>
          <w:cols w:space="425"/>
          <w:docGrid w:linePitch="360"/>
        </w:sectPr>
      </w:pPr>
    </w:p>
    <w:p w14:paraId="2CD8D29F" w14:textId="77777777" w:rsidR="001238F2" w:rsidRPr="00A241F5" w:rsidRDefault="001238F2" w:rsidP="001238F2">
      <w:pPr>
        <w:pStyle w:val="a08100-000ToCtitlee"/>
        <w:snapToGrid w:val="0"/>
        <w:spacing w:before="0" w:after="120" w:line="240" w:lineRule="auto"/>
        <w:jc w:val="right"/>
        <w:rPr>
          <w:rFonts w:ascii="Arial" w:hAnsi="Arial" w:cs="Arial"/>
          <w:sz w:val="26"/>
          <w:szCs w:val="26"/>
          <w:lang w:val="en-US"/>
        </w:rPr>
      </w:pPr>
      <w:bookmarkStart w:id="29" w:name="Annex1"/>
      <w:bookmarkEnd w:id="29"/>
      <w:r w:rsidRPr="00A241F5">
        <w:rPr>
          <w:rFonts w:ascii="Arial" w:hAnsi="Arial" w:cs="Arial"/>
          <w:sz w:val="26"/>
          <w:szCs w:val="26"/>
          <w:lang w:val="en-US"/>
        </w:rPr>
        <w:lastRenderedPageBreak/>
        <w:t>Annex 1</w:t>
      </w:r>
    </w:p>
    <w:p w14:paraId="1514D98F" w14:textId="77777777" w:rsidR="001238F2" w:rsidRPr="00A241F5" w:rsidRDefault="001238F2" w:rsidP="001238F2"/>
    <w:p w14:paraId="7F1B7DEB" w14:textId="77777777" w:rsidR="002125E0" w:rsidRPr="00A241F5" w:rsidRDefault="002125E0" w:rsidP="002125E0">
      <w:pPr>
        <w:pStyle w:val="a07100-000Sublegtitlee"/>
        <w:rPr>
          <w:lang w:val="en-US"/>
        </w:rPr>
      </w:pPr>
      <w:r w:rsidRPr="00A241F5">
        <w:rPr>
          <w:lang w:val="en-US"/>
        </w:rPr>
        <w:t>Draft Amendments to Legal Practitioners Ordinance (Cap. 159) and Arbitration Ordinance (Cap. 609)</w:t>
      </w:r>
    </w:p>
    <w:p w14:paraId="5CBA91D0" w14:textId="77777777" w:rsidR="002125E0" w:rsidRPr="00A241F5" w:rsidRDefault="002125E0" w:rsidP="002125E0">
      <w:pPr>
        <w:pStyle w:val="a07150-000Sublegenactingformulae"/>
      </w:pPr>
      <w:r w:rsidRPr="00A241F5">
        <w:t>(</w:t>
      </w:r>
      <w:r w:rsidRPr="00A241F5">
        <w:rPr>
          <w:i/>
        </w:rPr>
        <w:t>The following draft provisions are possible amendments of the Legal Practitioners Ordinance (Cap. 159) and the Arbitration Ordinance (Cap. 609) and are included to assist in explaining the proposals in this report. They are not the final version for the legislative process if legislation were to be introduced to give effect to the proposals.</w:t>
      </w:r>
      <w:r w:rsidRPr="00A241F5">
        <w:t>)</w:t>
      </w:r>
    </w:p>
    <w:p w14:paraId="7C78B2B3" w14:textId="77777777" w:rsidR="002125E0" w:rsidRPr="00A241F5" w:rsidRDefault="002125E0" w:rsidP="002125E0">
      <w:pPr>
        <w:pStyle w:val="a01100-000Partnumbere"/>
        <w:rPr>
          <w:lang w:val="en-US"/>
        </w:rPr>
      </w:pPr>
      <w:bookmarkStart w:id="30" w:name="_Toc77268284"/>
      <w:bookmarkStart w:id="31" w:name="_Toc77268323"/>
      <w:bookmarkStart w:id="32" w:name="_Toc78208196"/>
      <w:bookmarkStart w:id="33" w:name="_Toc78795524"/>
      <w:bookmarkStart w:id="34" w:name="_Toc78795647"/>
      <w:bookmarkStart w:id="35" w:name="_Toc79420751"/>
      <w:bookmarkStart w:id="36" w:name="_Toc79595045"/>
      <w:bookmarkStart w:id="37" w:name="_Toc79595083"/>
      <w:bookmarkStart w:id="38" w:name="_Toc80373659"/>
      <w:bookmarkStart w:id="39" w:name="_Toc80373726"/>
      <w:bookmarkStart w:id="40" w:name="_Toc80373971"/>
      <w:bookmarkStart w:id="41" w:name="_Toc80614484"/>
      <w:r w:rsidRPr="00A241F5">
        <w:rPr>
          <w:lang w:val="en-US"/>
        </w:rPr>
        <w:t>Amendments to Legal Practitioners Ordinance (Cap. 159)</w:t>
      </w:r>
      <w:bookmarkEnd w:id="30"/>
      <w:bookmarkEnd w:id="31"/>
      <w:bookmarkEnd w:id="32"/>
      <w:bookmarkEnd w:id="33"/>
      <w:bookmarkEnd w:id="34"/>
      <w:bookmarkEnd w:id="35"/>
      <w:bookmarkEnd w:id="36"/>
      <w:bookmarkEnd w:id="37"/>
      <w:bookmarkEnd w:id="38"/>
      <w:bookmarkEnd w:id="39"/>
      <w:bookmarkEnd w:id="40"/>
      <w:bookmarkEnd w:id="41"/>
    </w:p>
    <w:p w14:paraId="3D6C6A93" w14:textId="77777777" w:rsidR="002125E0" w:rsidRPr="00A241F5" w:rsidRDefault="002125E0" w:rsidP="002125E0">
      <w:pPr>
        <w:pStyle w:val="a02100-000Sectiontextnosubsectione"/>
        <w:ind w:left="0"/>
        <w:jc w:val="center"/>
        <w:rPr>
          <w:i/>
          <w:lang w:val="en-US"/>
        </w:rPr>
      </w:pPr>
      <w:r w:rsidRPr="00A241F5">
        <w:rPr>
          <w:i/>
        </w:rPr>
        <w:t xml:space="preserve">(Note: For ease of reference, the </w:t>
      </w:r>
      <w:r w:rsidRPr="00A241F5">
        <w:rPr>
          <w:i/>
          <w:u w:val="single"/>
        </w:rPr>
        <w:t>amendments</w:t>
      </w:r>
      <w:r w:rsidRPr="00A241F5">
        <w:rPr>
          <w:i/>
        </w:rPr>
        <w:t xml:space="preserve"> to the existing text of s. 64 of Cap. 159 is shown in </w:t>
      </w:r>
      <w:r w:rsidRPr="00A241F5">
        <w:rPr>
          <w:b/>
          <w:i/>
          <w:color w:val="C00000"/>
          <w:u w:val="single"/>
        </w:rPr>
        <w:t>red</w:t>
      </w:r>
      <w:r w:rsidRPr="00A241F5">
        <w:rPr>
          <w:i/>
        </w:rPr>
        <w:t>)</w:t>
      </w:r>
    </w:p>
    <w:p w14:paraId="03415276" w14:textId="77777777" w:rsidR="002125E0" w:rsidRPr="00A241F5" w:rsidRDefault="002125E0" w:rsidP="002125E0">
      <w:pPr>
        <w:keepNext/>
        <w:tabs>
          <w:tab w:val="left" w:pos="960"/>
        </w:tabs>
        <w:autoSpaceDE w:val="0"/>
        <w:autoSpaceDN w:val="0"/>
        <w:spacing w:before="240" w:line="260" w:lineRule="atLeast"/>
        <w:ind w:left="720" w:hanging="720"/>
        <w:rPr>
          <w:rFonts w:ascii="Times New Roman" w:hAnsi="Times New Roman"/>
          <w:b/>
          <w:color w:val="000000" w:themeColor="text1"/>
        </w:rPr>
      </w:pPr>
      <w:r w:rsidRPr="00A241F5">
        <w:rPr>
          <w:rFonts w:ascii="Times New Roman" w:hAnsi="Times New Roman"/>
          <w:b/>
          <w:color w:val="000000" w:themeColor="text1"/>
        </w:rPr>
        <w:t>64.</w:t>
      </w:r>
      <w:r w:rsidRPr="00A241F5">
        <w:rPr>
          <w:rFonts w:ascii="Times New Roman" w:hAnsi="Times New Roman"/>
          <w:b/>
          <w:color w:val="000000" w:themeColor="text1"/>
        </w:rPr>
        <w:tab/>
        <w:t>General provisions as to remuneration</w:t>
      </w:r>
    </w:p>
    <w:p w14:paraId="7C053029" w14:textId="77777777" w:rsidR="002125E0" w:rsidRPr="00A241F5" w:rsidRDefault="002125E0" w:rsidP="002125E0">
      <w:pPr>
        <w:tabs>
          <w:tab w:val="right" w:pos="960"/>
        </w:tabs>
        <w:autoSpaceDE w:val="0"/>
        <w:autoSpaceDN w:val="0"/>
        <w:spacing w:line="260" w:lineRule="atLeast"/>
        <w:ind w:left="1200" w:hanging="1080"/>
        <w:rPr>
          <w:rFonts w:ascii="Times New Roman" w:hAnsi="Times New Roman"/>
        </w:rPr>
      </w:pPr>
      <w:r w:rsidRPr="00A241F5">
        <w:rPr>
          <w:rFonts w:ascii="Times New Roman" w:hAnsi="Times New Roman"/>
          <w:color w:val="000000" w:themeColor="text1"/>
        </w:rPr>
        <w:tab/>
        <w:t>(1)</w:t>
      </w:r>
      <w:r w:rsidRPr="00A241F5">
        <w:rPr>
          <w:rFonts w:ascii="Times New Roman" w:hAnsi="Times New Roman"/>
          <w:color w:val="000000" w:themeColor="text1"/>
        </w:rPr>
        <w:tab/>
        <w:t xml:space="preserve">Nothing in section 58, 59, 60, 61 or 62 </w:t>
      </w:r>
      <w:r w:rsidRPr="00A241F5">
        <w:rPr>
          <w:rFonts w:ascii="Times New Roman" w:hAnsi="Times New Roman"/>
        </w:rPr>
        <w:t>shall give validity to—</w:t>
      </w:r>
    </w:p>
    <w:p w14:paraId="6E15970B" w14:textId="77777777" w:rsidR="002125E0" w:rsidRPr="00A241F5" w:rsidRDefault="002125E0" w:rsidP="002125E0">
      <w:pPr>
        <w:tabs>
          <w:tab w:val="clear" w:pos="1418"/>
          <w:tab w:val="right" w:pos="1440"/>
        </w:tabs>
        <w:autoSpaceDE w:val="0"/>
        <w:autoSpaceDN w:val="0"/>
        <w:spacing w:line="260" w:lineRule="atLeast"/>
        <w:ind w:left="1680" w:hanging="1080"/>
        <w:rPr>
          <w:rFonts w:ascii="Times New Roman" w:hAnsi="Times New Roman"/>
        </w:rPr>
      </w:pPr>
      <w:r w:rsidRPr="00A241F5">
        <w:rPr>
          <w:rFonts w:ascii="Times New Roman" w:hAnsi="Times New Roman"/>
        </w:rPr>
        <w:tab/>
        <w:t>(a)</w:t>
      </w:r>
      <w:r w:rsidRPr="00A241F5">
        <w:rPr>
          <w:rFonts w:ascii="Times New Roman" w:hAnsi="Times New Roman"/>
        </w:rPr>
        <w:tab/>
        <w:t xml:space="preserve">any purchase by a solicitor of the interest, or any part of the interest, of his client in any action, suit or other contentious proceeding; or </w:t>
      </w:r>
    </w:p>
    <w:p w14:paraId="4D508565" w14:textId="77777777" w:rsidR="002125E0" w:rsidRPr="00A241F5" w:rsidRDefault="002125E0" w:rsidP="002125E0">
      <w:pPr>
        <w:tabs>
          <w:tab w:val="clear" w:pos="1418"/>
          <w:tab w:val="right" w:pos="1440"/>
        </w:tabs>
        <w:autoSpaceDE w:val="0"/>
        <w:autoSpaceDN w:val="0"/>
        <w:spacing w:line="260" w:lineRule="atLeast"/>
        <w:ind w:left="1680" w:hanging="1080"/>
        <w:rPr>
          <w:rFonts w:ascii="Times New Roman" w:hAnsi="Times New Roman"/>
          <w:color w:val="C00000"/>
          <w:u w:val="single"/>
        </w:rPr>
      </w:pPr>
      <w:r w:rsidRPr="00A241F5">
        <w:rPr>
          <w:rFonts w:ascii="Times New Roman" w:hAnsi="Times New Roman"/>
        </w:rPr>
        <w:tab/>
        <w:t>(b)</w:t>
      </w:r>
      <w:r w:rsidRPr="00A241F5">
        <w:rPr>
          <w:rFonts w:ascii="Times New Roman" w:hAnsi="Times New Roman"/>
        </w:rPr>
        <w:tab/>
        <w:t>any agreement</w:t>
      </w:r>
      <w:r w:rsidRPr="00A241F5">
        <w:rPr>
          <w:rFonts w:ascii="Times New Roman" w:hAnsi="Times New Roman"/>
          <w:color w:val="C00000"/>
          <w:u w:val="single"/>
        </w:rPr>
        <w:t>—</w:t>
      </w:r>
    </w:p>
    <w:p w14:paraId="251A4C09" w14:textId="77777777" w:rsidR="002125E0" w:rsidRPr="00A241F5" w:rsidRDefault="002125E0" w:rsidP="00110013">
      <w:pPr>
        <w:pStyle w:val="a02500-000Subparae"/>
        <w:tabs>
          <w:tab w:val="clear" w:pos="1418"/>
        </w:tabs>
        <w:rPr>
          <w:color w:val="C00000"/>
          <w:u w:val="single"/>
        </w:rPr>
      </w:pPr>
      <w:r w:rsidRPr="00A241F5">
        <w:rPr>
          <w:color w:val="C00000"/>
        </w:rPr>
        <w:tab/>
      </w:r>
      <w:r w:rsidRPr="00A241F5">
        <w:rPr>
          <w:color w:val="C00000"/>
          <w:u w:val="single"/>
        </w:rPr>
        <w:t>(i)</w:t>
      </w:r>
      <w:r w:rsidRPr="00A241F5">
        <w:rPr>
          <w:color w:val="C00000"/>
          <w:u w:val="single"/>
        </w:rPr>
        <w:tab/>
        <w:t xml:space="preserve">that is not an ORFS agreement for arbitration within the meaning of Part 10B of </w:t>
      </w:r>
      <w:r w:rsidRPr="00A241F5">
        <w:rPr>
          <w:color w:val="C00000"/>
          <w:u w:val="single"/>
          <w:lang w:eastAsia="zh-HK"/>
        </w:rPr>
        <w:t>the Arbitration Ordinance (Cap. 609)</w:t>
      </w:r>
      <w:r w:rsidRPr="00A241F5">
        <w:rPr>
          <w:color w:val="C00000"/>
          <w:u w:val="single"/>
        </w:rPr>
        <w:t>; and</w:t>
      </w:r>
    </w:p>
    <w:p w14:paraId="7CE3AEA9" w14:textId="77777777" w:rsidR="002125E0" w:rsidRPr="00A241F5" w:rsidRDefault="002125E0" w:rsidP="00110013">
      <w:pPr>
        <w:pStyle w:val="a02500-000Subparae"/>
        <w:tabs>
          <w:tab w:val="clear" w:pos="1418"/>
        </w:tabs>
        <w:rPr>
          <w:color w:val="000000" w:themeColor="text1"/>
        </w:rPr>
      </w:pPr>
      <w:r w:rsidRPr="00A241F5">
        <w:rPr>
          <w:color w:val="C00000"/>
        </w:rPr>
        <w:tab/>
      </w:r>
      <w:r w:rsidRPr="00A241F5">
        <w:rPr>
          <w:color w:val="C00000"/>
          <w:u w:val="single"/>
        </w:rPr>
        <w:t>(ii)</w:t>
      </w:r>
      <w:r w:rsidRPr="00A241F5">
        <w:rPr>
          <w:color w:val="C00000"/>
        </w:rPr>
        <w:tab/>
      </w:r>
      <w:r w:rsidRPr="00A241F5">
        <w:rPr>
          <w:color w:val="000000" w:themeColor="text1"/>
        </w:rPr>
        <w:t>by which a solicitor retained or employed to prosecute any action, suit or other contentious proceeding stipulates for payment only in the event of success in that action, suit or proceeding; or</w:t>
      </w:r>
    </w:p>
    <w:p w14:paraId="45B08ED8" w14:textId="77777777" w:rsidR="002125E0" w:rsidRPr="00A241F5" w:rsidRDefault="002125E0" w:rsidP="002125E0">
      <w:pPr>
        <w:tabs>
          <w:tab w:val="clear" w:pos="1418"/>
          <w:tab w:val="right" w:pos="1440"/>
        </w:tabs>
        <w:autoSpaceDE w:val="0"/>
        <w:autoSpaceDN w:val="0"/>
        <w:spacing w:line="260" w:lineRule="atLeast"/>
        <w:ind w:left="1680" w:hanging="1080"/>
        <w:rPr>
          <w:rFonts w:ascii="Times New Roman" w:hAnsi="Times New Roman"/>
          <w:i/>
          <w:color w:val="000000" w:themeColor="text1"/>
        </w:rPr>
      </w:pPr>
      <w:r w:rsidRPr="00A241F5">
        <w:rPr>
          <w:rFonts w:ascii="Times New Roman" w:hAnsi="Times New Roman"/>
          <w:color w:val="000000" w:themeColor="text1"/>
        </w:rPr>
        <w:tab/>
        <w:t>(c)</w:t>
      </w:r>
      <w:r w:rsidRPr="00A241F5">
        <w:rPr>
          <w:rFonts w:ascii="Times New Roman" w:hAnsi="Times New Roman"/>
          <w:color w:val="000000" w:themeColor="text1"/>
        </w:rPr>
        <w:tab/>
        <w:t xml:space="preserve">any disposition, contract, settlement, conveyance, delivery, dealing or transfer which is under the law relating to bankruptcy invalid against a trustee or creditor in any bankruptcy or voluntary arrangement with creditors within the meaning of the Bankruptcy Ordinance (Cap. 6). </w:t>
      </w:r>
      <w:r w:rsidRPr="00A241F5">
        <w:rPr>
          <w:rFonts w:ascii="Times New Roman" w:hAnsi="Times New Roman"/>
          <w:i/>
          <w:color w:val="000000" w:themeColor="text1"/>
        </w:rPr>
        <w:t>(Amended 27 of 1998 s. 7)</w:t>
      </w:r>
    </w:p>
    <w:p w14:paraId="2164BB47" w14:textId="77777777" w:rsidR="002125E0" w:rsidRPr="00A241F5" w:rsidRDefault="002125E0" w:rsidP="002125E0">
      <w:pPr>
        <w:tabs>
          <w:tab w:val="right" w:pos="960"/>
        </w:tabs>
        <w:autoSpaceDE w:val="0"/>
        <w:autoSpaceDN w:val="0"/>
        <w:spacing w:line="260" w:lineRule="atLeast"/>
        <w:ind w:left="1200" w:hanging="1080"/>
        <w:rPr>
          <w:rFonts w:ascii="Times New Roman" w:hAnsi="Times New Roman"/>
          <w:color w:val="000000" w:themeColor="text1"/>
        </w:rPr>
      </w:pPr>
      <w:r w:rsidRPr="00A241F5">
        <w:rPr>
          <w:rFonts w:ascii="Times New Roman" w:hAnsi="Times New Roman"/>
          <w:color w:val="000000" w:themeColor="text1"/>
        </w:rPr>
        <w:tab/>
        <w:t>(2)</w:t>
      </w:r>
      <w:r w:rsidRPr="00A241F5">
        <w:rPr>
          <w:rFonts w:ascii="Times New Roman" w:hAnsi="Times New Roman"/>
          <w:color w:val="000000" w:themeColor="text1"/>
        </w:rPr>
        <w:tab/>
        <w:t xml:space="preserve">A solicitor may take security from his client for his costs to be ascertained by taxation or otherwise. </w:t>
      </w:r>
    </w:p>
    <w:p w14:paraId="30715F39" w14:textId="77777777" w:rsidR="002125E0" w:rsidRPr="00A241F5" w:rsidRDefault="002125E0" w:rsidP="002125E0">
      <w:pPr>
        <w:tabs>
          <w:tab w:val="right" w:pos="960"/>
        </w:tabs>
        <w:autoSpaceDE w:val="0"/>
        <w:autoSpaceDN w:val="0"/>
        <w:spacing w:line="260" w:lineRule="atLeast"/>
        <w:ind w:left="1200" w:hanging="1080"/>
        <w:rPr>
          <w:rFonts w:ascii="Times New Roman" w:hAnsi="Times New Roman"/>
          <w:color w:val="000000" w:themeColor="text1"/>
        </w:rPr>
      </w:pPr>
      <w:r w:rsidRPr="00A241F5">
        <w:rPr>
          <w:rFonts w:ascii="Times New Roman" w:hAnsi="Times New Roman"/>
          <w:color w:val="000000" w:themeColor="text1"/>
        </w:rPr>
        <w:tab/>
        <w:t>(3)</w:t>
      </w:r>
      <w:r w:rsidRPr="00A241F5">
        <w:rPr>
          <w:rFonts w:ascii="Times New Roman" w:hAnsi="Times New Roman"/>
          <w:color w:val="000000" w:themeColor="text1"/>
        </w:rPr>
        <w:tab/>
        <w:t>Subject to the provisions of any rules of court, upon every taxation of costs with respect to any contentious business, the taxing officer may—</w:t>
      </w:r>
    </w:p>
    <w:p w14:paraId="085ECBAD" w14:textId="77777777" w:rsidR="002125E0" w:rsidRPr="00A241F5" w:rsidRDefault="002125E0" w:rsidP="002125E0">
      <w:pPr>
        <w:tabs>
          <w:tab w:val="clear" w:pos="1418"/>
          <w:tab w:val="right" w:pos="1440"/>
        </w:tabs>
        <w:autoSpaceDE w:val="0"/>
        <w:autoSpaceDN w:val="0"/>
        <w:spacing w:line="260" w:lineRule="atLeast"/>
        <w:ind w:left="1680" w:hanging="1080"/>
        <w:rPr>
          <w:rFonts w:ascii="Times New Roman" w:hAnsi="Times New Roman"/>
          <w:color w:val="000000" w:themeColor="text1"/>
        </w:rPr>
      </w:pPr>
      <w:r w:rsidRPr="00A241F5">
        <w:rPr>
          <w:rFonts w:ascii="Times New Roman" w:hAnsi="Times New Roman"/>
          <w:color w:val="000000" w:themeColor="text1"/>
        </w:rPr>
        <w:tab/>
        <w:t>(a)</w:t>
      </w:r>
      <w:r w:rsidRPr="00A241F5">
        <w:rPr>
          <w:rFonts w:ascii="Times New Roman" w:hAnsi="Times New Roman"/>
          <w:color w:val="000000" w:themeColor="text1"/>
        </w:rPr>
        <w:tab/>
        <w:t xml:space="preserve">allow interest at such rate and from such time as he thinks just on moneys disbursed by the solicitor for the client, and on moneys of the client in the hands of, and improperly retained by, the solicitor; </w:t>
      </w:r>
    </w:p>
    <w:p w14:paraId="37B867A4" w14:textId="77777777" w:rsidR="002125E0" w:rsidRPr="00A241F5" w:rsidRDefault="002125E0" w:rsidP="002125E0">
      <w:pPr>
        <w:tabs>
          <w:tab w:val="clear" w:pos="1418"/>
          <w:tab w:val="right" w:pos="1440"/>
        </w:tabs>
        <w:autoSpaceDE w:val="0"/>
        <w:autoSpaceDN w:val="0"/>
        <w:spacing w:line="260" w:lineRule="atLeast"/>
        <w:ind w:left="1680" w:hanging="1080"/>
        <w:rPr>
          <w:rFonts w:ascii="Times New Roman" w:hAnsi="Times New Roman"/>
          <w:color w:val="000000" w:themeColor="text1"/>
        </w:rPr>
        <w:sectPr w:rsidR="002125E0" w:rsidRPr="00A241F5" w:rsidSect="00C2131F">
          <w:headerReference w:type="default" r:id="rId26"/>
          <w:pgSz w:w="11909" w:h="16834" w:code="9"/>
          <w:pgMar w:top="1440" w:right="1800" w:bottom="1440" w:left="1800" w:header="706" w:footer="706" w:gutter="0"/>
          <w:cols w:space="425"/>
          <w:docGrid w:type="linesAndChars" w:linePitch="360"/>
        </w:sectPr>
      </w:pPr>
      <w:r w:rsidRPr="00A241F5">
        <w:rPr>
          <w:rFonts w:ascii="Times New Roman" w:hAnsi="Times New Roman"/>
          <w:color w:val="000000" w:themeColor="text1"/>
        </w:rPr>
        <w:tab/>
        <w:t>(b)</w:t>
      </w:r>
      <w:r w:rsidRPr="00A241F5">
        <w:rPr>
          <w:rFonts w:ascii="Times New Roman" w:hAnsi="Times New Roman"/>
          <w:color w:val="000000" w:themeColor="text1"/>
        </w:rPr>
        <w:tab/>
        <w:t>in determining the remuneration of the solicitor, have regard to the skill, labour and responsibility involved in the business done by him, the general complexity of the matter and the amount or value of the matter in issue.</w:t>
      </w:r>
    </w:p>
    <w:p w14:paraId="386CD678" w14:textId="77777777" w:rsidR="002125E0" w:rsidRPr="00A241F5" w:rsidRDefault="002125E0" w:rsidP="002125E0">
      <w:pPr>
        <w:pStyle w:val="a01100-000Partnumbere"/>
        <w:rPr>
          <w:lang w:val="en-US"/>
        </w:rPr>
      </w:pPr>
      <w:bookmarkStart w:id="42" w:name="_Toc77268285"/>
      <w:bookmarkStart w:id="43" w:name="_Toc77268324"/>
      <w:bookmarkStart w:id="44" w:name="_Toc78208197"/>
      <w:bookmarkStart w:id="45" w:name="_Toc78795525"/>
      <w:bookmarkStart w:id="46" w:name="_Toc78795648"/>
      <w:bookmarkStart w:id="47" w:name="_Toc79420752"/>
      <w:bookmarkStart w:id="48" w:name="_Toc79595046"/>
      <w:bookmarkStart w:id="49" w:name="_Toc79595084"/>
      <w:bookmarkStart w:id="50" w:name="_Toc80373660"/>
      <w:bookmarkStart w:id="51" w:name="_Toc80373727"/>
      <w:bookmarkStart w:id="52" w:name="_Toc80373972"/>
      <w:bookmarkStart w:id="53" w:name="_Toc80614485"/>
      <w:r w:rsidRPr="00A241F5">
        <w:rPr>
          <w:lang w:val="en-US"/>
        </w:rPr>
        <w:lastRenderedPageBreak/>
        <w:t>Amendments to Arbitration Ordinance (Cap. 609)</w:t>
      </w:r>
      <w:bookmarkEnd w:id="42"/>
      <w:bookmarkEnd w:id="43"/>
      <w:bookmarkEnd w:id="44"/>
      <w:bookmarkEnd w:id="45"/>
      <w:bookmarkEnd w:id="46"/>
      <w:bookmarkEnd w:id="47"/>
      <w:bookmarkEnd w:id="48"/>
      <w:bookmarkEnd w:id="49"/>
      <w:bookmarkEnd w:id="50"/>
      <w:bookmarkEnd w:id="51"/>
      <w:bookmarkEnd w:id="52"/>
      <w:bookmarkEnd w:id="53"/>
    </w:p>
    <w:p w14:paraId="426C95E8" w14:textId="77777777" w:rsidR="002125E0" w:rsidRPr="00A241F5" w:rsidRDefault="002125E0" w:rsidP="002125E0">
      <w:pPr>
        <w:pStyle w:val="a02100-000Sectiontextnosubsectione"/>
        <w:ind w:left="-120"/>
        <w:jc w:val="center"/>
        <w:rPr>
          <w:i/>
        </w:rPr>
      </w:pPr>
      <w:r w:rsidRPr="00A241F5">
        <w:rPr>
          <w:i/>
        </w:rPr>
        <w:t xml:space="preserve"> (Note: A new subsection (2) is to be inserted into section 98H of Cap. 609. For ease of reference, the </w:t>
      </w:r>
      <w:r w:rsidRPr="00A241F5">
        <w:rPr>
          <w:i/>
          <w:u w:val="single"/>
        </w:rPr>
        <w:t>new subsection (2)</w:t>
      </w:r>
      <w:r w:rsidRPr="00A241F5">
        <w:rPr>
          <w:i/>
        </w:rPr>
        <w:t xml:space="preserve"> is shown in </w:t>
      </w:r>
      <w:r w:rsidRPr="00A241F5">
        <w:rPr>
          <w:b/>
          <w:i/>
          <w:color w:val="C00000"/>
          <w:u w:val="single"/>
        </w:rPr>
        <w:t>red</w:t>
      </w:r>
      <w:r w:rsidRPr="00A241F5">
        <w:rPr>
          <w:i/>
        </w:rPr>
        <w:t>.)</w:t>
      </w:r>
    </w:p>
    <w:p w14:paraId="5ABFB6BA" w14:textId="77777777" w:rsidR="002125E0" w:rsidRPr="00A241F5" w:rsidRDefault="002125E0" w:rsidP="002125E0">
      <w:pPr>
        <w:pStyle w:val="a01700-000Sectionheadinge"/>
        <w:rPr>
          <w:lang w:val="en-US" w:eastAsia="zh-HK"/>
        </w:rPr>
      </w:pPr>
      <w:bookmarkStart w:id="54" w:name="_Toc80614486"/>
      <w:r w:rsidRPr="00A241F5">
        <w:rPr>
          <w:lang w:val="en-US" w:eastAsia="zh-HK"/>
        </w:rPr>
        <w:t>98H.</w:t>
      </w:r>
      <w:r w:rsidRPr="00A241F5">
        <w:rPr>
          <w:lang w:val="en-US" w:eastAsia="zh-HK"/>
        </w:rPr>
        <w:tab/>
        <w:t xml:space="preserve">Meaning of </w:t>
      </w:r>
      <w:r w:rsidRPr="00A241F5">
        <w:rPr>
          <w:i/>
          <w:lang w:val="en-US" w:eastAsia="zh-HK"/>
        </w:rPr>
        <w:t>funding agreement</w:t>
      </w:r>
      <w:bookmarkEnd w:id="54"/>
    </w:p>
    <w:p w14:paraId="07D1E86C" w14:textId="77777777" w:rsidR="002125E0" w:rsidRPr="00A241F5" w:rsidRDefault="002125E0" w:rsidP="00110013">
      <w:pPr>
        <w:pStyle w:val="a02200-000Subsectione"/>
        <w:ind w:left="1195" w:hanging="475"/>
        <w:rPr>
          <w:color w:val="000000" w:themeColor="text1"/>
        </w:rPr>
      </w:pPr>
      <w:r w:rsidRPr="00A241F5">
        <w:rPr>
          <w:color w:val="000000" w:themeColor="text1"/>
          <w:lang w:val="en-US" w:eastAsia="zh-HK"/>
        </w:rPr>
        <w:tab/>
      </w:r>
      <w:r w:rsidRPr="00A241F5">
        <w:rPr>
          <w:color w:val="C00000"/>
          <w:u w:val="single"/>
          <w:lang w:val="en-US" w:eastAsia="zh-HK"/>
        </w:rPr>
        <w:t>(1)</w:t>
      </w:r>
      <w:r w:rsidRPr="00A241F5">
        <w:rPr>
          <w:color w:val="000000" w:themeColor="text1"/>
          <w:lang w:val="en-US" w:eastAsia="zh-HK"/>
        </w:rPr>
        <w:tab/>
      </w:r>
      <w:r w:rsidRPr="00A241F5">
        <w:rPr>
          <w:color w:val="000000" w:themeColor="text1"/>
        </w:rPr>
        <w:t>A funding agreement is an agreement for third party funding of arbitration that is—</w:t>
      </w:r>
    </w:p>
    <w:p w14:paraId="1ACE2B76" w14:textId="77777777" w:rsidR="002125E0" w:rsidRPr="00A241F5" w:rsidRDefault="002125E0" w:rsidP="002125E0">
      <w:pPr>
        <w:pStyle w:val="a02400-000Parae"/>
      </w:pPr>
      <w:r w:rsidRPr="00A241F5">
        <w:tab/>
        <w:t>(a)</w:t>
      </w:r>
      <w:r w:rsidRPr="00A241F5">
        <w:tab/>
        <w:t>in writing;</w:t>
      </w:r>
    </w:p>
    <w:p w14:paraId="7266187E" w14:textId="77777777" w:rsidR="002125E0" w:rsidRPr="00A241F5" w:rsidRDefault="002125E0" w:rsidP="002125E0">
      <w:pPr>
        <w:pStyle w:val="a02400-000Parae"/>
      </w:pPr>
      <w:r w:rsidRPr="00A241F5">
        <w:tab/>
        <w:t>(b)</w:t>
      </w:r>
      <w:r w:rsidRPr="00A241F5">
        <w:tab/>
        <w:t>made between a funded party and a third party funder; and</w:t>
      </w:r>
    </w:p>
    <w:p w14:paraId="51C696AE" w14:textId="77777777" w:rsidR="002125E0" w:rsidRPr="00A241F5" w:rsidRDefault="002125E0" w:rsidP="002125E0">
      <w:pPr>
        <w:pStyle w:val="a02400-000Parae"/>
        <w:rPr>
          <w:lang w:val="en-US" w:eastAsia="zh-HK"/>
        </w:rPr>
      </w:pPr>
      <w:r w:rsidRPr="00A241F5">
        <w:tab/>
        <w:t>(c)</w:t>
      </w:r>
      <w:r w:rsidRPr="00A241F5">
        <w:tab/>
        <w:t>made on or after the commencement date of Division 3.</w:t>
      </w:r>
    </w:p>
    <w:p w14:paraId="4A8F6342" w14:textId="77777777" w:rsidR="002125E0" w:rsidRPr="00A241F5" w:rsidRDefault="002125E0" w:rsidP="00110013">
      <w:pPr>
        <w:pStyle w:val="a02200-000Subsectione"/>
        <w:ind w:left="1195" w:hanging="475"/>
        <w:rPr>
          <w:color w:val="C00000"/>
          <w:u w:val="single"/>
          <w:lang w:val="en-US" w:eastAsia="zh-HK"/>
        </w:rPr>
      </w:pPr>
      <w:r w:rsidRPr="00A241F5">
        <w:rPr>
          <w:color w:val="C00000"/>
          <w:lang w:val="en-US" w:eastAsia="zh-HK"/>
        </w:rPr>
        <w:tab/>
      </w:r>
      <w:r w:rsidRPr="00A241F5">
        <w:rPr>
          <w:color w:val="C00000"/>
          <w:u w:val="single"/>
          <w:lang w:val="en-US" w:eastAsia="zh-HK"/>
        </w:rPr>
        <w:t>(2)</w:t>
      </w:r>
      <w:r w:rsidRPr="00A241F5">
        <w:rPr>
          <w:color w:val="C00000"/>
          <w:lang w:val="en-US" w:eastAsia="zh-HK"/>
        </w:rPr>
        <w:tab/>
      </w:r>
      <w:r w:rsidRPr="00A241F5">
        <w:rPr>
          <w:color w:val="C00000"/>
          <w:u w:val="single"/>
          <w:lang w:val="en-US" w:eastAsia="zh-HK"/>
        </w:rPr>
        <w:t>To avoid doubt, a funding agreement is not to be construed to include an ORFS agreement for arbitration within the meaning of Part 10B.</w:t>
      </w:r>
    </w:p>
    <w:p w14:paraId="79DFB0D7" w14:textId="77777777" w:rsidR="002125E0" w:rsidRPr="00A241F5" w:rsidRDefault="002125E0" w:rsidP="002125E0">
      <w:pPr>
        <w:pStyle w:val="a02100-000Sectiontextnosubsectione"/>
        <w:ind w:left="-120"/>
        <w:jc w:val="center"/>
        <w:rPr>
          <w:i/>
          <w:lang w:val="en-US"/>
        </w:rPr>
      </w:pPr>
      <w:r w:rsidRPr="00A241F5">
        <w:rPr>
          <w:i/>
        </w:rPr>
        <w:t>(Note: The following provision is to be inserted into Division 3 of Part 10A of Cap. 609)</w:t>
      </w:r>
    </w:p>
    <w:p w14:paraId="15902E74" w14:textId="77777777" w:rsidR="002125E0" w:rsidRPr="00A241F5" w:rsidRDefault="002125E0" w:rsidP="002125E0">
      <w:pPr>
        <w:pStyle w:val="a01700-000Sectionheadinge"/>
        <w:rPr>
          <w:lang w:val="en-US" w:eastAsia="zh-HK"/>
        </w:rPr>
      </w:pPr>
      <w:bookmarkStart w:id="55" w:name="_Toc80614487"/>
      <w:r w:rsidRPr="00A241F5">
        <w:rPr>
          <w:lang w:val="en-US" w:eastAsia="zh-HK"/>
        </w:rPr>
        <w:t>98OA.</w:t>
      </w:r>
      <w:r w:rsidRPr="00A241F5">
        <w:rPr>
          <w:lang w:val="en-US" w:eastAsia="zh-HK"/>
        </w:rPr>
        <w:tab/>
        <w:t>Part 10A not applicable to ORFS agreement for arbitration</w:t>
      </w:r>
      <w:bookmarkEnd w:id="55"/>
      <w:r w:rsidRPr="00A241F5">
        <w:rPr>
          <w:lang w:val="en-US" w:eastAsia="zh-HK"/>
        </w:rPr>
        <w:t xml:space="preserve"> </w:t>
      </w:r>
    </w:p>
    <w:p w14:paraId="5752E5D7" w14:textId="77777777" w:rsidR="002125E0" w:rsidRPr="00A241F5" w:rsidRDefault="002125E0" w:rsidP="002125E0">
      <w:pPr>
        <w:pStyle w:val="a02100-000Sectiontextnosubsectione"/>
        <w:rPr>
          <w:lang w:val="en-US" w:eastAsia="zh-HK"/>
        </w:rPr>
      </w:pPr>
      <w:r w:rsidRPr="00A241F5">
        <w:rPr>
          <w:lang w:val="en-US" w:eastAsia="zh-HK"/>
        </w:rPr>
        <w:t>This Part does not apply to an ORFS agreement for arbitration within the meaning of Part 10B.</w:t>
      </w:r>
    </w:p>
    <w:p w14:paraId="224850CF" w14:textId="77777777" w:rsidR="002125E0" w:rsidRPr="00A241F5" w:rsidRDefault="002125E0" w:rsidP="002125E0">
      <w:pPr>
        <w:pStyle w:val="a02100-000Sectiontextnosubsectione"/>
        <w:ind w:left="600"/>
      </w:pPr>
      <w:r w:rsidRPr="00A241F5">
        <w:t>(</w:t>
      </w:r>
      <w:r w:rsidRPr="00A241F5">
        <w:rPr>
          <w:i/>
        </w:rPr>
        <w:t>Note: The following new Part 10B is to be inserted after Part 10A</w:t>
      </w:r>
      <w:r w:rsidRPr="00A241F5">
        <w:t>)</w:t>
      </w:r>
      <w:bookmarkStart w:id="56" w:name="_Toc72512121"/>
    </w:p>
    <w:p w14:paraId="4B50D7A9" w14:textId="77777777" w:rsidR="002125E0" w:rsidRPr="00A241F5" w:rsidRDefault="002125E0" w:rsidP="002125E0">
      <w:pPr>
        <w:pStyle w:val="a01100-000Partnumbere"/>
        <w:rPr>
          <w:lang w:val="en-US"/>
        </w:rPr>
      </w:pPr>
      <w:bookmarkStart w:id="57" w:name="_Toc77268288"/>
      <w:bookmarkStart w:id="58" w:name="_Toc77268327"/>
      <w:bookmarkStart w:id="59" w:name="_Toc78208200"/>
      <w:bookmarkStart w:id="60" w:name="_Toc78795528"/>
      <w:bookmarkStart w:id="61" w:name="_Toc78795651"/>
      <w:bookmarkStart w:id="62" w:name="_Toc79420755"/>
      <w:bookmarkStart w:id="63" w:name="_Toc79595049"/>
      <w:bookmarkStart w:id="64" w:name="_Toc79595087"/>
      <w:bookmarkStart w:id="65" w:name="_Toc80373663"/>
      <w:bookmarkStart w:id="66" w:name="_Toc80373730"/>
      <w:bookmarkStart w:id="67" w:name="_Toc80373975"/>
      <w:bookmarkStart w:id="68" w:name="_Toc80614488"/>
      <w:r w:rsidRPr="00A241F5">
        <w:rPr>
          <w:lang w:val="en-US"/>
        </w:rPr>
        <w:t>Part 1</w:t>
      </w:r>
      <w:bookmarkEnd w:id="56"/>
      <w:r w:rsidRPr="00A241F5">
        <w:rPr>
          <w:lang w:val="en-US"/>
        </w:rPr>
        <w:t>0B</w:t>
      </w:r>
      <w:bookmarkEnd w:id="57"/>
      <w:bookmarkEnd w:id="58"/>
      <w:bookmarkEnd w:id="59"/>
      <w:bookmarkEnd w:id="60"/>
      <w:bookmarkEnd w:id="61"/>
      <w:bookmarkEnd w:id="62"/>
      <w:bookmarkEnd w:id="63"/>
      <w:bookmarkEnd w:id="64"/>
      <w:bookmarkEnd w:id="65"/>
      <w:bookmarkEnd w:id="66"/>
      <w:bookmarkEnd w:id="67"/>
      <w:bookmarkEnd w:id="68"/>
    </w:p>
    <w:p w14:paraId="776E4CA7" w14:textId="77777777" w:rsidR="002125E0" w:rsidRPr="00A241F5" w:rsidRDefault="002125E0" w:rsidP="002125E0">
      <w:pPr>
        <w:pStyle w:val="a01200-000Partheadinge"/>
        <w:rPr>
          <w:lang w:val="en-US"/>
        </w:rPr>
      </w:pPr>
      <w:bookmarkStart w:id="69" w:name="_Toc77268289"/>
      <w:bookmarkStart w:id="70" w:name="_Toc77268328"/>
      <w:bookmarkStart w:id="71" w:name="_Toc78208201"/>
      <w:bookmarkStart w:id="72" w:name="_Toc78795529"/>
      <w:bookmarkStart w:id="73" w:name="_Toc78795652"/>
      <w:bookmarkStart w:id="74" w:name="_Toc79420756"/>
      <w:bookmarkStart w:id="75" w:name="_Toc79595050"/>
      <w:bookmarkStart w:id="76" w:name="_Toc79595088"/>
      <w:bookmarkStart w:id="77" w:name="_Toc80373664"/>
      <w:bookmarkStart w:id="78" w:name="_Toc80373731"/>
      <w:bookmarkStart w:id="79" w:name="_Toc80373976"/>
      <w:bookmarkStart w:id="80" w:name="_Toc80614489"/>
      <w:r w:rsidRPr="00A241F5">
        <w:rPr>
          <w:lang w:val="en-US"/>
        </w:rPr>
        <w:t>O</w:t>
      </w:r>
      <w:r w:rsidRPr="00A241F5">
        <w:rPr>
          <w:lang w:val="en-US" w:eastAsia="zh-HK"/>
        </w:rPr>
        <w:t>utcome Related Fee Structure Agreement for Arbitration</w:t>
      </w:r>
      <w:bookmarkEnd w:id="69"/>
      <w:bookmarkEnd w:id="70"/>
      <w:bookmarkEnd w:id="71"/>
      <w:bookmarkEnd w:id="72"/>
      <w:bookmarkEnd w:id="73"/>
      <w:bookmarkEnd w:id="74"/>
      <w:bookmarkEnd w:id="75"/>
      <w:bookmarkEnd w:id="76"/>
      <w:bookmarkEnd w:id="77"/>
      <w:bookmarkEnd w:id="78"/>
      <w:bookmarkEnd w:id="79"/>
      <w:bookmarkEnd w:id="80"/>
    </w:p>
    <w:p w14:paraId="5D7F8FD6" w14:textId="77777777" w:rsidR="002125E0" w:rsidRPr="00A241F5" w:rsidRDefault="002125E0" w:rsidP="002125E0">
      <w:pPr>
        <w:pStyle w:val="a01400-000Divheadinge"/>
        <w:ind w:left="960" w:hanging="480"/>
        <w:rPr>
          <w:lang w:val="en"/>
        </w:rPr>
      </w:pPr>
      <w:bookmarkStart w:id="81" w:name="_Toc77268290"/>
      <w:bookmarkStart w:id="82" w:name="_Toc77268329"/>
      <w:bookmarkStart w:id="83" w:name="_Toc78208202"/>
      <w:bookmarkStart w:id="84" w:name="_Toc78795530"/>
      <w:bookmarkStart w:id="85" w:name="_Toc78795653"/>
      <w:bookmarkStart w:id="86" w:name="_Toc79420757"/>
      <w:bookmarkStart w:id="87" w:name="_Toc79595051"/>
      <w:bookmarkStart w:id="88" w:name="_Toc79595089"/>
      <w:bookmarkStart w:id="89" w:name="_Toc80373665"/>
      <w:bookmarkStart w:id="90" w:name="_Toc80373732"/>
      <w:bookmarkStart w:id="91" w:name="_Toc80373977"/>
      <w:bookmarkStart w:id="92" w:name="_Toc80614490"/>
      <w:r w:rsidRPr="00A241F5">
        <w:rPr>
          <w:lang w:val="en"/>
        </w:rPr>
        <w:t>Division 1—Purposes</w:t>
      </w:r>
      <w:bookmarkEnd w:id="81"/>
      <w:bookmarkEnd w:id="82"/>
      <w:bookmarkEnd w:id="83"/>
      <w:bookmarkEnd w:id="84"/>
      <w:bookmarkEnd w:id="85"/>
      <w:bookmarkEnd w:id="86"/>
      <w:bookmarkEnd w:id="87"/>
      <w:bookmarkEnd w:id="88"/>
      <w:bookmarkEnd w:id="89"/>
      <w:bookmarkEnd w:id="90"/>
      <w:bookmarkEnd w:id="91"/>
      <w:bookmarkEnd w:id="92"/>
    </w:p>
    <w:p w14:paraId="01BDF79D" w14:textId="77777777" w:rsidR="002125E0" w:rsidRPr="00A241F5" w:rsidRDefault="002125E0" w:rsidP="002125E0">
      <w:pPr>
        <w:pStyle w:val="a01700-000Sectionheadinge"/>
        <w:rPr>
          <w:lang w:val="en"/>
        </w:rPr>
      </w:pPr>
      <w:bookmarkStart w:id="93" w:name="_Toc79420758"/>
      <w:bookmarkStart w:id="94" w:name="_Toc80614491"/>
      <w:r w:rsidRPr="00A241F5">
        <w:rPr>
          <w:lang w:val="en"/>
        </w:rPr>
        <w:t>98Y.</w:t>
      </w:r>
      <w:r w:rsidRPr="00A241F5">
        <w:rPr>
          <w:lang w:val="en"/>
        </w:rPr>
        <w:tab/>
        <w:t>Purposes</w:t>
      </w:r>
      <w:bookmarkEnd w:id="93"/>
      <w:bookmarkEnd w:id="94"/>
    </w:p>
    <w:p w14:paraId="6FD0E09A" w14:textId="77777777" w:rsidR="002125E0" w:rsidRPr="00A241F5" w:rsidRDefault="002125E0" w:rsidP="002125E0">
      <w:pPr>
        <w:pStyle w:val="a02100-000Sectiontextnosubsectione"/>
        <w:rPr>
          <w:lang w:val="en"/>
        </w:rPr>
      </w:pPr>
      <w:r w:rsidRPr="00A241F5">
        <w:rPr>
          <w:lang w:val="en"/>
        </w:rPr>
        <w:t>The purposes of this Part are to—</w:t>
      </w:r>
    </w:p>
    <w:p w14:paraId="3B457859" w14:textId="77777777" w:rsidR="002125E0" w:rsidRPr="00A241F5" w:rsidRDefault="002125E0" w:rsidP="002125E0">
      <w:pPr>
        <w:pStyle w:val="a02400-000Parae"/>
        <w:rPr>
          <w:lang w:val="en"/>
        </w:rPr>
      </w:pPr>
      <w:r w:rsidRPr="00A241F5">
        <w:rPr>
          <w:lang w:val="en"/>
        </w:rPr>
        <w:tab/>
        <w:t>(a)</w:t>
      </w:r>
      <w:r w:rsidRPr="00A241F5">
        <w:rPr>
          <w:lang w:val="en"/>
        </w:rPr>
        <w:tab/>
        <w:t xml:space="preserve">ensure that an ORFS agreement </w:t>
      </w:r>
      <w:r w:rsidRPr="00A241F5">
        <w:t>for arbitration</w:t>
      </w:r>
      <w:r w:rsidRPr="00A241F5">
        <w:rPr>
          <w:lang w:val="en"/>
        </w:rPr>
        <w:t xml:space="preserve"> is not prohibited by particular common law doctrines;</w:t>
      </w:r>
    </w:p>
    <w:p w14:paraId="7326B73C" w14:textId="77777777" w:rsidR="002125E0" w:rsidRPr="00A241F5" w:rsidRDefault="002125E0" w:rsidP="002125E0">
      <w:pPr>
        <w:pStyle w:val="a02400-000Parae"/>
        <w:rPr>
          <w:lang w:val="en"/>
        </w:rPr>
      </w:pPr>
      <w:r w:rsidRPr="00A241F5">
        <w:rPr>
          <w:lang w:val="en"/>
        </w:rPr>
        <w:tab/>
        <w:t>(b)</w:t>
      </w:r>
      <w:r w:rsidRPr="00A241F5">
        <w:rPr>
          <w:lang w:val="en"/>
        </w:rPr>
        <w:tab/>
        <w:t xml:space="preserve">provide for the enforceability of ORFS agreements </w:t>
      </w:r>
      <w:r w:rsidRPr="00A241F5">
        <w:t>for arbitration</w:t>
      </w:r>
      <w:r w:rsidRPr="00A241F5">
        <w:rPr>
          <w:lang w:val="en"/>
        </w:rPr>
        <w:t xml:space="preserve"> that meet certain general and specific conditions; and</w:t>
      </w:r>
    </w:p>
    <w:p w14:paraId="2F506EE3" w14:textId="77777777" w:rsidR="002125E0" w:rsidRPr="00A241F5" w:rsidRDefault="002125E0" w:rsidP="002125E0">
      <w:pPr>
        <w:pStyle w:val="a02400-000Parae"/>
        <w:rPr>
          <w:lang w:val="en"/>
        </w:rPr>
      </w:pPr>
      <w:r w:rsidRPr="00A241F5">
        <w:rPr>
          <w:lang w:val="en"/>
        </w:rPr>
        <w:tab/>
        <w:t>(c)</w:t>
      </w:r>
      <w:r w:rsidRPr="00A241F5">
        <w:rPr>
          <w:lang w:val="en"/>
        </w:rPr>
        <w:tab/>
        <w:t xml:space="preserve">provide for measures and safeguards in relation to ORFS agreements </w:t>
      </w:r>
      <w:r w:rsidRPr="00A241F5">
        <w:t>for arbitration</w:t>
      </w:r>
      <w:r w:rsidRPr="00A241F5">
        <w:rPr>
          <w:lang w:val="en"/>
        </w:rPr>
        <w:t>.</w:t>
      </w:r>
      <w:bookmarkStart w:id="95" w:name="_Toc80614492"/>
    </w:p>
    <w:p w14:paraId="3BBAB822" w14:textId="77777777" w:rsidR="002125E0" w:rsidRPr="00A241F5" w:rsidRDefault="002125E0" w:rsidP="002125E0">
      <w:pPr>
        <w:pStyle w:val="a01700-000Sectionheadinge"/>
        <w:rPr>
          <w:lang w:val="en-US" w:eastAsia="zh-HK"/>
        </w:rPr>
      </w:pPr>
      <w:r w:rsidRPr="00A241F5">
        <w:rPr>
          <w:lang w:val="en-US" w:eastAsia="zh-HK"/>
        </w:rPr>
        <w:t>98</w:t>
      </w:r>
      <w:r w:rsidRPr="00A241F5">
        <w:rPr>
          <w:lang w:val="en-US"/>
        </w:rPr>
        <w:t>Z</w:t>
      </w:r>
      <w:r w:rsidRPr="00A241F5">
        <w:rPr>
          <w:lang w:val="en-US" w:eastAsia="zh-HK"/>
        </w:rPr>
        <w:t>.</w:t>
      </w:r>
      <w:r w:rsidRPr="00A241F5">
        <w:rPr>
          <w:lang w:val="en-US" w:eastAsia="zh-HK"/>
        </w:rPr>
        <w:tab/>
        <w:t>Part 10B not applicable to funding agreements</w:t>
      </w:r>
      <w:bookmarkEnd w:id="95"/>
    </w:p>
    <w:p w14:paraId="0536B6A3" w14:textId="77777777" w:rsidR="002125E0" w:rsidRPr="00A241F5" w:rsidRDefault="002125E0" w:rsidP="002125E0">
      <w:pPr>
        <w:pStyle w:val="a02100-000Sectiontextnosubsectione"/>
        <w:rPr>
          <w:lang w:val="en-US"/>
        </w:rPr>
      </w:pPr>
      <w:r w:rsidRPr="00A241F5">
        <w:rPr>
          <w:lang w:val="en-US" w:eastAsia="zh-HK"/>
        </w:rPr>
        <w:t>This Part is not applicable to a funding agreement within the meaning of Part 10A.</w:t>
      </w:r>
    </w:p>
    <w:p w14:paraId="1F094D3B" w14:textId="77777777" w:rsidR="002125E0" w:rsidRPr="00A241F5" w:rsidRDefault="002125E0" w:rsidP="002125E0">
      <w:pPr>
        <w:pStyle w:val="a01400-000Divheadinge"/>
        <w:ind w:left="960" w:hanging="480"/>
        <w:rPr>
          <w:lang w:val="en-US"/>
        </w:rPr>
      </w:pPr>
      <w:bookmarkStart w:id="96" w:name="_Toc72511724"/>
      <w:bookmarkStart w:id="97" w:name="_Toc72511743"/>
      <w:bookmarkStart w:id="98" w:name="_Toc72511891"/>
      <w:bookmarkStart w:id="99" w:name="_Toc72512122"/>
      <w:bookmarkStart w:id="100" w:name="_Toc77268293"/>
      <w:bookmarkStart w:id="101" w:name="_Toc77268332"/>
      <w:bookmarkStart w:id="102" w:name="_Toc78208205"/>
      <w:bookmarkStart w:id="103" w:name="_Toc78795533"/>
      <w:bookmarkStart w:id="104" w:name="_Toc78795656"/>
      <w:bookmarkStart w:id="105" w:name="_Toc79420760"/>
      <w:bookmarkStart w:id="106" w:name="_Toc79595054"/>
      <w:bookmarkStart w:id="107" w:name="_Toc79595092"/>
      <w:bookmarkStart w:id="108" w:name="_Toc80373668"/>
      <w:bookmarkStart w:id="109" w:name="_Toc80373735"/>
      <w:bookmarkStart w:id="110" w:name="_Toc80373980"/>
      <w:bookmarkStart w:id="111" w:name="_Toc80614493"/>
      <w:r w:rsidRPr="00A241F5">
        <w:rPr>
          <w:lang w:val="en-US"/>
        </w:rPr>
        <w:t>Division 2—</w:t>
      </w:r>
      <w:bookmarkEnd w:id="96"/>
      <w:bookmarkEnd w:id="97"/>
      <w:bookmarkEnd w:id="98"/>
      <w:bookmarkEnd w:id="99"/>
      <w:bookmarkEnd w:id="100"/>
      <w:bookmarkEnd w:id="101"/>
      <w:bookmarkEnd w:id="102"/>
      <w:bookmarkEnd w:id="103"/>
      <w:bookmarkEnd w:id="104"/>
      <w:bookmarkEnd w:id="105"/>
      <w:bookmarkEnd w:id="106"/>
      <w:bookmarkEnd w:id="107"/>
      <w:r w:rsidRPr="00A241F5">
        <w:rPr>
          <w:lang w:val="en-US"/>
        </w:rPr>
        <w:t>Interpretation</w:t>
      </w:r>
      <w:bookmarkEnd w:id="108"/>
      <w:bookmarkEnd w:id="109"/>
      <w:bookmarkEnd w:id="110"/>
      <w:bookmarkEnd w:id="111"/>
    </w:p>
    <w:p w14:paraId="42E484E2" w14:textId="77777777" w:rsidR="002125E0" w:rsidRPr="00A241F5" w:rsidRDefault="002125E0" w:rsidP="002125E0">
      <w:pPr>
        <w:pStyle w:val="a01700-000Sectionheadinge"/>
        <w:rPr>
          <w:lang w:val="en-US"/>
        </w:rPr>
      </w:pPr>
      <w:bookmarkStart w:id="112" w:name="_Toc72512123"/>
      <w:bookmarkStart w:id="113" w:name="_Toc79420761"/>
      <w:bookmarkStart w:id="114" w:name="_Toc80614494"/>
      <w:r w:rsidRPr="00A241F5">
        <w:rPr>
          <w:lang w:val="en-US"/>
        </w:rPr>
        <w:t>98ZA.</w:t>
      </w:r>
      <w:r w:rsidRPr="00A241F5">
        <w:rPr>
          <w:lang w:val="en-US"/>
        </w:rPr>
        <w:tab/>
        <w:t>Interpretation</w:t>
      </w:r>
      <w:bookmarkEnd w:id="112"/>
      <w:bookmarkEnd w:id="113"/>
      <w:bookmarkEnd w:id="114"/>
    </w:p>
    <w:p w14:paraId="53CAB1A2" w14:textId="77777777" w:rsidR="002125E0" w:rsidRPr="00A241F5" w:rsidRDefault="002125E0" w:rsidP="00110013">
      <w:pPr>
        <w:pStyle w:val="a02200-000Subsectione"/>
        <w:ind w:left="1195" w:hanging="475"/>
        <w:rPr>
          <w:lang w:val="en-US"/>
        </w:rPr>
      </w:pPr>
      <w:r w:rsidRPr="00A241F5">
        <w:rPr>
          <w:lang w:val="en-US"/>
        </w:rPr>
        <w:tab/>
        <w:t>(1)</w:t>
      </w:r>
      <w:r w:rsidRPr="00A241F5">
        <w:rPr>
          <w:lang w:val="en-US"/>
        </w:rPr>
        <w:tab/>
        <w:t>In this Part—</w:t>
      </w:r>
    </w:p>
    <w:p w14:paraId="220D8465" w14:textId="77777777" w:rsidR="002125E0" w:rsidRPr="00A241F5" w:rsidRDefault="002125E0" w:rsidP="002125E0">
      <w:pPr>
        <w:pStyle w:val="a02300-000Definitione"/>
        <w:rPr>
          <w:lang w:val="en-US"/>
        </w:rPr>
      </w:pPr>
      <w:r w:rsidRPr="00A241F5">
        <w:rPr>
          <w:rStyle w:val="DefinedTerme"/>
        </w:rPr>
        <w:t>advisory body</w:t>
      </w:r>
      <w:r w:rsidRPr="00A241F5">
        <w:t xml:space="preserve"> means </w:t>
      </w:r>
      <w:r w:rsidRPr="00A241F5">
        <w:rPr>
          <w:lang w:val="en-US"/>
        </w:rPr>
        <w:t>the person appointed by the Secretary for Justice under section 98ZS(1);</w:t>
      </w:r>
    </w:p>
    <w:p w14:paraId="7B9CE9C9" w14:textId="77777777" w:rsidR="002125E0" w:rsidRPr="00A241F5" w:rsidRDefault="002125E0" w:rsidP="002125E0">
      <w:pPr>
        <w:pStyle w:val="a02300-000Definitione"/>
      </w:pPr>
      <w:r w:rsidRPr="00A241F5">
        <w:rPr>
          <w:rStyle w:val="DefinedTerme"/>
        </w:rPr>
        <w:t>arbitration</w:t>
      </w:r>
      <w:r w:rsidRPr="00A241F5">
        <w:t xml:space="preserve"> </w:t>
      </w:r>
      <w:r w:rsidRPr="00A241F5">
        <w:rPr>
          <w:color w:val="000000"/>
        </w:rPr>
        <w:t>includes the following proceedings under this Ordinance</w:t>
      </w:r>
      <w:r w:rsidRPr="00A241F5">
        <w:t>—</w:t>
      </w:r>
    </w:p>
    <w:p w14:paraId="4DC1AEB8" w14:textId="77777777" w:rsidR="002125E0" w:rsidRPr="00A241F5" w:rsidRDefault="002125E0" w:rsidP="002125E0">
      <w:pPr>
        <w:pStyle w:val="a02400-000Parae"/>
      </w:pPr>
      <w:r w:rsidRPr="00A241F5">
        <w:tab/>
        <w:t>(a)</w:t>
      </w:r>
      <w:r w:rsidRPr="00A241F5">
        <w:tab/>
        <w:t>court proceedings;</w:t>
      </w:r>
    </w:p>
    <w:p w14:paraId="1A58957F" w14:textId="77777777" w:rsidR="002125E0" w:rsidRPr="00A241F5" w:rsidRDefault="002125E0" w:rsidP="002125E0">
      <w:pPr>
        <w:pStyle w:val="a02400-000Parae"/>
      </w:pPr>
      <w:r w:rsidRPr="00A241F5">
        <w:tab/>
        <w:t>(b)</w:t>
      </w:r>
      <w:r w:rsidRPr="00A241F5">
        <w:tab/>
      </w:r>
      <w:r w:rsidRPr="00A241F5">
        <w:rPr>
          <w:rFonts w:eastAsia="Times New Roman"/>
        </w:rPr>
        <w:t>proceedings before an emergency arbitrator</w:t>
      </w:r>
      <w:r w:rsidRPr="00A241F5">
        <w:t>; and</w:t>
      </w:r>
    </w:p>
    <w:p w14:paraId="536BFC02" w14:textId="77777777" w:rsidR="002125E0" w:rsidRPr="00A241F5" w:rsidRDefault="002125E0" w:rsidP="002125E0">
      <w:pPr>
        <w:pStyle w:val="a02400-000Parae"/>
      </w:pPr>
      <w:r w:rsidRPr="00A241F5">
        <w:lastRenderedPageBreak/>
        <w:tab/>
        <w:t>(c)</w:t>
      </w:r>
      <w:r w:rsidRPr="00A241F5">
        <w:tab/>
        <w:t>mediation proceedings;</w:t>
      </w:r>
    </w:p>
    <w:p w14:paraId="70AFAE84" w14:textId="77777777" w:rsidR="002125E0" w:rsidRPr="00A241F5" w:rsidRDefault="002125E0" w:rsidP="002125E0">
      <w:pPr>
        <w:pStyle w:val="a02300-000Definitione"/>
      </w:pPr>
      <w:r w:rsidRPr="00A241F5">
        <w:rPr>
          <w:rStyle w:val="DefinedTerme"/>
        </w:rPr>
        <w:t>arbitration body</w:t>
      </w:r>
      <w:r w:rsidRPr="00A241F5">
        <w:t>—</w:t>
      </w:r>
    </w:p>
    <w:p w14:paraId="1EC6FD55" w14:textId="77777777" w:rsidR="002125E0" w:rsidRPr="00A241F5" w:rsidRDefault="002125E0" w:rsidP="002125E0">
      <w:pPr>
        <w:pStyle w:val="a02400-000Parae"/>
        <w:rPr>
          <w:lang w:val="en-US"/>
        </w:rPr>
      </w:pPr>
      <w:r w:rsidRPr="00A241F5">
        <w:rPr>
          <w:lang w:val="en-US"/>
        </w:rPr>
        <w:tab/>
        <w:t>(a)</w:t>
      </w:r>
      <w:r w:rsidRPr="00A241F5">
        <w:rPr>
          <w:lang w:val="en-US"/>
        </w:rPr>
        <w:tab/>
        <w:t>in relation to an arbitration (other than the proceedings mentioned in paragraphs (b) and (c))—means the arbitral tribunal or court, as the case may be;</w:t>
      </w:r>
    </w:p>
    <w:p w14:paraId="52F177A0" w14:textId="77777777" w:rsidR="002125E0" w:rsidRPr="00A241F5" w:rsidRDefault="002125E0" w:rsidP="002125E0">
      <w:pPr>
        <w:pStyle w:val="a02400-000Parae"/>
        <w:rPr>
          <w:lang w:val="en-US"/>
        </w:rPr>
      </w:pPr>
      <w:r w:rsidRPr="00A241F5">
        <w:rPr>
          <w:lang w:val="en-US"/>
        </w:rPr>
        <w:tab/>
        <w:t>(b)</w:t>
      </w:r>
      <w:r w:rsidRPr="00A241F5">
        <w:rPr>
          <w:lang w:val="en-US"/>
        </w:rPr>
        <w:tab/>
        <w:t>in relation to proceedings before an emergency arbitrator—means the emergency arbitrator; or</w:t>
      </w:r>
    </w:p>
    <w:p w14:paraId="1487157C" w14:textId="77777777" w:rsidR="002125E0" w:rsidRPr="00A241F5" w:rsidRDefault="002125E0" w:rsidP="002125E0">
      <w:pPr>
        <w:pStyle w:val="a02400-000Parae"/>
        <w:rPr>
          <w:lang w:val="en-US"/>
        </w:rPr>
      </w:pPr>
      <w:r w:rsidRPr="00A241F5">
        <w:rPr>
          <w:lang w:val="en-US"/>
        </w:rPr>
        <w:tab/>
        <w:t>(c)</w:t>
      </w:r>
      <w:r w:rsidRPr="00A241F5">
        <w:rPr>
          <w:lang w:val="en-US"/>
        </w:rPr>
        <w:tab/>
        <w:t>in relation to mediation proceedings—means the mediator appointed under section 32 or referred to in section 33, as the case may be;</w:t>
      </w:r>
    </w:p>
    <w:p w14:paraId="1D500027" w14:textId="77777777" w:rsidR="002125E0" w:rsidRPr="00A241F5" w:rsidRDefault="002125E0" w:rsidP="002125E0">
      <w:pPr>
        <w:pStyle w:val="a02300-000Definitione"/>
      </w:pPr>
      <w:r w:rsidRPr="00A241F5">
        <w:rPr>
          <w:rStyle w:val="DefinedTerme"/>
        </w:rPr>
        <w:t>authorized body</w:t>
      </w:r>
      <w:r w:rsidRPr="00A241F5">
        <w:t xml:space="preserve"> means the person appointed by the Secretary for Justice under section 98ZS(2);</w:t>
      </w:r>
    </w:p>
    <w:p w14:paraId="2122A44C" w14:textId="77777777" w:rsidR="002125E0" w:rsidRPr="00A241F5" w:rsidRDefault="002125E0" w:rsidP="002125E0">
      <w:pPr>
        <w:pStyle w:val="a02300-000Definitione"/>
      </w:pPr>
      <w:r w:rsidRPr="00A241F5">
        <w:rPr>
          <w:rStyle w:val="DefinedTerme"/>
        </w:rPr>
        <w:t>Cap. 159 means the Legal Practitioners Ordinance (Cap. 159);</w:t>
      </w:r>
    </w:p>
    <w:p w14:paraId="4905C011" w14:textId="77777777" w:rsidR="002125E0" w:rsidRPr="00A241F5" w:rsidRDefault="002125E0" w:rsidP="002125E0">
      <w:pPr>
        <w:pStyle w:val="a02300-000Definitione"/>
      </w:pPr>
      <w:r w:rsidRPr="00A241F5">
        <w:rPr>
          <w:rStyle w:val="DefinedTerme"/>
        </w:rPr>
        <w:t>client</w:t>
      </w:r>
      <w:r w:rsidRPr="00A241F5">
        <w:t>, in relation to a lawyer, includes—</w:t>
      </w:r>
    </w:p>
    <w:p w14:paraId="7CA61873" w14:textId="77777777" w:rsidR="002125E0" w:rsidRPr="00A241F5" w:rsidRDefault="002125E0" w:rsidP="002125E0">
      <w:pPr>
        <w:pStyle w:val="a02400-000Parae"/>
      </w:pPr>
      <w:r w:rsidRPr="00A241F5">
        <w:tab/>
        <w:t>(a)</w:t>
      </w:r>
      <w:r w:rsidRPr="00A241F5">
        <w:tab/>
        <w:t>any person who retains or employs, or is about to retain or employ, the lawyer; and</w:t>
      </w:r>
    </w:p>
    <w:p w14:paraId="0B04F089" w14:textId="77777777" w:rsidR="002125E0" w:rsidRPr="00A241F5" w:rsidRDefault="002125E0" w:rsidP="002125E0">
      <w:pPr>
        <w:pStyle w:val="a02400-000Parae"/>
      </w:pPr>
      <w:r w:rsidRPr="00A241F5">
        <w:tab/>
        <w:t>(b)</w:t>
      </w:r>
      <w:r w:rsidRPr="00A241F5">
        <w:tab/>
        <w:t>any person who is or may be liable to pay the lawyer’s costs;</w:t>
      </w:r>
    </w:p>
    <w:p w14:paraId="578C7BE1" w14:textId="77777777" w:rsidR="002125E0" w:rsidRPr="00A241F5" w:rsidRDefault="002125E0" w:rsidP="002125E0">
      <w:pPr>
        <w:pStyle w:val="a02300-000Definitione"/>
        <w:rPr>
          <w:b/>
          <w:i/>
          <w:lang w:val="en-US"/>
        </w:rPr>
      </w:pPr>
      <w:r w:rsidRPr="00A241F5">
        <w:rPr>
          <w:rStyle w:val="DefinedTerme"/>
        </w:rPr>
        <w:t>code of practice</w:t>
      </w:r>
      <w:r w:rsidRPr="00A241F5">
        <w:t xml:space="preserve"> means the code of practice issued under Division 6 and as amended from time to time;</w:t>
      </w:r>
    </w:p>
    <w:p w14:paraId="437944D9" w14:textId="77777777" w:rsidR="002125E0" w:rsidRPr="00A241F5" w:rsidRDefault="002125E0" w:rsidP="002125E0">
      <w:pPr>
        <w:pStyle w:val="a02300-000Definitione"/>
      </w:pPr>
      <w:r w:rsidRPr="00A241F5">
        <w:rPr>
          <w:rStyle w:val="DefinedTerme"/>
        </w:rPr>
        <w:t>conditional fee agreement</w:t>
      </w:r>
      <w:r w:rsidRPr="00A241F5">
        <w:t>—see section 98ZB;</w:t>
      </w:r>
    </w:p>
    <w:p w14:paraId="1E531811" w14:textId="77777777" w:rsidR="002125E0" w:rsidRPr="00A241F5" w:rsidRDefault="002125E0" w:rsidP="002125E0">
      <w:pPr>
        <w:pStyle w:val="a02300-000Definitione"/>
      </w:pPr>
      <w:r w:rsidRPr="00A241F5">
        <w:rPr>
          <w:rStyle w:val="DefinedTerme"/>
        </w:rPr>
        <w:t>damages-based agreement</w:t>
      </w:r>
      <w:r w:rsidRPr="00A241F5">
        <w:t>—see section 98ZC;</w:t>
      </w:r>
    </w:p>
    <w:p w14:paraId="74CF18D8" w14:textId="77777777" w:rsidR="002125E0" w:rsidRPr="00A241F5" w:rsidRDefault="002125E0" w:rsidP="002125E0">
      <w:pPr>
        <w:pStyle w:val="a02300-000Definitione"/>
      </w:pPr>
      <w:r w:rsidRPr="00A241F5">
        <w:rPr>
          <w:rStyle w:val="DefinedTerme"/>
        </w:rPr>
        <w:t>expenses</w:t>
      </w:r>
      <w:r w:rsidRPr="00A241F5">
        <w:t xml:space="preserve"> means any of the following items—</w:t>
      </w:r>
    </w:p>
    <w:p w14:paraId="47F8FA0C" w14:textId="77777777" w:rsidR="002125E0" w:rsidRPr="00A241F5" w:rsidRDefault="002125E0" w:rsidP="002125E0">
      <w:pPr>
        <w:pStyle w:val="a02400-000Parae"/>
      </w:pPr>
      <w:r w:rsidRPr="00A241F5">
        <w:tab/>
        <w:t>(</w:t>
      </w:r>
      <w:r w:rsidRPr="00A241F5">
        <w:rPr>
          <w:lang w:eastAsia="zh-HK"/>
        </w:rPr>
        <w:t>a)</w:t>
      </w:r>
      <w:r w:rsidRPr="00A241F5">
        <w:rPr>
          <w:lang w:eastAsia="zh-HK"/>
        </w:rPr>
        <w:tab/>
      </w:r>
      <w:r w:rsidRPr="00A241F5">
        <w:t>disbursements incurred by the lawyer, or directly by the client of the lawyer in a matter;</w:t>
      </w:r>
    </w:p>
    <w:p w14:paraId="359D87A2" w14:textId="77777777" w:rsidR="002125E0" w:rsidRPr="00A241F5" w:rsidRDefault="002125E0" w:rsidP="002125E0">
      <w:pPr>
        <w:pStyle w:val="a02400-000Parae"/>
      </w:pPr>
      <w:r w:rsidRPr="00A241F5">
        <w:tab/>
        <w:t>(</w:t>
      </w:r>
      <w:r w:rsidRPr="00A241F5">
        <w:rPr>
          <w:lang w:eastAsia="zh-HK"/>
        </w:rPr>
        <w:t>b)</w:t>
      </w:r>
      <w:r w:rsidRPr="00A241F5">
        <w:rPr>
          <w:lang w:eastAsia="zh-HK"/>
        </w:rPr>
        <w:tab/>
      </w:r>
      <w:r w:rsidRPr="00A241F5">
        <w:t xml:space="preserve">any </w:t>
      </w:r>
      <w:r w:rsidRPr="00A241F5">
        <w:rPr>
          <w:rStyle w:val="DefinedTerme"/>
        </w:rPr>
        <w:t>legal expenses insurance</w:t>
      </w:r>
      <w:r w:rsidRPr="00A241F5">
        <w:rPr>
          <w:b/>
        </w:rPr>
        <w:t xml:space="preserve"> </w:t>
      </w:r>
      <w:r w:rsidRPr="00A241F5">
        <w:t>premium incurred by the client;</w:t>
      </w:r>
    </w:p>
    <w:p w14:paraId="7769338E" w14:textId="77777777" w:rsidR="002125E0" w:rsidRPr="00A241F5" w:rsidRDefault="002125E0" w:rsidP="002125E0">
      <w:pPr>
        <w:pStyle w:val="a02300-000Definitione"/>
      </w:pPr>
      <w:r w:rsidRPr="00A241F5">
        <w:rPr>
          <w:rStyle w:val="DefinedTerme"/>
        </w:rPr>
        <w:t>financial benefit</w:t>
      </w:r>
      <w:r w:rsidRPr="00A241F5">
        <w:t>—</w:t>
      </w:r>
    </w:p>
    <w:p w14:paraId="19EBC965" w14:textId="77777777" w:rsidR="002125E0" w:rsidRPr="00A241F5" w:rsidRDefault="002125E0" w:rsidP="002125E0">
      <w:pPr>
        <w:pStyle w:val="a02400-000Parae"/>
        <w:tabs>
          <w:tab w:val="left" w:pos="4452"/>
        </w:tabs>
      </w:pPr>
      <w:r w:rsidRPr="00A241F5">
        <w:tab/>
        <w:t>(a)</w:t>
      </w:r>
      <w:r w:rsidRPr="00A241F5">
        <w:tab/>
        <w:t>means money or money's worth; but</w:t>
      </w:r>
    </w:p>
    <w:p w14:paraId="0599F672" w14:textId="77777777" w:rsidR="002125E0" w:rsidRPr="00A241F5" w:rsidRDefault="002125E0" w:rsidP="002125E0">
      <w:pPr>
        <w:pStyle w:val="a02400-000Parae"/>
      </w:pPr>
      <w:r w:rsidRPr="00A241F5">
        <w:tab/>
        <w:t xml:space="preserve"> (b)</w:t>
      </w:r>
      <w:r w:rsidRPr="00A241F5">
        <w:tab/>
        <w:t>does not include—</w:t>
      </w:r>
    </w:p>
    <w:p w14:paraId="7E902337" w14:textId="77777777" w:rsidR="002125E0" w:rsidRPr="00A241F5" w:rsidRDefault="002125E0" w:rsidP="002125E0">
      <w:pPr>
        <w:pStyle w:val="a02500-000Subparae"/>
      </w:pPr>
      <w:r w:rsidRPr="00A241F5">
        <w:tab/>
        <w:t>(i)</w:t>
      </w:r>
      <w:r w:rsidRPr="00A241F5">
        <w:tab/>
        <w:t>any sum awarded in respect of lawyer’s costs; and</w:t>
      </w:r>
    </w:p>
    <w:p w14:paraId="7AA3F0D5" w14:textId="77777777" w:rsidR="002125E0" w:rsidRPr="00A241F5" w:rsidRDefault="002125E0" w:rsidP="002125E0">
      <w:pPr>
        <w:pStyle w:val="a02500-000Subparae"/>
        <w:rPr>
          <w:rStyle w:val="DefinedTerme"/>
        </w:rPr>
      </w:pPr>
      <w:r w:rsidRPr="00A241F5">
        <w:tab/>
        <w:t>(ii)</w:t>
      </w:r>
      <w:r w:rsidRPr="00A241F5">
        <w:tab/>
        <w:t>any sum awarded in respect of expenses;</w:t>
      </w:r>
    </w:p>
    <w:p w14:paraId="7E5B2552" w14:textId="77777777" w:rsidR="002125E0" w:rsidRPr="00A241F5" w:rsidRDefault="002125E0" w:rsidP="002125E0">
      <w:pPr>
        <w:pStyle w:val="a02300-000Definitione"/>
      </w:pPr>
      <w:r w:rsidRPr="00A241F5">
        <w:rPr>
          <w:rStyle w:val="DefinedTerme"/>
        </w:rPr>
        <w:t>hybrid damages-based agreement</w:t>
      </w:r>
      <w:r w:rsidRPr="00A241F5">
        <w:t>—see section 98ZD;</w:t>
      </w:r>
    </w:p>
    <w:p w14:paraId="09B3A411" w14:textId="77777777" w:rsidR="002125E0" w:rsidRPr="00A241F5" w:rsidRDefault="002125E0" w:rsidP="002125E0">
      <w:pPr>
        <w:pStyle w:val="a02300-000Definitione"/>
      </w:pPr>
      <w:r w:rsidRPr="00A241F5">
        <w:rPr>
          <w:rStyle w:val="DefinedTerme"/>
        </w:rPr>
        <w:t>lawyer</w:t>
      </w:r>
      <w:r w:rsidRPr="00A241F5">
        <w:t xml:space="preserve"> means—</w:t>
      </w:r>
    </w:p>
    <w:p w14:paraId="4BA9DB98" w14:textId="77777777" w:rsidR="002125E0" w:rsidRPr="00A241F5" w:rsidRDefault="002125E0" w:rsidP="002125E0">
      <w:pPr>
        <w:pStyle w:val="a02400-000Parae"/>
      </w:pPr>
      <w:r w:rsidRPr="00A241F5">
        <w:tab/>
        <w:t>(a)</w:t>
      </w:r>
      <w:r w:rsidRPr="00A241F5">
        <w:tab/>
        <w:t>a person who is enrolled on the roll of barristers kept under section 29 of Cap. 159;</w:t>
      </w:r>
    </w:p>
    <w:p w14:paraId="4E5A31A1" w14:textId="77777777" w:rsidR="002125E0" w:rsidRPr="00A241F5" w:rsidRDefault="002125E0" w:rsidP="002125E0">
      <w:pPr>
        <w:pStyle w:val="a02400-000Parae"/>
      </w:pPr>
      <w:r w:rsidRPr="00A241F5">
        <w:tab/>
        <w:t>(b)</w:t>
      </w:r>
      <w:r w:rsidRPr="00A241F5">
        <w:tab/>
        <w:t>a person who is enrolled on the roll of solicitors kept under section 5 of Cap. 159;</w:t>
      </w:r>
    </w:p>
    <w:p w14:paraId="752EDE67" w14:textId="77777777" w:rsidR="002125E0" w:rsidRPr="00A241F5" w:rsidRDefault="002125E0" w:rsidP="002125E0">
      <w:pPr>
        <w:pStyle w:val="a02400-000Parae"/>
      </w:pPr>
      <w:r w:rsidRPr="00A241F5">
        <w:tab/>
        <w:t>(c)</w:t>
      </w:r>
      <w:r w:rsidRPr="00A241F5">
        <w:tab/>
        <w:t>a person who is qualified to practise the law of a jurisdiction other than Hong Kong, including a foreign lawyer as defined by section 2(1) of Cap. 159;</w:t>
      </w:r>
    </w:p>
    <w:p w14:paraId="22170B5B" w14:textId="77777777" w:rsidR="002125E0" w:rsidRPr="00A241F5" w:rsidRDefault="002125E0" w:rsidP="002125E0">
      <w:pPr>
        <w:pStyle w:val="a02300-000Definitione"/>
      </w:pPr>
      <w:r w:rsidRPr="00A241F5">
        <w:rPr>
          <w:rStyle w:val="DefinedTerme"/>
        </w:rPr>
        <w:t>legal expenses insurance</w:t>
      </w:r>
      <w:r w:rsidRPr="00A241F5">
        <w:t xml:space="preserve"> means a contract of insurance that provides reimbursement to a client or a lawyer for some or all of the legal fees, adverse costs or disbursements incurred in respect of a matter;</w:t>
      </w:r>
    </w:p>
    <w:p w14:paraId="691B784D" w14:textId="77777777" w:rsidR="002125E0" w:rsidRPr="00A241F5" w:rsidRDefault="002125E0" w:rsidP="002125E0">
      <w:pPr>
        <w:pStyle w:val="a02300-000Definitione"/>
      </w:pPr>
      <w:r w:rsidRPr="00A241F5">
        <w:rPr>
          <w:b/>
          <w:bCs/>
          <w:i/>
          <w:iCs/>
          <w:color w:val="221E1F"/>
        </w:rPr>
        <w:t>mediation proceedings</w:t>
      </w:r>
      <w:r w:rsidRPr="00A241F5">
        <w:rPr>
          <w:color w:val="221E1F"/>
        </w:rPr>
        <w:t xml:space="preserve"> means mediation proceedings referred to in section 32(3) or 33;</w:t>
      </w:r>
    </w:p>
    <w:p w14:paraId="5DE2FE6F" w14:textId="77777777" w:rsidR="002125E0" w:rsidRPr="00A241F5" w:rsidRDefault="002125E0" w:rsidP="002125E0">
      <w:pPr>
        <w:pStyle w:val="a02300-000Definitione"/>
      </w:pPr>
      <w:r w:rsidRPr="00A241F5">
        <w:rPr>
          <w:rStyle w:val="DefinedTerme"/>
        </w:rPr>
        <w:t>money or money’s worth</w:t>
      </w:r>
      <w:r w:rsidRPr="00A241F5">
        <w:t>—</w:t>
      </w:r>
    </w:p>
    <w:p w14:paraId="6847C7B5" w14:textId="77777777" w:rsidR="002125E0" w:rsidRPr="00A241F5" w:rsidRDefault="002125E0" w:rsidP="002125E0">
      <w:pPr>
        <w:pStyle w:val="a02400-000Parae"/>
      </w:pPr>
      <w:r w:rsidRPr="00A241F5">
        <w:lastRenderedPageBreak/>
        <w:tab/>
        <w:t>(a)</w:t>
      </w:r>
      <w:r w:rsidRPr="00A241F5">
        <w:tab/>
        <w:t>means any money, assets, security, tangible or intangible property, services, any amount owed under an award, settlement agreement or otherwise, and any other consideration reducible to a monetary value; and</w:t>
      </w:r>
    </w:p>
    <w:p w14:paraId="24C54D5D" w14:textId="77777777" w:rsidR="002125E0" w:rsidRPr="00A241F5" w:rsidRDefault="002125E0" w:rsidP="002125E0">
      <w:pPr>
        <w:pStyle w:val="a02400-000Parae"/>
      </w:pPr>
      <w:r w:rsidRPr="00A241F5">
        <w:tab/>
        <w:t>(</w:t>
      </w:r>
      <w:r w:rsidRPr="00A241F5">
        <w:rPr>
          <w:lang w:eastAsia="zh-HK"/>
        </w:rPr>
        <w:t>b)</w:t>
      </w:r>
      <w:r w:rsidRPr="00A241F5">
        <w:rPr>
          <w:lang w:eastAsia="zh-HK"/>
        </w:rPr>
        <w:tab/>
        <w:t>includes any avoidance or reduction of a potential liability;</w:t>
      </w:r>
    </w:p>
    <w:p w14:paraId="40359DC3" w14:textId="77777777" w:rsidR="002125E0" w:rsidRPr="00A241F5" w:rsidRDefault="002125E0" w:rsidP="002125E0">
      <w:pPr>
        <w:pStyle w:val="a02300-000Definitione"/>
      </w:pPr>
      <w:r w:rsidRPr="00A241F5">
        <w:rPr>
          <w:rStyle w:val="DefinedTerme"/>
        </w:rPr>
        <w:t>ORFS</w:t>
      </w:r>
      <w:r w:rsidRPr="00A241F5">
        <w:t xml:space="preserve"> means outcome related fee structure;</w:t>
      </w:r>
    </w:p>
    <w:p w14:paraId="63F2056C" w14:textId="77777777" w:rsidR="002125E0" w:rsidRPr="00A241F5" w:rsidRDefault="002125E0" w:rsidP="002125E0">
      <w:pPr>
        <w:pStyle w:val="a02300-000Definitione"/>
        <w:rPr>
          <w:u w:val="words"/>
        </w:rPr>
      </w:pPr>
      <w:r w:rsidRPr="00A241F5">
        <w:rPr>
          <w:rStyle w:val="DefinedTerme"/>
        </w:rPr>
        <w:t>ORFS agreement</w:t>
      </w:r>
      <w:r w:rsidRPr="00A241F5">
        <w:t xml:space="preserve"> means any of the following agreements made between a client and the lawyer of the client—</w:t>
      </w:r>
    </w:p>
    <w:p w14:paraId="56C6FA4B" w14:textId="77777777" w:rsidR="002125E0" w:rsidRPr="00A241F5" w:rsidRDefault="002125E0" w:rsidP="002125E0">
      <w:pPr>
        <w:tabs>
          <w:tab w:val="clear" w:pos="1418"/>
          <w:tab w:val="right" w:pos="1440"/>
        </w:tabs>
        <w:autoSpaceDE w:val="0"/>
        <w:autoSpaceDN w:val="0"/>
        <w:spacing w:line="260" w:lineRule="atLeast"/>
        <w:ind w:left="1680" w:hanging="1080"/>
        <w:rPr>
          <w:rFonts w:ascii="Times New Roman" w:hAnsi="Times New Roman"/>
          <w:color w:val="000000"/>
        </w:rPr>
      </w:pPr>
      <w:r w:rsidRPr="00A241F5">
        <w:rPr>
          <w:rFonts w:ascii="Times New Roman" w:hAnsi="Times New Roman"/>
        </w:rPr>
        <w:tab/>
      </w:r>
      <w:r w:rsidRPr="00A241F5">
        <w:rPr>
          <w:rFonts w:ascii="Times New Roman" w:hAnsi="Times New Roman"/>
          <w:color w:val="000000"/>
        </w:rPr>
        <w:t>(a)</w:t>
      </w:r>
      <w:r w:rsidRPr="00A241F5">
        <w:rPr>
          <w:rFonts w:ascii="Times New Roman" w:hAnsi="Times New Roman"/>
          <w:color w:val="000000"/>
        </w:rPr>
        <w:tab/>
        <w:t>a conditional fee agreement;</w:t>
      </w:r>
    </w:p>
    <w:p w14:paraId="2A7CE4F7" w14:textId="77777777" w:rsidR="002125E0" w:rsidRPr="00A241F5" w:rsidRDefault="002125E0" w:rsidP="002125E0">
      <w:pPr>
        <w:tabs>
          <w:tab w:val="clear" w:pos="1418"/>
          <w:tab w:val="right" w:pos="1440"/>
        </w:tabs>
        <w:autoSpaceDE w:val="0"/>
        <w:autoSpaceDN w:val="0"/>
        <w:spacing w:line="260" w:lineRule="atLeast"/>
        <w:ind w:left="1680" w:hanging="1080"/>
        <w:rPr>
          <w:rFonts w:ascii="Times New Roman" w:hAnsi="Times New Roman"/>
          <w:color w:val="000000"/>
        </w:rPr>
      </w:pPr>
      <w:r w:rsidRPr="00A241F5">
        <w:rPr>
          <w:rFonts w:ascii="Times New Roman" w:hAnsi="Times New Roman"/>
        </w:rPr>
        <w:tab/>
      </w:r>
      <w:r w:rsidRPr="00A241F5">
        <w:rPr>
          <w:rFonts w:ascii="Times New Roman" w:hAnsi="Times New Roman"/>
          <w:color w:val="000000"/>
        </w:rPr>
        <w:t>(b)</w:t>
      </w:r>
      <w:r w:rsidRPr="00A241F5">
        <w:rPr>
          <w:rFonts w:ascii="Times New Roman" w:hAnsi="Times New Roman"/>
          <w:color w:val="000000"/>
        </w:rPr>
        <w:tab/>
        <w:t>a damages-based agreement;</w:t>
      </w:r>
    </w:p>
    <w:p w14:paraId="1468A9C8" w14:textId="77777777" w:rsidR="002125E0" w:rsidRPr="00A241F5" w:rsidRDefault="002125E0" w:rsidP="002125E0">
      <w:pPr>
        <w:tabs>
          <w:tab w:val="clear" w:pos="1418"/>
          <w:tab w:val="right" w:pos="1440"/>
        </w:tabs>
        <w:autoSpaceDE w:val="0"/>
        <w:autoSpaceDN w:val="0"/>
        <w:spacing w:line="260" w:lineRule="atLeast"/>
        <w:ind w:left="1680" w:hanging="1080"/>
        <w:rPr>
          <w:rFonts w:ascii="Times New Roman" w:hAnsi="Times New Roman"/>
          <w:color w:val="000000"/>
        </w:rPr>
      </w:pPr>
      <w:r w:rsidRPr="00A241F5">
        <w:rPr>
          <w:rFonts w:ascii="Times New Roman" w:hAnsi="Times New Roman"/>
        </w:rPr>
        <w:tab/>
      </w:r>
      <w:r w:rsidRPr="00A241F5">
        <w:rPr>
          <w:rFonts w:ascii="Times New Roman" w:hAnsi="Times New Roman"/>
          <w:color w:val="000000"/>
        </w:rPr>
        <w:t>(c)</w:t>
      </w:r>
      <w:r w:rsidRPr="00A241F5">
        <w:rPr>
          <w:rFonts w:ascii="Times New Roman" w:hAnsi="Times New Roman"/>
          <w:color w:val="000000"/>
        </w:rPr>
        <w:tab/>
        <w:t>a hybrid damages-based agreement.</w:t>
      </w:r>
    </w:p>
    <w:p w14:paraId="0E460D2A" w14:textId="77777777" w:rsidR="002125E0" w:rsidRPr="00A241F5" w:rsidRDefault="002125E0" w:rsidP="00110013">
      <w:pPr>
        <w:pStyle w:val="a02200-000Subsectione"/>
        <w:ind w:left="1195" w:hanging="475"/>
        <w:rPr>
          <w:lang w:val="en-US"/>
        </w:rPr>
      </w:pPr>
      <w:r w:rsidRPr="00A241F5">
        <w:rPr>
          <w:lang w:val="en-US"/>
        </w:rPr>
        <w:tab/>
        <w:t>(2)</w:t>
      </w:r>
      <w:r w:rsidRPr="00A241F5">
        <w:rPr>
          <w:lang w:val="en-US"/>
        </w:rPr>
        <w:tab/>
        <w:t>In this Part, a reference to an ORFS agreement for arbitration is a reference to an ORFS agreement—</w:t>
      </w:r>
    </w:p>
    <w:p w14:paraId="3073BDE1" w14:textId="77777777" w:rsidR="002125E0" w:rsidRPr="00A241F5" w:rsidRDefault="002125E0" w:rsidP="002125E0">
      <w:pPr>
        <w:pStyle w:val="a02400-000Parae"/>
        <w:rPr>
          <w:lang w:val="en-US"/>
        </w:rPr>
      </w:pPr>
      <w:r w:rsidRPr="00A241F5">
        <w:rPr>
          <w:lang w:val="en-US"/>
        </w:rPr>
        <w:tab/>
        <w:t>(a)</w:t>
      </w:r>
      <w:r w:rsidRPr="00A241F5">
        <w:rPr>
          <w:lang w:val="en-US"/>
        </w:rPr>
        <w:tab/>
        <w:t>made between a client and the lawyer of the client for an arbitration; and</w:t>
      </w:r>
    </w:p>
    <w:p w14:paraId="63482E5D" w14:textId="77777777" w:rsidR="002125E0" w:rsidRPr="00A241F5" w:rsidRDefault="002125E0" w:rsidP="002125E0">
      <w:pPr>
        <w:pStyle w:val="a02400-000Parae"/>
        <w:rPr>
          <w:lang w:val="en-US"/>
        </w:rPr>
      </w:pPr>
      <w:r w:rsidRPr="00A241F5">
        <w:rPr>
          <w:lang w:val="en-US"/>
        </w:rPr>
        <w:tab/>
        <w:t>(b)</w:t>
      </w:r>
      <w:r w:rsidRPr="00A241F5">
        <w:rPr>
          <w:lang w:val="en-US"/>
        </w:rPr>
        <w:tab/>
        <w:t>made on or after the day on which this Part comes into operation.</w:t>
      </w:r>
    </w:p>
    <w:p w14:paraId="63278684" w14:textId="77777777" w:rsidR="002125E0" w:rsidRPr="00A241F5" w:rsidRDefault="002125E0" w:rsidP="00110013">
      <w:pPr>
        <w:pStyle w:val="a02200-000Subsectione"/>
        <w:ind w:left="1195" w:hanging="475"/>
        <w:rPr>
          <w:lang w:val="en-US" w:eastAsia="zh-HK"/>
        </w:rPr>
      </w:pPr>
      <w:r w:rsidRPr="00A241F5">
        <w:rPr>
          <w:lang w:val="en-US"/>
        </w:rPr>
        <w:tab/>
        <w:t>(3)</w:t>
      </w:r>
      <w:r w:rsidRPr="00A241F5">
        <w:rPr>
          <w:lang w:val="en-US" w:eastAsia="zh-HK"/>
        </w:rPr>
        <w:tab/>
        <w:t>To avoid doubt, an ORFS agreement for arbitration is not to be construed to include a funding agreement within the meaning of Part 10A.</w:t>
      </w:r>
    </w:p>
    <w:p w14:paraId="7E6062E5" w14:textId="77777777" w:rsidR="002125E0" w:rsidRPr="00A241F5" w:rsidRDefault="002125E0" w:rsidP="002125E0">
      <w:pPr>
        <w:pStyle w:val="a01700-000Sectionheadinge"/>
        <w:rPr>
          <w:i/>
        </w:rPr>
      </w:pPr>
      <w:bookmarkStart w:id="115" w:name="_Toc80614495"/>
      <w:r w:rsidRPr="00A241F5">
        <w:t>98ZB.</w:t>
      </w:r>
      <w:r w:rsidRPr="00A241F5">
        <w:tab/>
        <w:t xml:space="preserve">Meaning of </w:t>
      </w:r>
      <w:r w:rsidRPr="00A241F5">
        <w:rPr>
          <w:i/>
        </w:rPr>
        <w:t>conditional fee agreement</w:t>
      </w:r>
      <w:bookmarkEnd w:id="115"/>
    </w:p>
    <w:p w14:paraId="52BEEF70" w14:textId="77777777" w:rsidR="002125E0" w:rsidRPr="00A241F5" w:rsidRDefault="002125E0" w:rsidP="00110013">
      <w:pPr>
        <w:pStyle w:val="a02200-000Subsectione"/>
        <w:ind w:left="1195" w:hanging="475"/>
        <w:rPr>
          <w:lang w:val="en-US"/>
        </w:rPr>
      </w:pPr>
      <w:r w:rsidRPr="00A241F5">
        <w:rPr>
          <w:lang w:val="en-US"/>
        </w:rPr>
        <w:tab/>
        <w:t>(1)</w:t>
      </w:r>
      <w:r w:rsidRPr="00A241F5">
        <w:rPr>
          <w:lang w:val="en-US"/>
        </w:rPr>
        <w:tab/>
        <w:t xml:space="preserve">A conditional </w:t>
      </w:r>
      <w:r w:rsidRPr="00A241F5">
        <w:rPr>
          <w:lang w:val="en-US" w:eastAsia="zh-HK"/>
        </w:rPr>
        <w:t>fee</w:t>
      </w:r>
      <w:r w:rsidRPr="00A241F5">
        <w:rPr>
          <w:lang w:val="en-US"/>
        </w:rPr>
        <w:t xml:space="preserve"> agreement is an agreement, made between a client and the lawyer of the client for a matter, under which the lawyer agrees with the client to be paid a success fee only in the event of a successful outcome for the client in the matter.</w:t>
      </w:r>
    </w:p>
    <w:p w14:paraId="01F48C75" w14:textId="77777777" w:rsidR="002125E0" w:rsidRPr="00A241F5" w:rsidRDefault="002125E0" w:rsidP="00110013">
      <w:pPr>
        <w:pStyle w:val="a02200-000Subsectione"/>
        <w:ind w:left="1195" w:hanging="475"/>
        <w:rPr>
          <w:lang w:val="en-US"/>
        </w:rPr>
      </w:pPr>
      <w:r w:rsidRPr="00A241F5">
        <w:rPr>
          <w:lang w:val="en-US"/>
        </w:rPr>
        <w:tab/>
        <w:t>(2)</w:t>
      </w:r>
      <w:r w:rsidRPr="00A241F5">
        <w:rPr>
          <w:lang w:val="en-US"/>
        </w:rPr>
        <w:tab/>
        <w:t xml:space="preserve">In </w:t>
      </w:r>
      <w:r w:rsidRPr="00A241F5">
        <w:rPr>
          <w:lang w:val="en-US" w:eastAsia="zh-HK"/>
        </w:rPr>
        <w:t>subsection</w:t>
      </w:r>
      <w:r w:rsidRPr="00A241F5">
        <w:rPr>
          <w:lang w:val="en-US"/>
        </w:rPr>
        <w:t xml:space="preserve"> (1)—</w:t>
      </w:r>
    </w:p>
    <w:p w14:paraId="1DBD2625" w14:textId="77777777" w:rsidR="002125E0" w:rsidRPr="00A241F5" w:rsidRDefault="002125E0" w:rsidP="002125E0">
      <w:pPr>
        <w:pStyle w:val="a02300-000Definitione"/>
        <w:rPr>
          <w:bCs/>
          <w:color w:val="000000"/>
          <w:lang w:val="en-US"/>
        </w:rPr>
      </w:pPr>
      <w:r w:rsidRPr="00A241F5">
        <w:rPr>
          <w:rStyle w:val="DefinedTerme"/>
        </w:rPr>
        <w:t>success fee</w:t>
      </w:r>
      <w:r w:rsidRPr="00A241F5">
        <w:t xml:space="preserve"> means</w:t>
      </w:r>
      <w:r w:rsidRPr="00A241F5">
        <w:rPr>
          <w:bCs/>
          <w:color w:val="000000"/>
          <w:lang w:val="en-US"/>
        </w:rPr>
        <w:t xml:space="preserve"> a payment calculated by reference to the fee that the lawyer would charge the client for the matter if no ORFS agreement were made for the matter;</w:t>
      </w:r>
    </w:p>
    <w:p w14:paraId="7C6D1169" w14:textId="77777777" w:rsidR="002125E0" w:rsidRPr="00A241F5" w:rsidRDefault="002125E0" w:rsidP="002125E0">
      <w:pPr>
        <w:pStyle w:val="a02300-000Definitione"/>
      </w:pPr>
      <w:r w:rsidRPr="00A241F5">
        <w:rPr>
          <w:rStyle w:val="DefinedTerme"/>
        </w:rPr>
        <w:t xml:space="preserve">successful outcome, </w:t>
      </w:r>
      <w:r w:rsidRPr="00A241F5">
        <w:t>in relation to a matter—</w:t>
      </w:r>
    </w:p>
    <w:p w14:paraId="7F41F448" w14:textId="77777777" w:rsidR="002125E0" w:rsidRPr="00A241F5" w:rsidRDefault="002125E0" w:rsidP="002125E0">
      <w:pPr>
        <w:pStyle w:val="a02400-000Parae"/>
      </w:pPr>
      <w:r w:rsidRPr="00A241F5">
        <w:tab/>
        <w:t>(a)</w:t>
      </w:r>
      <w:r w:rsidRPr="00A241F5">
        <w:tab/>
        <w:t>means any outcome of the matter falling within the description of being successful as agreed to between the client and the lawyer of the client; and</w:t>
      </w:r>
    </w:p>
    <w:p w14:paraId="20457A33" w14:textId="77777777" w:rsidR="002125E0" w:rsidRPr="00A241F5" w:rsidRDefault="002125E0" w:rsidP="002125E0">
      <w:pPr>
        <w:pStyle w:val="a02400-000Parae"/>
      </w:pPr>
      <w:r w:rsidRPr="00A241F5">
        <w:tab/>
        <w:t>(b)</w:t>
      </w:r>
      <w:r w:rsidRPr="00A241F5">
        <w:tab/>
        <w:t>includes any financial benefit that is obtained by the client in the matter.</w:t>
      </w:r>
    </w:p>
    <w:p w14:paraId="246DBCBD" w14:textId="77777777" w:rsidR="002125E0" w:rsidRPr="00A241F5" w:rsidRDefault="002125E0" w:rsidP="002125E0">
      <w:pPr>
        <w:pStyle w:val="a01700-000Sectionheadinge"/>
        <w:rPr>
          <w:i/>
        </w:rPr>
      </w:pPr>
      <w:bookmarkStart w:id="116" w:name="_Toc80614496"/>
      <w:r w:rsidRPr="00A241F5">
        <w:t>98ZC.</w:t>
      </w:r>
      <w:r w:rsidRPr="00A241F5">
        <w:tab/>
        <w:t xml:space="preserve">Meaning of </w:t>
      </w:r>
      <w:r w:rsidRPr="00A241F5">
        <w:rPr>
          <w:i/>
        </w:rPr>
        <w:t>damages-based agreement</w:t>
      </w:r>
      <w:bookmarkEnd w:id="116"/>
    </w:p>
    <w:p w14:paraId="20EE59B5" w14:textId="77777777" w:rsidR="002125E0" w:rsidRPr="00A241F5" w:rsidRDefault="002125E0" w:rsidP="002125E0">
      <w:pPr>
        <w:pStyle w:val="a02100-000Sectiontextnosubsectione"/>
        <w:rPr>
          <w:lang w:val="en-US"/>
        </w:rPr>
      </w:pPr>
      <w:r w:rsidRPr="00A241F5">
        <w:rPr>
          <w:lang w:val="en-US"/>
        </w:rPr>
        <w:t>A damages-based agreement is an agreement, made between a client and the lawyer of the client for a matter, under which—</w:t>
      </w:r>
    </w:p>
    <w:p w14:paraId="72F42D52" w14:textId="77777777" w:rsidR="002125E0" w:rsidRPr="00A241F5" w:rsidRDefault="002125E0" w:rsidP="002125E0">
      <w:pPr>
        <w:pStyle w:val="a02400-000Parae"/>
        <w:rPr>
          <w:lang w:val="en-US"/>
        </w:rPr>
      </w:pPr>
      <w:r w:rsidRPr="00A241F5">
        <w:rPr>
          <w:lang w:val="en-US"/>
        </w:rPr>
        <w:tab/>
        <w:t>(a)</w:t>
      </w:r>
      <w:r w:rsidRPr="00A241F5">
        <w:rPr>
          <w:lang w:val="en-US"/>
        </w:rPr>
        <w:tab/>
        <w:t>the lawyer agrees with the client to be paid only in the event the client obtains a financial benefit in the matter (</w:t>
      </w:r>
      <w:r w:rsidRPr="00A241F5">
        <w:rPr>
          <w:b/>
          <w:i/>
          <w:lang w:val="en-US"/>
        </w:rPr>
        <w:t>DBA payment</w:t>
      </w:r>
      <w:r w:rsidRPr="00A241F5">
        <w:rPr>
          <w:lang w:val="en-US"/>
        </w:rPr>
        <w:t>); and</w:t>
      </w:r>
    </w:p>
    <w:p w14:paraId="1C7BA850" w14:textId="77777777" w:rsidR="002125E0" w:rsidRPr="00A241F5" w:rsidRDefault="002125E0" w:rsidP="002125E0">
      <w:pPr>
        <w:pStyle w:val="a02400-000Parae"/>
        <w:rPr>
          <w:lang w:val="en-US"/>
        </w:rPr>
      </w:pPr>
      <w:r w:rsidRPr="00A241F5">
        <w:rPr>
          <w:lang w:val="en-US"/>
        </w:rPr>
        <w:tab/>
        <w:t>(b)</w:t>
      </w:r>
      <w:r w:rsidRPr="00A241F5">
        <w:rPr>
          <w:lang w:val="en-US"/>
        </w:rPr>
        <w:tab/>
        <w:t>the DBA payment is calculated by reference to the financial benefit that is obtained by the client in the matter.</w:t>
      </w:r>
    </w:p>
    <w:p w14:paraId="4EF4D2EA" w14:textId="77777777" w:rsidR="002125E0" w:rsidRPr="00A241F5" w:rsidRDefault="002125E0" w:rsidP="002125E0">
      <w:pPr>
        <w:pStyle w:val="a01700-000Sectionheadinge"/>
      </w:pPr>
      <w:bookmarkStart w:id="117" w:name="_Toc80614497"/>
      <w:r w:rsidRPr="00A241F5">
        <w:t>98ZD.</w:t>
      </w:r>
      <w:r w:rsidRPr="00A241F5">
        <w:tab/>
        <w:t xml:space="preserve">Meaning of </w:t>
      </w:r>
      <w:r w:rsidRPr="00A241F5">
        <w:rPr>
          <w:i/>
        </w:rPr>
        <w:t>hybrid damages-based agreement</w:t>
      </w:r>
      <w:bookmarkEnd w:id="117"/>
    </w:p>
    <w:p w14:paraId="214C2A49" w14:textId="77777777" w:rsidR="002125E0" w:rsidRPr="00A241F5" w:rsidRDefault="002125E0" w:rsidP="002125E0">
      <w:pPr>
        <w:pStyle w:val="a02100-000Sectiontextnosubsectione"/>
        <w:rPr>
          <w:lang w:val="en-US"/>
        </w:rPr>
      </w:pPr>
      <w:r w:rsidRPr="00A241F5">
        <w:rPr>
          <w:lang w:val="en-US"/>
        </w:rPr>
        <w:t>A hybrid damages-based agreement is an agreement, made between a client and the lawyer of the client for a matter, under which the lawyer agrees with the client to be paid—</w:t>
      </w:r>
    </w:p>
    <w:p w14:paraId="01FEECBE" w14:textId="77777777" w:rsidR="002125E0" w:rsidRPr="00A241F5" w:rsidRDefault="002125E0" w:rsidP="002125E0">
      <w:pPr>
        <w:pStyle w:val="a02400-000Parae"/>
        <w:rPr>
          <w:lang w:val="en-US"/>
        </w:rPr>
      </w:pPr>
      <w:r w:rsidRPr="00A241F5">
        <w:rPr>
          <w:lang w:val="en-US"/>
        </w:rPr>
        <w:tab/>
        <w:t>(a)</w:t>
      </w:r>
      <w:r w:rsidRPr="00A241F5">
        <w:rPr>
          <w:lang w:val="en-US"/>
        </w:rPr>
        <w:tab/>
        <w:t>in the event the client obtains a financial benefit in the matter—a payment calculated by reference to the financial benefit; and</w:t>
      </w:r>
    </w:p>
    <w:p w14:paraId="2BCCEDAC" w14:textId="77777777" w:rsidR="002125E0" w:rsidRPr="00A241F5" w:rsidRDefault="002125E0" w:rsidP="002125E0">
      <w:pPr>
        <w:pStyle w:val="a02400-000Parae"/>
        <w:rPr>
          <w:lang w:val="en"/>
        </w:rPr>
      </w:pPr>
      <w:r w:rsidRPr="00A241F5">
        <w:rPr>
          <w:lang w:val="en-US"/>
        </w:rPr>
        <w:tab/>
        <w:t>(b)</w:t>
      </w:r>
      <w:r w:rsidRPr="00A241F5">
        <w:rPr>
          <w:lang w:val="en-US"/>
        </w:rPr>
        <w:tab/>
        <w:t>a fee, usually calculated at a discount, for the legal services rendered by the lawyer for the client during the course of the matter.</w:t>
      </w:r>
    </w:p>
    <w:p w14:paraId="6FC69F40" w14:textId="77777777" w:rsidR="002125E0" w:rsidRPr="00A241F5" w:rsidRDefault="002125E0" w:rsidP="002125E0">
      <w:pPr>
        <w:pStyle w:val="a01400-000Divheadinge"/>
        <w:ind w:left="960" w:hanging="480"/>
        <w:rPr>
          <w:lang w:val="en-US" w:eastAsia="zh-HK"/>
        </w:rPr>
      </w:pPr>
      <w:bookmarkStart w:id="118" w:name="_Toc77268295"/>
      <w:bookmarkStart w:id="119" w:name="_Toc77268334"/>
      <w:bookmarkStart w:id="120" w:name="_Toc78208207"/>
      <w:bookmarkStart w:id="121" w:name="_Toc78795535"/>
      <w:bookmarkStart w:id="122" w:name="_Toc78795658"/>
      <w:bookmarkStart w:id="123" w:name="_Toc79420762"/>
      <w:bookmarkStart w:id="124" w:name="_Toc79595056"/>
      <w:bookmarkStart w:id="125" w:name="_Toc79595094"/>
      <w:bookmarkStart w:id="126" w:name="_Toc80373673"/>
      <w:bookmarkStart w:id="127" w:name="_Toc80373740"/>
      <w:bookmarkStart w:id="128" w:name="_Toc80373985"/>
      <w:bookmarkStart w:id="129" w:name="_Toc80614498"/>
      <w:r w:rsidRPr="00A241F5">
        <w:rPr>
          <w:lang w:val="en-US"/>
        </w:rPr>
        <w:lastRenderedPageBreak/>
        <w:t xml:space="preserve">Division 3—ORFS Agreements for Arbitration Not Prohibited </w:t>
      </w:r>
      <w:r w:rsidRPr="00A241F5">
        <w:rPr>
          <w:lang w:val="en-US" w:eastAsia="zh-HK"/>
        </w:rPr>
        <w:t>by Particular Common Law Offences or Tort</w:t>
      </w:r>
      <w:bookmarkEnd w:id="118"/>
      <w:bookmarkEnd w:id="119"/>
      <w:bookmarkEnd w:id="120"/>
      <w:bookmarkEnd w:id="121"/>
      <w:bookmarkEnd w:id="122"/>
      <w:bookmarkEnd w:id="123"/>
      <w:bookmarkEnd w:id="124"/>
      <w:bookmarkEnd w:id="125"/>
      <w:bookmarkEnd w:id="126"/>
      <w:bookmarkEnd w:id="127"/>
      <w:bookmarkEnd w:id="128"/>
      <w:bookmarkEnd w:id="129"/>
    </w:p>
    <w:p w14:paraId="31D83AD5" w14:textId="77777777" w:rsidR="002125E0" w:rsidRPr="00A241F5" w:rsidRDefault="002125E0" w:rsidP="002125E0">
      <w:pPr>
        <w:pStyle w:val="a01700-000Sectionheadinge"/>
      </w:pPr>
      <w:bookmarkStart w:id="130" w:name="_Toc79420763"/>
      <w:bookmarkStart w:id="131" w:name="_Toc80614499"/>
      <w:r w:rsidRPr="00A241F5">
        <w:t>98ZE.</w:t>
      </w:r>
      <w:r w:rsidRPr="00A241F5">
        <w:tab/>
        <w:t>Particular common law offences do not apply</w:t>
      </w:r>
      <w:bookmarkEnd w:id="130"/>
      <w:bookmarkEnd w:id="131"/>
    </w:p>
    <w:p w14:paraId="4F55DC76" w14:textId="77777777" w:rsidR="002125E0" w:rsidRPr="00A241F5" w:rsidRDefault="002125E0" w:rsidP="002125E0">
      <w:pPr>
        <w:pStyle w:val="a02100-000Sectiontextnosubsectione"/>
      </w:pPr>
      <w:r w:rsidRPr="00A241F5">
        <w:t>The common law offences of maintenance (including the common law offence of champerty) and of being a common barrator do not apply in relation to any ORFS agreement for arbitration.</w:t>
      </w:r>
    </w:p>
    <w:p w14:paraId="2BF787F7" w14:textId="77777777" w:rsidR="002125E0" w:rsidRPr="00A241F5" w:rsidRDefault="002125E0" w:rsidP="002125E0">
      <w:pPr>
        <w:pStyle w:val="a01700-000Sectionheadinge"/>
      </w:pPr>
      <w:bookmarkStart w:id="132" w:name="_Toc79420764"/>
      <w:bookmarkStart w:id="133" w:name="_Toc80614500"/>
      <w:r w:rsidRPr="00A241F5">
        <w:t>98ZF.</w:t>
      </w:r>
      <w:r w:rsidRPr="00A241F5">
        <w:tab/>
        <w:t>Particular tort does not apply</w:t>
      </w:r>
      <w:bookmarkEnd w:id="132"/>
      <w:bookmarkEnd w:id="133"/>
    </w:p>
    <w:p w14:paraId="5227D430" w14:textId="77777777" w:rsidR="002125E0" w:rsidRPr="00A241F5" w:rsidRDefault="002125E0" w:rsidP="002125E0">
      <w:pPr>
        <w:pStyle w:val="a02100-000Sectiontextnosubsectione"/>
      </w:pPr>
      <w:r w:rsidRPr="00A241F5">
        <w:t>The tort of maintenance (including the tort of champerty) does not apply in relation to any ORFS agreement for arbitration.</w:t>
      </w:r>
    </w:p>
    <w:p w14:paraId="5D041DE3" w14:textId="77777777" w:rsidR="002125E0" w:rsidRPr="00A241F5" w:rsidRDefault="002125E0" w:rsidP="002125E0">
      <w:pPr>
        <w:pStyle w:val="a01700-000Sectionheadinge"/>
      </w:pPr>
      <w:bookmarkStart w:id="134" w:name="_Toc79420765"/>
      <w:bookmarkStart w:id="135" w:name="_Toc80614501"/>
      <w:r w:rsidRPr="00A241F5">
        <w:t>98ZG.</w:t>
      </w:r>
      <w:r w:rsidRPr="00A241F5">
        <w:tab/>
        <w:t>Other illegality not affected</w:t>
      </w:r>
      <w:bookmarkEnd w:id="134"/>
      <w:bookmarkEnd w:id="135"/>
    </w:p>
    <w:p w14:paraId="01FB6F40" w14:textId="77777777" w:rsidR="002125E0" w:rsidRPr="00A241F5" w:rsidRDefault="002125E0" w:rsidP="002125E0">
      <w:pPr>
        <w:pStyle w:val="a02100-000Sectiontextnosubsectione"/>
        <w:rPr>
          <w:b/>
          <w:bCs/>
        </w:rPr>
      </w:pPr>
      <w:r w:rsidRPr="00A241F5">
        <w:t>Sections 98ZE and 98ZF do not affect any rule of law as to the cases in which a contract is to be treated as contrary to public policy or otherwise illegal.</w:t>
      </w:r>
    </w:p>
    <w:p w14:paraId="25E79F4D" w14:textId="77777777" w:rsidR="002125E0" w:rsidRPr="00A241F5" w:rsidRDefault="002125E0" w:rsidP="002125E0">
      <w:pPr>
        <w:pStyle w:val="a01700-000Sectionheadinge"/>
      </w:pPr>
      <w:bookmarkStart w:id="136" w:name="_Toc79420766"/>
      <w:bookmarkStart w:id="137" w:name="_Toc80614502"/>
      <w:r w:rsidRPr="00A241F5">
        <w:t>98ZH.</w:t>
      </w:r>
      <w:r w:rsidRPr="00A241F5">
        <w:tab/>
        <w:t>Limited application of Part 10B for non-Hong Kong arbitration</w:t>
      </w:r>
      <w:bookmarkEnd w:id="136"/>
      <w:bookmarkEnd w:id="137"/>
    </w:p>
    <w:p w14:paraId="41D71787" w14:textId="77777777" w:rsidR="002125E0" w:rsidRPr="00A241F5" w:rsidRDefault="002125E0" w:rsidP="002125E0">
      <w:pPr>
        <w:pStyle w:val="a02100-000Sectiontextnosubsectione"/>
      </w:pPr>
      <w:r w:rsidRPr="00A241F5">
        <w:t>Despite section 5, this Part applies in relation to an arbitration for which the place of arbitration is outside Hong Kong or there is no place of arbitration as if the place of arbitration were in Hong Kong.</w:t>
      </w:r>
    </w:p>
    <w:p w14:paraId="73AE7C9E" w14:textId="77777777" w:rsidR="002125E0" w:rsidRPr="00A241F5" w:rsidRDefault="002125E0" w:rsidP="002125E0">
      <w:pPr>
        <w:pStyle w:val="a01400-000Divheadinge"/>
        <w:ind w:left="960" w:hanging="480"/>
        <w:rPr>
          <w:lang w:val="en-US"/>
        </w:rPr>
      </w:pPr>
      <w:bookmarkStart w:id="138" w:name="_Toc72512124"/>
      <w:bookmarkStart w:id="139" w:name="_Toc77268300"/>
      <w:bookmarkStart w:id="140" w:name="_Toc77268339"/>
      <w:bookmarkStart w:id="141" w:name="_Toc78208212"/>
      <w:bookmarkStart w:id="142" w:name="_Toc78795540"/>
      <w:bookmarkStart w:id="143" w:name="_Toc78795663"/>
      <w:bookmarkStart w:id="144" w:name="_Toc79420767"/>
      <w:bookmarkStart w:id="145" w:name="_Toc79595061"/>
      <w:bookmarkStart w:id="146" w:name="_Toc79595099"/>
      <w:bookmarkStart w:id="147" w:name="_Toc80373678"/>
      <w:bookmarkStart w:id="148" w:name="_Toc80373745"/>
      <w:bookmarkStart w:id="149" w:name="_Toc80373990"/>
      <w:bookmarkStart w:id="150" w:name="_Toc80614503"/>
      <w:r w:rsidRPr="00A241F5">
        <w:rPr>
          <w:lang w:val="en-US"/>
        </w:rPr>
        <w:t xml:space="preserve">Division </w:t>
      </w:r>
      <w:bookmarkEnd w:id="138"/>
      <w:r w:rsidRPr="00A241F5">
        <w:rPr>
          <w:lang w:val="en-US"/>
        </w:rPr>
        <w:t>4—</w:t>
      </w:r>
      <w:bookmarkStart w:id="151" w:name="_Toc72511727"/>
      <w:bookmarkStart w:id="152" w:name="_Toc72511746"/>
      <w:bookmarkStart w:id="153" w:name="_Toc72511894"/>
      <w:bookmarkStart w:id="154" w:name="_Toc72512125"/>
      <w:r w:rsidRPr="00A241F5">
        <w:rPr>
          <w:lang w:val="en-US"/>
        </w:rPr>
        <w:t>General Provisions for ORFS Agreements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07EFACCB" w14:textId="77777777" w:rsidR="002125E0" w:rsidRPr="00A241F5" w:rsidRDefault="002125E0" w:rsidP="002125E0">
      <w:pPr>
        <w:pStyle w:val="a01700-000Sectionheadinge"/>
        <w:rPr>
          <w:lang w:val="en-US"/>
        </w:rPr>
      </w:pPr>
      <w:bookmarkStart w:id="155" w:name="_Toc72512126"/>
      <w:bookmarkStart w:id="156" w:name="_Toc79420768"/>
      <w:bookmarkStart w:id="157" w:name="_Toc80614504"/>
      <w:r w:rsidRPr="00A241F5">
        <w:rPr>
          <w:lang w:val="en-US"/>
        </w:rPr>
        <w:t>98ZI.</w:t>
      </w:r>
      <w:r w:rsidRPr="00A241F5">
        <w:rPr>
          <w:lang w:val="en-US"/>
        </w:rPr>
        <w:tab/>
        <w:t xml:space="preserve">Application of </w:t>
      </w:r>
      <w:bookmarkEnd w:id="155"/>
      <w:r w:rsidRPr="00A241F5">
        <w:rPr>
          <w:lang w:val="en-US"/>
        </w:rPr>
        <w:t>Division</w:t>
      </w:r>
      <w:bookmarkEnd w:id="156"/>
      <w:r w:rsidRPr="00A241F5">
        <w:rPr>
          <w:lang w:val="en-US"/>
        </w:rPr>
        <w:t xml:space="preserve"> 4</w:t>
      </w:r>
      <w:bookmarkEnd w:id="157"/>
    </w:p>
    <w:p w14:paraId="10C490BC" w14:textId="77777777" w:rsidR="002125E0" w:rsidRPr="00A241F5" w:rsidRDefault="002125E0" w:rsidP="002125E0">
      <w:pPr>
        <w:pStyle w:val="a02100-000Sectiontextnosubsectione"/>
        <w:tabs>
          <w:tab w:val="clear" w:pos="1418"/>
          <w:tab w:val="left" w:pos="1440"/>
        </w:tabs>
      </w:pPr>
      <w:r w:rsidRPr="00A241F5">
        <w:t>This Division applies in relation to any ORFS agreement for arbitration.</w:t>
      </w:r>
    </w:p>
    <w:p w14:paraId="5FF13D7C" w14:textId="77777777" w:rsidR="002125E0" w:rsidRPr="00A241F5" w:rsidRDefault="002125E0" w:rsidP="002125E0">
      <w:pPr>
        <w:pStyle w:val="a01700-000Sectionheadinge"/>
        <w:rPr>
          <w:lang w:val="en-US"/>
        </w:rPr>
      </w:pPr>
      <w:bookmarkStart w:id="158" w:name="_Toc72512127"/>
      <w:bookmarkStart w:id="159" w:name="_Toc79420769"/>
      <w:bookmarkStart w:id="160" w:name="_Toc80614505"/>
      <w:r w:rsidRPr="00A241F5">
        <w:rPr>
          <w:lang w:val="en-US"/>
        </w:rPr>
        <w:t>98ZJ.</w:t>
      </w:r>
      <w:r w:rsidRPr="00A241F5">
        <w:rPr>
          <w:lang w:val="en-US"/>
        </w:rPr>
        <w:tab/>
        <w:t>Validity and enforceability of ORFS agreements</w:t>
      </w:r>
      <w:bookmarkEnd w:id="158"/>
      <w:r w:rsidRPr="00A241F5">
        <w:rPr>
          <w:lang w:val="en-US"/>
        </w:rPr>
        <w:t xml:space="preserve"> for arbitration</w:t>
      </w:r>
      <w:bookmarkEnd w:id="159"/>
      <w:bookmarkEnd w:id="160"/>
    </w:p>
    <w:p w14:paraId="44D098EF" w14:textId="77777777" w:rsidR="002125E0" w:rsidRPr="00A241F5" w:rsidRDefault="002125E0" w:rsidP="00110013">
      <w:pPr>
        <w:pStyle w:val="a02200-000Subsectione"/>
        <w:ind w:left="1195" w:hanging="475"/>
      </w:pPr>
      <w:r w:rsidRPr="00A241F5">
        <w:tab/>
        <w:t>(1)</w:t>
      </w:r>
      <w:r w:rsidRPr="00A241F5">
        <w:tab/>
        <w:t>An ORFS agreement for arbitration that meets—</w:t>
      </w:r>
    </w:p>
    <w:p w14:paraId="1187EF54" w14:textId="77777777" w:rsidR="002125E0" w:rsidRPr="00A241F5" w:rsidRDefault="002125E0" w:rsidP="002125E0">
      <w:pPr>
        <w:pStyle w:val="a02400-000Parae"/>
        <w:rPr>
          <w:b/>
          <w:bCs/>
          <w:u w:val="single"/>
        </w:rPr>
      </w:pPr>
      <w:r w:rsidRPr="00A241F5">
        <w:tab/>
        <w:t>(a)</w:t>
      </w:r>
      <w:r w:rsidRPr="00A241F5">
        <w:tab/>
        <w:t>all general conditions specified in the rules; and</w:t>
      </w:r>
    </w:p>
    <w:p w14:paraId="26F52F93" w14:textId="77777777" w:rsidR="002125E0" w:rsidRPr="00A241F5" w:rsidRDefault="002125E0" w:rsidP="002125E0">
      <w:pPr>
        <w:pStyle w:val="a02400-000Parae"/>
      </w:pPr>
      <w:r w:rsidRPr="00A241F5">
        <w:tab/>
        <w:t>(b)</w:t>
      </w:r>
      <w:r w:rsidRPr="00A241F5">
        <w:tab/>
        <w:t>all specific conditions specified in the rules for the kind of ORFS agreement to which the agreement belongs,</w:t>
      </w:r>
    </w:p>
    <w:p w14:paraId="272EEDE0" w14:textId="77777777" w:rsidR="002125E0" w:rsidRPr="00A241F5" w:rsidRDefault="002125E0" w:rsidP="002125E0">
      <w:pPr>
        <w:pStyle w:val="a0220s-000Sandwichforsubsectione"/>
      </w:pPr>
      <w:r w:rsidRPr="00A241F5">
        <w:t>is not void or unenforceable only because of its being an ORFS agreement for arbitration.</w:t>
      </w:r>
    </w:p>
    <w:p w14:paraId="4E686B30" w14:textId="77777777" w:rsidR="002125E0" w:rsidRPr="00A241F5" w:rsidRDefault="002125E0" w:rsidP="00110013">
      <w:pPr>
        <w:pStyle w:val="a02200-000Subsectione"/>
        <w:ind w:left="1195" w:hanging="475"/>
      </w:pPr>
      <w:r w:rsidRPr="00A241F5">
        <w:tab/>
        <w:t>(2)</w:t>
      </w:r>
      <w:r w:rsidRPr="00A241F5">
        <w:tab/>
        <w:t>In this section—</w:t>
      </w:r>
    </w:p>
    <w:p w14:paraId="16E4EEDA" w14:textId="77777777" w:rsidR="002125E0" w:rsidRPr="00A241F5" w:rsidRDefault="002125E0" w:rsidP="002125E0">
      <w:pPr>
        <w:pStyle w:val="a02300-000Definitione"/>
        <w:rPr>
          <w:shd w:val="clear" w:color="auto" w:fill="FFFFFF" w:themeFill="background1"/>
        </w:rPr>
      </w:pPr>
      <w:r w:rsidRPr="00A241F5">
        <w:rPr>
          <w:rStyle w:val="DefinedTerme"/>
          <w:shd w:val="clear" w:color="auto" w:fill="FFFFFF" w:themeFill="background1"/>
        </w:rPr>
        <w:t>rules</w:t>
      </w:r>
      <w:r w:rsidRPr="00A241F5">
        <w:rPr>
          <w:shd w:val="clear" w:color="auto" w:fill="FFFFFF" w:themeFill="background1"/>
        </w:rPr>
        <w:t xml:space="preserve"> means rules made by the advisory body under section 98ZL.</w:t>
      </w:r>
    </w:p>
    <w:p w14:paraId="67ABCF93" w14:textId="77777777" w:rsidR="002125E0" w:rsidRPr="00A241F5" w:rsidRDefault="002125E0" w:rsidP="002125E0">
      <w:pPr>
        <w:pStyle w:val="a01700-000Sectionheadinge"/>
        <w:rPr>
          <w:b w:val="0"/>
          <w:bCs/>
        </w:rPr>
      </w:pPr>
      <w:bookmarkStart w:id="161" w:name="_Toc72512130"/>
      <w:bookmarkStart w:id="162" w:name="_Toc79420770"/>
      <w:bookmarkStart w:id="163" w:name="_Toc80614506"/>
      <w:r w:rsidRPr="00A241F5">
        <w:t>98ZK.</w:t>
      </w:r>
      <w:r w:rsidRPr="00A241F5">
        <w:tab/>
        <w:t>ORFS agreement for arbitration void and unenforceable to the extent relating to personal injuries claim</w:t>
      </w:r>
      <w:bookmarkEnd w:id="161"/>
      <w:bookmarkEnd w:id="162"/>
      <w:bookmarkEnd w:id="163"/>
      <w:r w:rsidRPr="00A241F5">
        <w:rPr>
          <w:b w:val="0"/>
          <w:bCs/>
        </w:rPr>
        <w:t xml:space="preserve"> </w:t>
      </w:r>
    </w:p>
    <w:p w14:paraId="454724F3" w14:textId="77777777" w:rsidR="002125E0" w:rsidRPr="00A241F5" w:rsidRDefault="002125E0" w:rsidP="00110013">
      <w:pPr>
        <w:pStyle w:val="a02200-000Subsectione"/>
        <w:ind w:left="1195" w:hanging="475"/>
      </w:pPr>
      <w:r w:rsidRPr="00A241F5">
        <w:tab/>
        <w:t>(1)</w:t>
      </w:r>
      <w:r w:rsidRPr="00A241F5">
        <w:tab/>
        <w:t>Despite section 98ZJ, an ORFS agreement for arbitration is void and unenforceable to the extent that it relates to a personal injuries claim.</w:t>
      </w:r>
    </w:p>
    <w:p w14:paraId="5561635B" w14:textId="77777777" w:rsidR="002125E0" w:rsidRPr="00A241F5" w:rsidRDefault="002125E0" w:rsidP="00110013">
      <w:pPr>
        <w:pStyle w:val="a02200-000Subsectione"/>
        <w:ind w:left="1195" w:hanging="475"/>
      </w:pPr>
      <w:r w:rsidRPr="00A241F5">
        <w:tab/>
        <w:t>(2)</w:t>
      </w:r>
      <w:r w:rsidRPr="00A241F5">
        <w:tab/>
        <w:t>In this section—</w:t>
      </w:r>
    </w:p>
    <w:p w14:paraId="142D752D" w14:textId="77777777" w:rsidR="002125E0" w:rsidRPr="00A241F5" w:rsidRDefault="002125E0" w:rsidP="002125E0">
      <w:pPr>
        <w:pStyle w:val="a02300-000Definitione"/>
      </w:pPr>
      <w:r w:rsidRPr="00A241F5">
        <w:rPr>
          <w:rStyle w:val="DefinedTerme"/>
        </w:rPr>
        <w:t>personal injuries</w:t>
      </w:r>
      <w:r w:rsidRPr="00A241F5">
        <w:t xml:space="preserve"> includes any disease and any impairment of a person’s physical or mental condition;</w:t>
      </w:r>
    </w:p>
    <w:p w14:paraId="2EF4EE08" w14:textId="77777777" w:rsidR="002125E0" w:rsidRPr="00A241F5" w:rsidRDefault="002125E0" w:rsidP="002125E0">
      <w:pPr>
        <w:pStyle w:val="a02300-000Definitione"/>
      </w:pPr>
      <w:r w:rsidRPr="00A241F5">
        <w:rPr>
          <w:rStyle w:val="DefinedTerme"/>
        </w:rPr>
        <w:t>personal injuries claim</w:t>
      </w:r>
      <w:r w:rsidRPr="00A241F5">
        <w:t xml:space="preserve"> means a claim for damages in respect of personal injuries to a person or any other person or in respect of a person’s death.</w:t>
      </w:r>
    </w:p>
    <w:p w14:paraId="055C629B" w14:textId="77777777" w:rsidR="002125E0" w:rsidRPr="00A241F5" w:rsidRDefault="002125E0" w:rsidP="002125E0">
      <w:pPr>
        <w:pStyle w:val="a01400-000Divheadinge"/>
        <w:ind w:left="960" w:hanging="480"/>
        <w:rPr>
          <w:lang w:val="en-US"/>
        </w:rPr>
      </w:pPr>
      <w:bookmarkStart w:id="164" w:name="_Toc77268310"/>
      <w:bookmarkStart w:id="165" w:name="_Toc77268349"/>
      <w:bookmarkStart w:id="166" w:name="_Toc78208222"/>
      <w:bookmarkStart w:id="167" w:name="_Toc78795550"/>
      <w:bookmarkStart w:id="168" w:name="_Toc78795673"/>
      <w:bookmarkStart w:id="169" w:name="_Toc79420776"/>
      <w:bookmarkStart w:id="170" w:name="_Toc79595070"/>
      <w:bookmarkStart w:id="171" w:name="_Toc79595108"/>
      <w:bookmarkStart w:id="172" w:name="_Toc80373682"/>
      <w:bookmarkStart w:id="173" w:name="_Toc80373749"/>
      <w:bookmarkStart w:id="174" w:name="_Toc80373994"/>
      <w:bookmarkStart w:id="175" w:name="_Toc80614507"/>
      <w:r w:rsidRPr="00A241F5">
        <w:rPr>
          <w:lang w:val="en-US"/>
        </w:rPr>
        <w:lastRenderedPageBreak/>
        <w:t>Division 5—Power to Make Rules</w:t>
      </w:r>
      <w:bookmarkEnd w:id="164"/>
      <w:bookmarkEnd w:id="165"/>
      <w:bookmarkEnd w:id="166"/>
      <w:bookmarkEnd w:id="167"/>
      <w:bookmarkEnd w:id="168"/>
      <w:bookmarkEnd w:id="169"/>
      <w:bookmarkEnd w:id="170"/>
      <w:bookmarkEnd w:id="171"/>
      <w:bookmarkEnd w:id="172"/>
      <w:bookmarkEnd w:id="173"/>
      <w:bookmarkEnd w:id="174"/>
      <w:bookmarkEnd w:id="175"/>
    </w:p>
    <w:p w14:paraId="443F828A" w14:textId="77777777" w:rsidR="002125E0" w:rsidRPr="00A241F5" w:rsidRDefault="002125E0" w:rsidP="002125E0">
      <w:pPr>
        <w:pStyle w:val="a01700-000Sectionheadinge"/>
        <w:rPr>
          <w:shd w:val="clear" w:color="auto" w:fill="FFFFFF" w:themeFill="background1"/>
        </w:rPr>
      </w:pPr>
      <w:bookmarkStart w:id="176" w:name="_Toc79420777"/>
      <w:bookmarkStart w:id="177" w:name="_Toc80614508"/>
      <w:r w:rsidRPr="00A241F5">
        <w:t>98ZL.</w:t>
      </w:r>
      <w:r w:rsidRPr="00A241F5">
        <w:tab/>
        <w:t xml:space="preserve">Power of </w:t>
      </w:r>
      <w:r w:rsidRPr="00A241F5">
        <w:rPr>
          <w:shd w:val="clear" w:color="auto" w:fill="FFFFFF" w:themeFill="background1"/>
        </w:rPr>
        <w:t>advisory body to make rules for matters under Part 10B</w:t>
      </w:r>
      <w:bookmarkEnd w:id="176"/>
      <w:bookmarkEnd w:id="177"/>
    </w:p>
    <w:p w14:paraId="537FC4BE" w14:textId="77777777" w:rsidR="002125E0" w:rsidRPr="00A241F5" w:rsidRDefault="002125E0" w:rsidP="00110013">
      <w:pPr>
        <w:pStyle w:val="a02200-000Subsectione"/>
        <w:ind w:left="1195" w:hanging="475"/>
        <w:rPr>
          <w:shd w:val="clear" w:color="auto" w:fill="FFFFFF" w:themeFill="background1"/>
          <w:lang w:val="en"/>
        </w:rPr>
      </w:pPr>
      <w:r w:rsidRPr="00A241F5">
        <w:rPr>
          <w:lang w:val="en-US" w:eastAsia="zh-HK"/>
        </w:rPr>
        <w:tab/>
        <w:t>(1)</w:t>
      </w:r>
      <w:r w:rsidRPr="00A241F5">
        <w:rPr>
          <w:lang w:val="en-US" w:eastAsia="zh-HK"/>
        </w:rPr>
        <w:tab/>
        <w:t>The advisory body may, in consultation with the Secretary for</w:t>
      </w:r>
      <w:r w:rsidRPr="00A241F5">
        <w:rPr>
          <w:shd w:val="clear" w:color="auto" w:fill="FFFFFF" w:themeFill="background1"/>
          <w:lang w:val="en"/>
        </w:rPr>
        <w:t xml:space="preserve"> Justice and with the prior approval of the Chief Justice, make rules to—</w:t>
      </w:r>
    </w:p>
    <w:p w14:paraId="67AB9A57" w14:textId="77777777" w:rsidR="002125E0" w:rsidRPr="00A241F5" w:rsidRDefault="002125E0" w:rsidP="002125E0">
      <w:pPr>
        <w:pStyle w:val="a02400-000Parae"/>
        <w:rPr>
          <w:shd w:val="clear" w:color="auto" w:fill="FFFFFF" w:themeFill="background1"/>
          <w:lang w:val="en"/>
        </w:rPr>
      </w:pPr>
      <w:r w:rsidRPr="00A241F5">
        <w:rPr>
          <w:shd w:val="clear" w:color="auto" w:fill="FFFFFF" w:themeFill="background1"/>
          <w:lang w:val="en"/>
        </w:rPr>
        <w:tab/>
        <w:t>(a)</w:t>
      </w:r>
      <w:r w:rsidRPr="00A241F5">
        <w:rPr>
          <w:shd w:val="clear" w:color="auto" w:fill="FFFFFF" w:themeFill="background1"/>
          <w:lang w:val="en"/>
        </w:rPr>
        <w:tab/>
        <w:t>specify the general conditions referred to section 98ZJ(1)(a);</w:t>
      </w:r>
    </w:p>
    <w:p w14:paraId="3D4CFC55" w14:textId="77777777" w:rsidR="002125E0" w:rsidRPr="00A241F5" w:rsidRDefault="002125E0" w:rsidP="002125E0">
      <w:pPr>
        <w:pStyle w:val="a02400-000Parae"/>
        <w:rPr>
          <w:shd w:val="clear" w:color="auto" w:fill="FFFFFF" w:themeFill="background1"/>
          <w:lang w:val="en"/>
        </w:rPr>
      </w:pPr>
      <w:r w:rsidRPr="00A241F5">
        <w:rPr>
          <w:shd w:val="clear" w:color="auto" w:fill="FFFFFF" w:themeFill="background1"/>
          <w:lang w:val="en"/>
        </w:rPr>
        <w:tab/>
        <w:t>(b)</w:t>
      </w:r>
      <w:r w:rsidRPr="00A241F5">
        <w:rPr>
          <w:shd w:val="clear" w:color="auto" w:fill="FFFFFF" w:themeFill="background1"/>
          <w:lang w:val="en"/>
        </w:rPr>
        <w:tab/>
        <w:t>specify the specific conditions referred to section 98ZJ(1)(b); and</w:t>
      </w:r>
    </w:p>
    <w:p w14:paraId="4D7924F7" w14:textId="77777777" w:rsidR="002125E0" w:rsidRPr="00A241F5" w:rsidRDefault="002125E0" w:rsidP="002125E0">
      <w:pPr>
        <w:pStyle w:val="a02400-000Parae"/>
        <w:rPr>
          <w:shd w:val="clear" w:color="auto" w:fill="FFFFFF" w:themeFill="background1"/>
          <w:lang w:val="en" w:eastAsia="zh-HK"/>
        </w:rPr>
      </w:pPr>
      <w:r w:rsidRPr="00A241F5">
        <w:rPr>
          <w:shd w:val="clear" w:color="auto" w:fill="FFFFFF" w:themeFill="background1"/>
          <w:lang w:val="en" w:eastAsia="zh-HK"/>
        </w:rPr>
        <w:tab/>
        <w:t>(c)</w:t>
      </w:r>
      <w:r w:rsidRPr="00A241F5">
        <w:rPr>
          <w:shd w:val="clear" w:color="auto" w:fill="FFFFFF" w:themeFill="background1"/>
          <w:lang w:val="en" w:eastAsia="zh-HK"/>
        </w:rPr>
        <w:tab/>
        <w:t>generally provide for the effective implementation of the purposes and provisions of this Part.</w:t>
      </w:r>
    </w:p>
    <w:p w14:paraId="3B8BFAA3" w14:textId="77777777" w:rsidR="002125E0" w:rsidRPr="00A241F5" w:rsidRDefault="002125E0" w:rsidP="00110013">
      <w:pPr>
        <w:pStyle w:val="a02200-000Subsectione"/>
        <w:ind w:left="1195" w:hanging="475"/>
        <w:rPr>
          <w:shd w:val="clear" w:color="auto" w:fill="FFFFFF" w:themeFill="background1"/>
          <w:lang w:val="en"/>
        </w:rPr>
      </w:pPr>
      <w:r w:rsidRPr="00A241F5">
        <w:rPr>
          <w:shd w:val="clear" w:color="auto" w:fill="FFFFFF" w:themeFill="background1"/>
          <w:lang w:val="en"/>
        </w:rPr>
        <w:tab/>
        <w:t>(2)</w:t>
      </w:r>
      <w:r w:rsidRPr="00A241F5">
        <w:rPr>
          <w:shd w:val="clear" w:color="auto" w:fill="FFFFFF" w:themeFill="background1"/>
          <w:lang w:val="en"/>
        </w:rPr>
        <w:tab/>
        <w:t>Any rules made under subsection (1) may—</w:t>
      </w:r>
    </w:p>
    <w:p w14:paraId="041B1011" w14:textId="77777777" w:rsidR="002125E0" w:rsidRPr="00A241F5" w:rsidRDefault="002125E0" w:rsidP="002125E0">
      <w:pPr>
        <w:pStyle w:val="a02400-000Parae"/>
        <w:rPr>
          <w:shd w:val="clear" w:color="auto" w:fill="FFFFFF" w:themeFill="background1"/>
          <w:lang w:val="en"/>
        </w:rPr>
      </w:pPr>
      <w:r w:rsidRPr="00A241F5">
        <w:rPr>
          <w:shd w:val="clear" w:color="auto" w:fill="FFFFFF" w:themeFill="background1"/>
        </w:rPr>
        <w:tab/>
        <w:t>(a)</w:t>
      </w:r>
      <w:r w:rsidRPr="00A241F5">
        <w:rPr>
          <w:shd w:val="clear" w:color="auto" w:fill="FFFFFF" w:themeFill="background1"/>
        </w:rPr>
        <w:tab/>
        <w:t>be of general application or make different provisions for different cases or classes of cases; and</w:t>
      </w:r>
    </w:p>
    <w:p w14:paraId="1D440F48" w14:textId="77777777" w:rsidR="002125E0" w:rsidRPr="00A241F5" w:rsidRDefault="002125E0" w:rsidP="002125E0">
      <w:pPr>
        <w:pStyle w:val="a02400-000Parae"/>
        <w:rPr>
          <w:shd w:val="clear" w:color="auto" w:fill="FFFFFF" w:themeFill="background1"/>
          <w:lang w:val="en"/>
        </w:rPr>
      </w:pPr>
      <w:r w:rsidRPr="00A241F5">
        <w:rPr>
          <w:shd w:val="clear" w:color="auto" w:fill="FFFFFF" w:themeFill="background1"/>
          <w:lang w:val="en"/>
        </w:rPr>
        <w:tab/>
        <w:t>(b)</w:t>
      </w:r>
      <w:r w:rsidRPr="00A241F5">
        <w:rPr>
          <w:shd w:val="clear" w:color="auto" w:fill="FFFFFF" w:themeFill="background1"/>
          <w:lang w:val="en"/>
        </w:rPr>
        <w:tab/>
        <w:t>include the incidental, supplementary and consequential provisions that the advisory body considers necessary or expedient.</w:t>
      </w:r>
    </w:p>
    <w:p w14:paraId="570AEBFC" w14:textId="77777777" w:rsidR="002125E0" w:rsidRPr="00A241F5" w:rsidRDefault="002125E0" w:rsidP="002125E0">
      <w:pPr>
        <w:pStyle w:val="a01400-000Divheadinge"/>
        <w:ind w:left="960" w:hanging="480"/>
        <w:rPr>
          <w:lang w:val="en-US"/>
        </w:rPr>
      </w:pPr>
      <w:bookmarkStart w:id="178" w:name="_Toc77268312"/>
      <w:bookmarkStart w:id="179" w:name="_Toc77268351"/>
      <w:bookmarkStart w:id="180" w:name="_Toc78208224"/>
      <w:bookmarkStart w:id="181" w:name="_Toc78795552"/>
      <w:bookmarkStart w:id="182" w:name="_Toc78795675"/>
      <w:bookmarkStart w:id="183" w:name="_Toc79420778"/>
      <w:bookmarkStart w:id="184" w:name="_Toc79595072"/>
      <w:bookmarkStart w:id="185" w:name="_Toc79595110"/>
      <w:bookmarkStart w:id="186" w:name="_Toc80373684"/>
      <w:bookmarkStart w:id="187" w:name="_Toc80373751"/>
      <w:bookmarkStart w:id="188" w:name="_Toc80373996"/>
      <w:bookmarkStart w:id="189" w:name="_Toc80614509"/>
      <w:r w:rsidRPr="00A241F5">
        <w:rPr>
          <w:lang w:val="en-US"/>
        </w:rPr>
        <w:t>Division 6—Code of Practice</w:t>
      </w:r>
      <w:bookmarkEnd w:id="178"/>
      <w:bookmarkEnd w:id="179"/>
      <w:bookmarkEnd w:id="180"/>
      <w:bookmarkEnd w:id="181"/>
      <w:bookmarkEnd w:id="182"/>
      <w:bookmarkEnd w:id="183"/>
      <w:bookmarkEnd w:id="184"/>
      <w:bookmarkEnd w:id="185"/>
      <w:bookmarkEnd w:id="186"/>
      <w:bookmarkEnd w:id="187"/>
      <w:bookmarkEnd w:id="188"/>
      <w:bookmarkEnd w:id="189"/>
    </w:p>
    <w:p w14:paraId="590C108A" w14:textId="77777777" w:rsidR="002125E0" w:rsidRPr="00A241F5" w:rsidRDefault="002125E0" w:rsidP="002125E0">
      <w:pPr>
        <w:pStyle w:val="a01700-000Sectionheadinge"/>
        <w:rPr>
          <w:lang w:val="en"/>
        </w:rPr>
      </w:pPr>
      <w:bookmarkStart w:id="190" w:name="_Toc79420779"/>
      <w:bookmarkStart w:id="191" w:name="_Toc80614510"/>
      <w:r w:rsidRPr="00A241F5">
        <w:rPr>
          <w:lang w:val="en"/>
        </w:rPr>
        <w:t>98ZM.</w:t>
      </w:r>
      <w:r w:rsidRPr="00A241F5">
        <w:rPr>
          <w:lang w:val="en"/>
        </w:rPr>
        <w:tab/>
        <w:t>Code of practice may be issued</w:t>
      </w:r>
      <w:bookmarkEnd w:id="190"/>
      <w:bookmarkEnd w:id="191"/>
    </w:p>
    <w:p w14:paraId="3EE370D9" w14:textId="77777777" w:rsidR="002125E0" w:rsidRPr="00A241F5" w:rsidRDefault="002125E0" w:rsidP="00110013">
      <w:pPr>
        <w:pStyle w:val="a02200-000Subsectione"/>
        <w:ind w:left="1195" w:hanging="475"/>
        <w:rPr>
          <w:lang w:val="en"/>
        </w:rPr>
      </w:pPr>
      <w:r w:rsidRPr="00A241F5">
        <w:rPr>
          <w:lang w:val="en"/>
        </w:rPr>
        <w:tab/>
        <w:t>(1)</w:t>
      </w:r>
      <w:r w:rsidRPr="00A241F5">
        <w:rPr>
          <w:lang w:val="en"/>
        </w:rPr>
        <w:tab/>
        <w:t>The authorized body may issue a code of practice setting out the practices and standards with which lawyers who enter into ORFS agreements for arbitration are ordinarily expected to comply in connection with ORFS agreements for arbitration.</w:t>
      </w:r>
    </w:p>
    <w:p w14:paraId="366D1232" w14:textId="77777777" w:rsidR="002125E0" w:rsidRPr="00A241F5" w:rsidRDefault="002125E0" w:rsidP="00110013">
      <w:pPr>
        <w:pStyle w:val="a02200-000Subsectione"/>
        <w:ind w:left="1195" w:hanging="475"/>
        <w:rPr>
          <w:lang w:val="en-US"/>
        </w:rPr>
      </w:pPr>
      <w:r w:rsidRPr="00A241F5">
        <w:rPr>
          <w:lang w:val="en-US"/>
        </w:rPr>
        <w:tab/>
        <w:t>(2)</w:t>
      </w:r>
      <w:r w:rsidRPr="00A241F5">
        <w:rPr>
          <w:lang w:val="en-US"/>
        </w:rPr>
        <w:tab/>
        <w:t>The authorized body must publish the code of practice in the Gazette.</w:t>
      </w:r>
    </w:p>
    <w:p w14:paraId="115FC815" w14:textId="77777777" w:rsidR="002125E0" w:rsidRPr="00A241F5" w:rsidRDefault="002125E0" w:rsidP="00110013">
      <w:pPr>
        <w:pStyle w:val="a02200-000Subsectione"/>
        <w:ind w:left="1195" w:hanging="475"/>
        <w:rPr>
          <w:lang w:val="en-US"/>
        </w:rPr>
      </w:pPr>
      <w:r w:rsidRPr="00A241F5">
        <w:rPr>
          <w:lang w:val="en-US"/>
        </w:rPr>
        <w:tab/>
        <w:t>(3)</w:t>
      </w:r>
      <w:r w:rsidRPr="00A241F5">
        <w:rPr>
          <w:lang w:val="en-US"/>
        </w:rPr>
        <w:tab/>
        <w:t>The code of practice comes into operation on the day on which it is published in the Gazette.</w:t>
      </w:r>
    </w:p>
    <w:p w14:paraId="228B7EC9" w14:textId="77777777" w:rsidR="002125E0" w:rsidRPr="00A241F5" w:rsidRDefault="002125E0" w:rsidP="00110013">
      <w:pPr>
        <w:pStyle w:val="a02200-000Subsectione"/>
        <w:ind w:left="1195" w:hanging="475"/>
        <w:rPr>
          <w:lang w:val="en-US"/>
        </w:rPr>
      </w:pPr>
      <w:r w:rsidRPr="00A241F5">
        <w:rPr>
          <w:lang w:val="en-US"/>
        </w:rPr>
        <w:tab/>
        <w:t>(4)</w:t>
      </w:r>
      <w:r w:rsidRPr="00A241F5">
        <w:rPr>
          <w:lang w:val="en-US"/>
        </w:rPr>
        <w:tab/>
        <w:t>The code of practice is not subsidiary legislation.</w:t>
      </w:r>
    </w:p>
    <w:p w14:paraId="5C8B9E7D" w14:textId="77777777" w:rsidR="002125E0" w:rsidRPr="00A241F5" w:rsidRDefault="002125E0" w:rsidP="00110013">
      <w:pPr>
        <w:pStyle w:val="a02200-000Subsectione"/>
        <w:ind w:left="1195" w:hanging="475"/>
        <w:rPr>
          <w:lang w:val="en"/>
        </w:rPr>
      </w:pPr>
      <w:r w:rsidRPr="00A241F5">
        <w:rPr>
          <w:lang w:val="en"/>
        </w:rPr>
        <w:tab/>
        <w:t>(5)</w:t>
      </w:r>
      <w:r w:rsidRPr="00A241F5">
        <w:rPr>
          <w:lang w:val="en"/>
        </w:rPr>
        <w:tab/>
        <w:t>The authorized body may amend or revoke the code of practice.</w:t>
      </w:r>
    </w:p>
    <w:p w14:paraId="734C0776" w14:textId="77777777" w:rsidR="002125E0" w:rsidRPr="00A241F5" w:rsidRDefault="002125E0" w:rsidP="00110013">
      <w:pPr>
        <w:pStyle w:val="a02200-000Subsectione"/>
        <w:ind w:left="1195" w:hanging="475"/>
        <w:rPr>
          <w:lang w:val="en"/>
        </w:rPr>
      </w:pPr>
      <w:r w:rsidRPr="00A241F5">
        <w:rPr>
          <w:lang w:val="en"/>
        </w:rPr>
        <w:tab/>
        <w:t>(6)</w:t>
      </w:r>
      <w:r w:rsidRPr="00A241F5">
        <w:rPr>
          <w:lang w:val="en"/>
        </w:rPr>
        <w:tab/>
        <w:t>Subsections (2) to (4) apply in relation to an amendment or revocation of the code of practice in the same way as they apply in relation to the code of practice.</w:t>
      </w:r>
    </w:p>
    <w:p w14:paraId="46C722D7" w14:textId="77777777" w:rsidR="002125E0" w:rsidRPr="00A241F5" w:rsidRDefault="002125E0" w:rsidP="002125E0">
      <w:pPr>
        <w:pStyle w:val="a01700-000Sectionheadinge"/>
        <w:rPr>
          <w:lang w:val="en-US"/>
        </w:rPr>
      </w:pPr>
      <w:bookmarkStart w:id="192" w:name="_Toc79420780"/>
      <w:bookmarkStart w:id="193" w:name="_Toc80614511"/>
      <w:r w:rsidRPr="00A241F5">
        <w:rPr>
          <w:lang w:val="en-US"/>
        </w:rPr>
        <w:t>98ZN.</w:t>
      </w:r>
      <w:r w:rsidRPr="00A241F5">
        <w:rPr>
          <w:lang w:val="en-US"/>
        </w:rPr>
        <w:tab/>
        <w:t>Non-compliance with code of practice</w:t>
      </w:r>
      <w:bookmarkEnd w:id="192"/>
      <w:bookmarkEnd w:id="193"/>
    </w:p>
    <w:p w14:paraId="60907E60" w14:textId="77777777" w:rsidR="002125E0" w:rsidRPr="00A241F5" w:rsidRDefault="002125E0" w:rsidP="00110013">
      <w:pPr>
        <w:pStyle w:val="a02200-000Subsectione"/>
        <w:ind w:left="1195" w:hanging="475"/>
        <w:rPr>
          <w:lang w:val="en-US"/>
        </w:rPr>
      </w:pPr>
      <w:r w:rsidRPr="00A241F5">
        <w:rPr>
          <w:lang w:val="en-US"/>
        </w:rPr>
        <w:tab/>
        <w:t>(1)</w:t>
      </w:r>
      <w:r w:rsidRPr="00A241F5">
        <w:rPr>
          <w:lang w:val="en-US"/>
        </w:rPr>
        <w:tab/>
        <w:t>A failure to comply with a provision of the code of practice does not, of itself, render any person liable to any judicial or other proceedings.</w:t>
      </w:r>
    </w:p>
    <w:p w14:paraId="224D14C6" w14:textId="77777777" w:rsidR="002125E0" w:rsidRPr="00A241F5" w:rsidRDefault="002125E0" w:rsidP="00110013">
      <w:pPr>
        <w:pStyle w:val="a02200-000Subsectione"/>
        <w:ind w:left="1195" w:hanging="475"/>
        <w:rPr>
          <w:lang w:val="en-US"/>
        </w:rPr>
      </w:pPr>
      <w:r w:rsidRPr="00A241F5">
        <w:rPr>
          <w:lang w:val="en-US"/>
        </w:rPr>
        <w:tab/>
        <w:t>(2)</w:t>
      </w:r>
      <w:r w:rsidRPr="00A241F5">
        <w:rPr>
          <w:lang w:val="en-US"/>
        </w:rPr>
        <w:tab/>
        <w:t>However—</w:t>
      </w:r>
    </w:p>
    <w:p w14:paraId="0222B8FD" w14:textId="77777777" w:rsidR="002125E0" w:rsidRPr="00A241F5" w:rsidRDefault="002125E0" w:rsidP="002125E0">
      <w:pPr>
        <w:pStyle w:val="a02400-000Parae"/>
        <w:rPr>
          <w:lang w:val="en-US"/>
        </w:rPr>
      </w:pPr>
      <w:r w:rsidRPr="00A241F5">
        <w:rPr>
          <w:lang w:val="en-US"/>
        </w:rPr>
        <w:tab/>
        <w:t>(a)</w:t>
      </w:r>
      <w:r w:rsidRPr="00A241F5">
        <w:rPr>
          <w:lang w:val="en-US"/>
        </w:rPr>
        <w:tab/>
        <w:t>the code of practice is admissible in evidence in proceedings before any court or arbitral tribunal; and</w:t>
      </w:r>
    </w:p>
    <w:p w14:paraId="091F7936" w14:textId="77777777" w:rsidR="002125E0" w:rsidRPr="00A241F5" w:rsidRDefault="002125E0" w:rsidP="002125E0">
      <w:pPr>
        <w:pStyle w:val="a02400-000Parae"/>
        <w:rPr>
          <w:lang w:val="en-US"/>
        </w:rPr>
      </w:pPr>
      <w:r w:rsidRPr="00A241F5">
        <w:rPr>
          <w:lang w:val="en-US"/>
        </w:rPr>
        <w:tab/>
        <w:t>(b)</w:t>
      </w:r>
      <w:r w:rsidRPr="00A241F5">
        <w:rPr>
          <w:lang w:val="en-US"/>
        </w:rPr>
        <w:tab/>
        <w:t>any compliance, or failure to comply, with a provision of the code of practice may be taken into account by any court or arbitral tribunal if it is relevant to a question being decided by the court or arbitral tribunal.</w:t>
      </w:r>
    </w:p>
    <w:p w14:paraId="1779C20C" w14:textId="77777777" w:rsidR="002125E0" w:rsidRPr="00A241F5" w:rsidRDefault="002125E0" w:rsidP="002125E0">
      <w:pPr>
        <w:pStyle w:val="a01400-000Divheadinge"/>
        <w:ind w:left="960" w:hanging="480"/>
        <w:rPr>
          <w:lang w:val="en-US"/>
        </w:rPr>
      </w:pPr>
      <w:bookmarkStart w:id="194" w:name="_Toc77268315"/>
      <w:bookmarkStart w:id="195" w:name="_Toc77268354"/>
      <w:bookmarkStart w:id="196" w:name="_Toc78208227"/>
      <w:bookmarkStart w:id="197" w:name="_Toc78795555"/>
      <w:bookmarkStart w:id="198" w:name="_Toc78795678"/>
      <w:bookmarkStart w:id="199" w:name="_Toc79420781"/>
      <w:bookmarkStart w:id="200" w:name="_Toc79595075"/>
      <w:bookmarkStart w:id="201" w:name="_Toc79595113"/>
      <w:bookmarkStart w:id="202" w:name="_Toc80373687"/>
      <w:bookmarkStart w:id="203" w:name="_Toc80373754"/>
      <w:bookmarkStart w:id="204" w:name="_Toc80373999"/>
      <w:bookmarkStart w:id="205" w:name="_Toc80614512"/>
      <w:r w:rsidRPr="00A241F5">
        <w:rPr>
          <w:lang w:val="en-US"/>
        </w:rPr>
        <w:t>Division 7—Other Measures and Safeguards</w:t>
      </w:r>
      <w:bookmarkEnd w:id="194"/>
      <w:bookmarkEnd w:id="195"/>
      <w:bookmarkEnd w:id="196"/>
      <w:bookmarkEnd w:id="197"/>
      <w:bookmarkEnd w:id="198"/>
      <w:bookmarkEnd w:id="199"/>
      <w:bookmarkEnd w:id="200"/>
      <w:bookmarkEnd w:id="201"/>
      <w:bookmarkEnd w:id="202"/>
      <w:bookmarkEnd w:id="203"/>
      <w:bookmarkEnd w:id="204"/>
      <w:bookmarkEnd w:id="205"/>
    </w:p>
    <w:p w14:paraId="3515FE06" w14:textId="77777777" w:rsidR="002125E0" w:rsidRPr="00A241F5" w:rsidRDefault="002125E0" w:rsidP="002125E0">
      <w:pPr>
        <w:pStyle w:val="a01700-000Sectionheadinge"/>
        <w:rPr>
          <w:lang w:val="en"/>
        </w:rPr>
      </w:pPr>
      <w:bookmarkStart w:id="206" w:name="_Toc79420782"/>
      <w:bookmarkStart w:id="207" w:name="_Toc80614513"/>
      <w:r w:rsidRPr="00A241F5">
        <w:rPr>
          <w:lang w:val="en"/>
        </w:rPr>
        <w:t>98ZO.</w:t>
      </w:r>
      <w:r w:rsidRPr="00A241F5">
        <w:rPr>
          <w:lang w:val="en"/>
        </w:rPr>
        <w:tab/>
        <w:t>Communication of information for ORFS agreements for arbitration</w:t>
      </w:r>
      <w:bookmarkEnd w:id="206"/>
      <w:bookmarkEnd w:id="207"/>
    </w:p>
    <w:p w14:paraId="27BEF533" w14:textId="77777777" w:rsidR="002125E0" w:rsidRPr="00A241F5" w:rsidRDefault="002125E0" w:rsidP="00AF234E">
      <w:pPr>
        <w:pStyle w:val="a02200-000Subsectione"/>
        <w:ind w:left="1195" w:hanging="475"/>
        <w:rPr>
          <w:lang w:val="en"/>
        </w:rPr>
      </w:pPr>
      <w:r w:rsidRPr="00A241F5">
        <w:rPr>
          <w:lang w:val="en"/>
        </w:rPr>
        <w:tab/>
        <w:t>(1)</w:t>
      </w:r>
      <w:r w:rsidRPr="00A241F5">
        <w:rPr>
          <w:lang w:val="en"/>
        </w:rPr>
        <w:tab/>
        <w:t>Despite section 18(1), information referred to in that section may be communicated by a party to a person for the purpose of having, or seeking, to enter into an ORFS agreement for arbitration with the person.</w:t>
      </w:r>
    </w:p>
    <w:p w14:paraId="63D16C85" w14:textId="77777777" w:rsidR="002125E0" w:rsidRPr="00A241F5" w:rsidRDefault="002125E0" w:rsidP="00AF234E">
      <w:pPr>
        <w:pStyle w:val="a02200-000Subsectione"/>
        <w:ind w:left="1195" w:hanging="475"/>
        <w:rPr>
          <w:lang w:val="en"/>
        </w:rPr>
      </w:pPr>
      <w:r w:rsidRPr="00A241F5">
        <w:rPr>
          <w:lang w:val="en"/>
        </w:rPr>
        <w:lastRenderedPageBreak/>
        <w:tab/>
        <w:t>(2)</w:t>
      </w:r>
      <w:r w:rsidRPr="00A241F5">
        <w:rPr>
          <w:lang w:val="en"/>
        </w:rPr>
        <w:tab/>
        <w:t>However, the person may not further communicate anything communicated under subsection (1), unless—</w:t>
      </w:r>
    </w:p>
    <w:p w14:paraId="743D1B58" w14:textId="77777777" w:rsidR="002125E0" w:rsidRPr="00A241F5" w:rsidRDefault="002125E0" w:rsidP="002125E0">
      <w:pPr>
        <w:pStyle w:val="a02400-000Parae"/>
        <w:rPr>
          <w:lang w:val="en"/>
        </w:rPr>
      </w:pPr>
      <w:r w:rsidRPr="00A241F5">
        <w:rPr>
          <w:lang w:val="en"/>
        </w:rPr>
        <w:tab/>
        <w:t>(a)</w:t>
      </w:r>
      <w:r w:rsidRPr="00A241F5">
        <w:rPr>
          <w:lang w:val="en"/>
        </w:rPr>
        <w:tab/>
        <w:t>the further communication is made—</w:t>
      </w:r>
    </w:p>
    <w:p w14:paraId="674EEC36" w14:textId="4778F627" w:rsidR="002125E0" w:rsidRPr="00A241F5" w:rsidRDefault="002125E0" w:rsidP="00AF234E">
      <w:pPr>
        <w:pStyle w:val="a02500-000Subparae"/>
        <w:tabs>
          <w:tab w:val="clear" w:pos="1418"/>
          <w:tab w:val="left" w:pos="1710"/>
        </w:tabs>
        <w:rPr>
          <w:lang w:val="en"/>
        </w:rPr>
      </w:pPr>
      <w:r w:rsidRPr="00A241F5">
        <w:rPr>
          <w:lang w:val="en"/>
        </w:rPr>
        <w:tab/>
        <w:t>(i)</w:t>
      </w:r>
      <w:r w:rsidRPr="00A241F5">
        <w:rPr>
          <w:lang w:val="en"/>
        </w:rPr>
        <w:tab/>
      </w:r>
      <w:r w:rsidR="00AF234E" w:rsidRPr="00A241F5">
        <w:rPr>
          <w:lang w:val="en"/>
        </w:rPr>
        <w:tab/>
      </w:r>
      <w:r w:rsidRPr="00A241F5">
        <w:rPr>
          <w:lang w:val="en"/>
        </w:rPr>
        <w:t>to protect or pursue a legal right or interest of the person; or</w:t>
      </w:r>
    </w:p>
    <w:p w14:paraId="59C8CD86" w14:textId="77777777" w:rsidR="002125E0" w:rsidRPr="00A241F5" w:rsidRDefault="002125E0" w:rsidP="00AF234E">
      <w:pPr>
        <w:pStyle w:val="a02500-000Subparae"/>
        <w:tabs>
          <w:tab w:val="clear" w:pos="1418"/>
          <w:tab w:val="left" w:pos="1710"/>
        </w:tabs>
        <w:rPr>
          <w:lang w:val="en"/>
        </w:rPr>
      </w:pPr>
      <w:r w:rsidRPr="00A241F5">
        <w:rPr>
          <w:lang w:val="en"/>
        </w:rPr>
        <w:tab/>
        <w:t>(ii)</w:t>
      </w:r>
      <w:r w:rsidRPr="00A241F5">
        <w:rPr>
          <w:lang w:val="en"/>
        </w:rPr>
        <w:tab/>
        <w:t>to enforce or challenge an award made in the arbitration,</w:t>
      </w:r>
    </w:p>
    <w:p w14:paraId="07817BD4" w14:textId="2275260D" w:rsidR="002125E0" w:rsidRPr="00A241F5" w:rsidRDefault="00AF234E" w:rsidP="00AF234E">
      <w:pPr>
        <w:pStyle w:val="a02400-000Parae"/>
        <w:rPr>
          <w:lang w:val="en"/>
        </w:rPr>
      </w:pPr>
      <w:r w:rsidRPr="00A241F5">
        <w:rPr>
          <w:lang w:val="en"/>
        </w:rPr>
        <w:tab/>
      </w:r>
      <w:r w:rsidRPr="00A241F5">
        <w:rPr>
          <w:lang w:val="en"/>
        </w:rPr>
        <w:tab/>
      </w:r>
      <w:r w:rsidR="002125E0" w:rsidRPr="00A241F5">
        <w:rPr>
          <w:lang w:val="en"/>
        </w:rPr>
        <w:t>in legal proceedings before a court or other judicial authority in or outside Hong Kong;</w:t>
      </w:r>
    </w:p>
    <w:p w14:paraId="0D7827F2" w14:textId="77777777" w:rsidR="002125E0" w:rsidRPr="00A241F5" w:rsidRDefault="002125E0" w:rsidP="002125E0">
      <w:pPr>
        <w:pStyle w:val="a02400-000Parae"/>
        <w:rPr>
          <w:lang w:val="en"/>
        </w:rPr>
      </w:pPr>
      <w:r w:rsidRPr="00A241F5">
        <w:rPr>
          <w:lang w:val="en"/>
        </w:rPr>
        <w:tab/>
        <w:t>(b)</w:t>
      </w:r>
      <w:r w:rsidRPr="00A241F5">
        <w:rPr>
          <w:lang w:val="en"/>
        </w:rPr>
        <w:tab/>
        <w:t>the further communication is made to any government body, regulatory body, court or tribunal and the person is obliged by law to make the communication; or</w:t>
      </w:r>
    </w:p>
    <w:p w14:paraId="55A11DAB" w14:textId="77777777" w:rsidR="002125E0" w:rsidRPr="00A241F5" w:rsidRDefault="002125E0" w:rsidP="002125E0">
      <w:pPr>
        <w:pStyle w:val="a02400-000Parae"/>
        <w:rPr>
          <w:lang w:val="en"/>
        </w:rPr>
      </w:pPr>
      <w:r w:rsidRPr="00A241F5">
        <w:rPr>
          <w:lang w:val="en"/>
        </w:rPr>
        <w:tab/>
        <w:t>(c)</w:t>
      </w:r>
      <w:r w:rsidRPr="00A241F5">
        <w:rPr>
          <w:lang w:val="en"/>
        </w:rPr>
        <w:tab/>
        <w:t>the further communication is made to a professional adviser of the person for the purpose of obtaining advice in connection with the ORFS agreement for arbitration.</w:t>
      </w:r>
    </w:p>
    <w:p w14:paraId="20FC1026" w14:textId="77777777" w:rsidR="002125E0" w:rsidRPr="00A241F5" w:rsidRDefault="002125E0" w:rsidP="00AF234E">
      <w:pPr>
        <w:pStyle w:val="a02200-000Subsectione"/>
        <w:ind w:left="1195" w:hanging="475"/>
        <w:rPr>
          <w:lang w:val="en"/>
        </w:rPr>
      </w:pPr>
      <w:r w:rsidRPr="00A241F5">
        <w:rPr>
          <w:lang w:val="en"/>
        </w:rPr>
        <w:tab/>
        <w:t>(3)</w:t>
      </w:r>
      <w:r w:rsidRPr="00A241F5">
        <w:rPr>
          <w:lang w:val="en"/>
        </w:rPr>
        <w:tab/>
        <w:t>If a further communication is made by a person to a professional adviser under subsection (2)(c), subsection (2) applies to the professional adviser as if the professional adviser were the person.</w:t>
      </w:r>
    </w:p>
    <w:p w14:paraId="01045248" w14:textId="77777777" w:rsidR="002125E0" w:rsidRPr="00A241F5" w:rsidRDefault="002125E0" w:rsidP="00AF234E">
      <w:pPr>
        <w:pStyle w:val="a02200-000Subsectione"/>
        <w:ind w:left="1195" w:hanging="475"/>
        <w:rPr>
          <w:lang w:val="en"/>
        </w:rPr>
      </w:pPr>
      <w:r w:rsidRPr="00A241F5">
        <w:rPr>
          <w:lang w:val="en"/>
        </w:rPr>
        <w:tab/>
        <w:t>(4)</w:t>
      </w:r>
      <w:r w:rsidRPr="00A241F5">
        <w:rPr>
          <w:lang w:val="en"/>
        </w:rPr>
        <w:tab/>
        <w:t>In this section—</w:t>
      </w:r>
    </w:p>
    <w:p w14:paraId="1DD54AC8" w14:textId="77777777" w:rsidR="002125E0" w:rsidRPr="00A241F5" w:rsidRDefault="002125E0" w:rsidP="002125E0">
      <w:pPr>
        <w:pStyle w:val="a02300-000Definitione"/>
      </w:pPr>
      <w:r w:rsidRPr="00A241F5">
        <w:rPr>
          <w:rStyle w:val="DefinedTerme"/>
        </w:rPr>
        <w:t>communicate</w:t>
      </w:r>
      <w:r w:rsidRPr="00A241F5">
        <w:t xml:space="preserve"> includes publish or disclose.</w:t>
      </w:r>
    </w:p>
    <w:p w14:paraId="1AA29E18" w14:textId="77777777" w:rsidR="002125E0" w:rsidRPr="00A241F5" w:rsidRDefault="002125E0" w:rsidP="002125E0">
      <w:pPr>
        <w:pStyle w:val="a01700-000Sectionheadinge"/>
        <w:rPr>
          <w:lang w:val="en"/>
        </w:rPr>
      </w:pPr>
      <w:bookmarkStart w:id="208" w:name="_Toc79420783"/>
      <w:bookmarkStart w:id="209" w:name="_Toc80614514"/>
      <w:r w:rsidRPr="00A241F5">
        <w:rPr>
          <w:lang w:val="en"/>
        </w:rPr>
        <w:t>98ZP.</w:t>
      </w:r>
      <w:r w:rsidRPr="00A241F5">
        <w:rPr>
          <w:lang w:val="en"/>
        </w:rPr>
        <w:tab/>
        <w:t>Disclosure about ORFS agreement for arbitration</w:t>
      </w:r>
      <w:bookmarkEnd w:id="208"/>
      <w:bookmarkEnd w:id="209"/>
    </w:p>
    <w:p w14:paraId="6B97CFFA" w14:textId="77777777" w:rsidR="002125E0" w:rsidRPr="00A241F5" w:rsidRDefault="002125E0" w:rsidP="00AF234E">
      <w:pPr>
        <w:pStyle w:val="a02200-000Subsectione"/>
        <w:ind w:left="1195" w:hanging="475"/>
        <w:rPr>
          <w:lang w:val="en"/>
        </w:rPr>
      </w:pPr>
      <w:r w:rsidRPr="00A241F5">
        <w:rPr>
          <w:lang w:val="en"/>
        </w:rPr>
        <w:tab/>
        <w:t>(1)</w:t>
      </w:r>
      <w:r w:rsidRPr="00A241F5">
        <w:rPr>
          <w:lang w:val="en"/>
        </w:rPr>
        <w:tab/>
        <w:t xml:space="preserve">If an ORFS agreement for arbitration is made </w:t>
      </w:r>
      <w:r w:rsidRPr="00A241F5">
        <w:rPr>
          <w:lang w:val="en" w:eastAsia="zh-HK"/>
        </w:rPr>
        <w:t>between a client and the lawyer of the client</w:t>
      </w:r>
      <w:r w:rsidRPr="00A241F5">
        <w:rPr>
          <w:lang w:val="en"/>
        </w:rPr>
        <w:t>, the lawyer must give written notice of—</w:t>
      </w:r>
    </w:p>
    <w:p w14:paraId="3A12966E" w14:textId="77777777" w:rsidR="002125E0" w:rsidRPr="00A241F5" w:rsidRDefault="002125E0" w:rsidP="002125E0">
      <w:pPr>
        <w:pStyle w:val="a02400-000Parae"/>
        <w:rPr>
          <w:lang w:val="en"/>
        </w:rPr>
      </w:pPr>
      <w:r w:rsidRPr="00A241F5">
        <w:rPr>
          <w:lang w:val="en"/>
        </w:rPr>
        <w:tab/>
        <w:t>(a)</w:t>
      </w:r>
      <w:r w:rsidRPr="00A241F5">
        <w:rPr>
          <w:lang w:val="en"/>
        </w:rPr>
        <w:tab/>
        <w:t>the fact that an ORFS agreement for arbitration has been made; and</w:t>
      </w:r>
    </w:p>
    <w:p w14:paraId="7621CBB4" w14:textId="77777777" w:rsidR="002125E0" w:rsidRPr="00A241F5" w:rsidRDefault="002125E0" w:rsidP="002125E0">
      <w:pPr>
        <w:pStyle w:val="a02400-000Parae"/>
        <w:rPr>
          <w:lang w:val="en"/>
        </w:rPr>
      </w:pPr>
      <w:r w:rsidRPr="00A241F5">
        <w:rPr>
          <w:lang w:val="en"/>
        </w:rPr>
        <w:tab/>
        <w:t>(b)</w:t>
      </w:r>
      <w:r w:rsidRPr="00A241F5">
        <w:rPr>
          <w:lang w:val="en"/>
        </w:rPr>
        <w:tab/>
        <w:t>the name of the client.</w:t>
      </w:r>
    </w:p>
    <w:p w14:paraId="0990BF1E" w14:textId="77777777" w:rsidR="002125E0" w:rsidRPr="00A241F5" w:rsidRDefault="002125E0" w:rsidP="00AF234E">
      <w:pPr>
        <w:pStyle w:val="a02200-000Subsectione"/>
        <w:ind w:left="1195" w:hanging="475"/>
        <w:rPr>
          <w:lang w:val="en"/>
        </w:rPr>
      </w:pPr>
      <w:r w:rsidRPr="00A241F5">
        <w:rPr>
          <w:lang w:val="en"/>
        </w:rPr>
        <w:tab/>
        <w:t>(2)</w:t>
      </w:r>
      <w:r w:rsidRPr="00A241F5">
        <w:rPr>
          <w:lang w:val="en"/>
        </w:rPr>
        <w:tab/>
        <w:t>The notice must be given—</w:t>
      </w:r>
    </w:p>
    <w:p w14:paraId="110085CB" w14:textId="77777777" w:rsidR="002125E0" w:rsidRPr="00A241F5" w:rsidRDefault="002125E0" w:rsidP="002125E0">
      <w:pPr>
        <w:pStyle w:val="a02400-000Parae"/>
        <w:rPr>
          <w:lang w:val="en"/>
        </w:rPr>
      </w:pPr>
      <w:r w:rsidRPr="00A241F5">
        <w:rPr>
          <w:lang w:val="en"/>
        </w:rPr>
        <w:tab/>
        <w:t>(a)</w:t>
      </w:r>
      <w:r w:rsidRPr="00A241F5">
        <w:rPr>
          <w:lang w:val="en"/>
        </w:rPr>
        <w:tab/>
        <w:t>for an ORFS agreement for arbitration made on or before the commencement of the arbitration—on the commencement of the arbitration; or</w:t>
      </w:r>
    </w:p>
    <w:p w14:paraId="5C197072" w14:textId="77777777" w:rsidR="002125E0" w:rsidRPr="00A241F5" w:rsidRDefault="002125E0" w:rsidP="002125E0">
      <w:pPr>
        <w:pStyle w:val="a02400-000Parae"/>
        <w:rPr>
          <w:lang w:val="en"/>
        </w:rPr>
      </w:pPr>
      <w:r w:rsidRPr="00A241F5">
        <w:rPr>
          <w:lang w:val="en"/>
        </w:rPr>
        <w:tab/>
        <w:t>(b)</w:t>
      </w:r>
      <w:r w:rsidRPr="00A241F5">
        <w:rPr>
          <w:lang w:val="en"/>
        </w:rPr>
        <w:tab/>
        <w:t>for an ORFS agreement for arbitration made after the commencement of the arbitration—within 15 days after the ORFS agreement for arbitration is made.</w:t>
      </w:r>
    </w:p>
    <w:p w14:paraId="56FBABFD" w14:textId="77777777" w:rsidR="002125E0" w:rsidRPr="00A241F5" w:rsidRDefault="002125E0" w:rsidP="00AF234E">
      <w:pPr>
        <w:pStyle w:val="a02200-000Subsectione"/>
        <w:ind w:left="1195" w:hanging="475"/>
        <w:rPr>
          <w:lang w:val="en"/>
        </w:rPr>
      </w:pPr>
      <w:r w:rsidRPr="00A241F5">
        <w:rPr>
          <w:lang w:val="en"/>
        </w:rPr>
        <w:tab/>
        <w:t>(3)</w:t>
      </w:r>
      <w:r w:rsidRPr="00A241F5">
        <w:rPr>
          <w:lang w:val="en"/>
        </w:rPr>
        <w:tab/>
        <w:t>The notice must be given to—</w:t>
      </w:r>
    </w:p>
    <w:p w14:paraId="1001FC4E" w14:textId="77777777" w:rsidR="002125E0" w:rsidRPr="00A241F5" w:rsidRDefault="002125E0" w:rsidP="002125E0">
      <w:pPr>
        <w:pStyle w:val="a02400-000Parae"/>
        <w:rPr>
          <w:lang w:val="en"/>
        </w:rPr>
      </w:pPr>
      <w:r w:rsidRPr="00A241F5">
        <w:rPr>
          <w:lang w:val="en"/>
        </w:rPr>
        <w:tab/>
        <w:t>(a)</w:t>
      </w:r>
      <w:r w:rsidRPr="00A241F5">
        <w:rPr>
          <w:lang w:val="en"/>
        </w:rPr>
        <w:tab/>
        <w:t>each other party to the arbitration; and</w:t>
      </w:r>
    </w:p>
    <w:p w14:paraId="3738E553" w14:textId="77777777" w:rsidR="002125E0" w:rsidRPr="00A241F5" w:rsidRDefault="002125E0" w:rsidP="002125E0">
      <w:pPr>
        <w:pStyle w:val="a02400-000Parae"/>
        <w:rPr>
          <w:lang w:val="en"/>
        </w:rPr>
      </w:pPr>
      <w:r w:rsidRPr="00A241F5">
        <w:rPr>
          <w:lang w:val="en"/>
        </w:rPr>
        <w:tab/>
        <w:t>(b)</w:t>
      </w:r>
      <w:r w:rsidRPr="00A241F5">
        <w:rPr>
          <w:lang w:val="en"/>
        </w:rPr>
        <w:tab/>
        <w:t>the arbitration body.</w:t>
      </w:r>
    </w:p>
    <w:p w14:paraId="1CC26258" w14:textId="77777777" w:rsidR="002125E0" w:rsidRPr="00A241F5" w:rsidRDefault="002125E0" w:rsidP="00AF234E">
      <w:pPr>
        <w:pStyle w:val="a02200-000Subsectione"/>
        <w:ind w:left="1195" w:hanging="475"/>
        <w:rPr>
          <w:lang w:val="en"/>
        </w:rPr>
      </w:pPr>
      <w:r w:rsidRPr="00A241F5">
        <w:rPr>
          <w:lang w:val="en"/>
        </w:rPr>
        <w:tab/>
        <w:t>(4)</w:t>
      </w:r>
      <w:r w:rsidRPr="00A241F5">
        <w:rPr>
          <w:lang w:val="en"/>
        </w:rPr>
        <w:tab/>
        <w:t>For subsection (3)(b), if there is no arbitration body for the arbitration at the time, or at the end of the period, specified in subsection (2) for giving the notice, the notice must instead be given to the arbitration body immediately after there is an arbitration body for the arbitration.</w:t>
      </w:r>
    </w:p>
    <w:p w14:paraId="68437E7E" w14:textId="77777777" w:rsidR="002125E0" w:rsidRPr="00A241F5" w:rsidRDefault="002125E0" w:rsidP="002125E0">
      <w:pPr>
        <w:pStyle w:val="a01700-000Sectionheadinge"/>
        <w:rPr>
          <w:lang w:val="en" w:eastAsia="zh-CN"/>
        </w:rPr>
      </w:pPr>
      <w:bookmarkStart w:id="210" w:name="_Toc79420784"/>
      <w:bookmarkStart w:id="211" w:name="_Toc80614515"/>
      <w:r w:rsidRPr="00A241F5">
        <w:rPr>
          <w:lang w:val="en"/>
        </w:rPr>
        <w:t>98ZQ.</w:t>
      </w:r>
      <w:r w:rsidRPr="00A241F5">
        <w:rPr>
          <w:lang w:val="en"/>
        </w:rPr>
        <w:tab/>
        <w:t>Disclosure about end of ORFS agreement for arbitration</w:t>
      </w:r>
      <w:bookmarkEnd w:id="210"/>
      <w:bookmarkEnd w:id="211"/>
    </w:p>
    <w:p w14:paraId="00588E48" w14:textId="77777777" w:rsidR="002125E0" w:rsidRPr="00A241F5" w:rsidRDefault="002125E0" w:rsidP="00AF234E">
      <w:pPr>
        <w:pStyle w:val="a02200-000Subsectione"/>
        <w:ind w:left="1195" w:hanging="475"/>
        <w:rPr>
          <w:lang w:val="en"/>
        </w:rPr>
      </w:pPr>
      <w:r w:rsidRPr="00A241F5">
        <w:rPr>
          <w:lang w:val="en"/>
        </w:rPr>
        <w:tab/>
        <w:t>(1)</w:t>
      </w:r>
      <w:r w:rsidRPr="00A241F5">
        <w:rPr>
          <w:lang w:val="en"/>
        </w:rPr>
        <w:tab/>
        <w:t>If an ORFS agreement for arbitration ends (other than because of the end of the arbitration), the client must give written notice of—</w:t>
      </w:r>
    </w:p>
    <w:p w14:paraId="6056FFD9" w14:textId="77777777" w:rsidR="002125E0" w:rsidRPr="00A241F5" w:rsidRDefault="002125E0" w:rsidP="002125E0">
      <w:pPr>
        <w:pStyle w:val="a02400-000Parae"/>
        <w:rPr>
          <w:lang w:val="en"/>
        </w:rPr>
      </w:pPr>
      <w:r w:rsidRPr="00A241F5">
        <w:rPr>
          <w:lang w:val="en"/>
        </w:rPr>
        <w:tab/>
        <w:t>(a)</w:t>
      </w:r>
      <w:r w:rsidRPr="00A241F5">
        <w:rPr>
          <w:lang w:val="en"/>
        </w:rPr>
        <w:tab/>
        <w:t>the fact that the ORFS agreement for arbitration has ended; and</w:t>
      </w:r>
    </w:p>
    <w:p w14:paraId="04A221AC" w14:textId="77777777" w:rsidR="002125E0" w:rsidRPr="00A241F5" w:rsidRDefault="002125E0" w:rsidP="002125E0">
      <w:pPr>
        <w:pStyle w:val="a02400-000Parae"/>
        <w:rPr>
          <w:lang w:val="en"/>
        </w:rPr>
      </w:pPr>
      <w:r w:rsidRPr="00A241F5">
        <w:rPr>
          <w:lang w:val="en"/>
        </w:rPr>
        <w:tab/>
        <w:t>(b)</w:t>
      </w:r>
      <w:r w:rsidRPr="00A241F5">
        <w:rPr>
          <w:lang w:val="en"/>
        </w:rPr>
        <w:tab/>
        <w:t>the date the ORFS agreement for arbitration ended.</w:t>
      </w:r>
    </w:p>
    <w:p w14:paraId="5AF26C52" w14:textId="77777777" w:rsidR="002125E0" w:rsidRPr="00A241F5" w:rsidRDefault="002125E0" w:rsidP="00AF234E">
      <w:pPr>
        <w:pStyle w:val="a02200-000Subsectione"/>
        <w:ind w:left="1195" w:hanging="475"/>
        <w:rPr>
          <w:lang w:val="en"/>
        </w:rPr>
      </w:pPr>
      <w:r w:rsidRPr="00A241F5">
        <w:rPr>
          <w:lang w:val="en"/>
        </w:rPr>
        <w:tab/>
        <w:t>(2)</w:t>
      </w:r>
      <w:r w:rsidRPr="00A241F5">
        <w:rPr>
          <w:lang w:val="en"/>
        </w:rPr>
        <w:tab/>
        <w:t>The notice must be given within 15 days after the ORFS agreement for arbitration ends.</w:t>
      </w:r>
    </w:p>
    <w:p w14:paraId="21325F68" w14:textId="77777777" w:rsidR="002125E0" w:rsidRPr="00A241F5" w:rsidRDefault="002125E0" w:rsidP="00AF234E">
      <w:pPr>
        <w:pStyle w:val="a02200-000Subsectione"/>
        <w:ind w:left="1195" w:hanging="475"/>
        <w:rPr>
          <w:lang w:val="en"/>
        </w:rPr>
      </w:pPr>
      <w:r w:rsidRPr="00A241F5">
        <w:rPr>
          <w:lang w:val="en"/>
        </w:rPr>
        <w:lastRenderedPageBreak/>
        <w:tab/>
        <w:t>(3)</w:t>
      </w:r>
      <w:r w:rsidRPr="00A241F5">
        <w:rPr>
          <w:lang w:val="en"/>
        </w:rPr>
        <w:tab/>
        <w:t>The notice must be given to—</w:t>
      </w:r>
    </w:p>
    <w:p w14:paraId="2482D58D" w14:textId="77777777" w:rsidR="002125E0" w:rsidRPr="00A241F5" w:rsidRDefault="002125E0" w:rsidP="002125E0">
      <w:pPr>
        <w:pStyle w:val="a02400-000Parae"/>
        <w:rPr>
          <w:lang w:val="en"/>
        </w:rPr>
      </w:pPr>
      <w:r w:rsidRPr="00A241F5">
        <w:rPr>
          <w:lang w:val="en"/>
        </w:rPr>
        <w:tab/>
        <w:t>(a)</w:t>
      </w:r>
      <w:r w:rsidRPr="00A241F5">
        <w:rPr>
          <w:lang w:val="en"/>
        </w:rPr>
        <w:tab/>
        <w:t>each other party to the arbitration; and</w:t>
      </w:r>
    </w:p>
    <w:p w14:paraId="4A47419D" w14:textId="77777777" w:rsidR="002125E0" w:rsidRPr="00A241F5" w:rsidRDefault="002125E0" w:rsidP="002125E0">
      <w:pPr>
        <w:pStyle w:val="a02400-000Parae"/>
        <w:rPr>
          <w:lang w:val="en"/>
        </w:rPr>
      </w:pPr>
      <w:r w:rsidRPr="00A241F5">
        <w:rPr>
          <w:lang w:val="en"/>
        </w:rPr>
        <w:tab/>
        <w:t>(b)</w:t>
      </w:r>
      <w:r w:rsidRPr="00A241F5">
        <w:rPr>
          <w:lang w:val="en"/>
        </w:rPr>
        <w:tab/>
        <w:t>the arbitration body (if any).</w:t>
      </w:r>
    </w:p>
    <w:p w14:paraId="2AACF123" w14:textId="77777777" w:rsidR="002125E0" w:rsidRPr="00A241F5" w:rsidRDefault="002125E0" w:rsidP="002125E0">
      <w:pPr>
        <w:pStyle w:val="a01700-000Sectionheadinge"/>
        <w:rPr>
          <w:lang w:val="en"/>
        </w:rPr>
      </w:pPr>
      <w:bookmarkStart w:id="212" w:name="_Toc79420785"/>
      <w:bookmarkStart w:id="213" w:name="_Toc80614516"/>
      <w:r w:rsidRPr="00A241F5">
        <w:rPr>
          <w:lang w:val="en"/>
        </w:rPr>
        <w:t>98ZR.</w:t>
      </w:r>
      <w:r w:rsidRPr="00A241F5">
        <w:rPr>
          <w:lang w:val="en"/>
        </w:rPr>
        <w:tab/>
        <w:t xml:space="preserve">Non-compliance with Division </w:t>
      </w:r>
      <w:bookmarkEnd w:id="212"/>
      <w:r w:rsidRPr="00A241F5">
        <w:rPr>
          <w:lang w:val="en"/>
        </w:rPr>
        <w:t>7</w:t>
      </w:r>
      <w:bookmarkEnd w:id="213"/>
    </w:p>
    <w:p w14:paraId="47ABA208" w14:textId="77777777" w:rsidR="002125E0" w:rsidRPr="00A241F5" w:rsidRDefault="002125E0" w:rsidP="00AF234E">
      <w:pPr>
        <w:pStyle w:val="a02200-000Subsectione"/>
        <w:ind w:left="1195" w:hanging="475"/>
        <w:rPr>
          <w:lang w:val="en"/>
        </w:rPr>
      </w:pPr>
      <w:r w:rsidRPr="00A241F5">
        <w:rPr>
          <w:lang w:val="en"/>
        </w:rPr>
        <w:tab/>
        <w:t>(1)</w:t>
      </w:r>
      <w:r w:rsidRPr="00A241F5">
        <w:rPr>
          <w:lang w:val="en"/>
        </w:rPr>
        <w:tab/>
        <w:t>A failure to comply with this Division does not, of itself, render any person liable to any judicial or other proceedings.</w:t>
      </w:r>
    </w:p>
    <w:p w14:paraId="1E73F057" w14:textId="77777777" w:rsidR="002125E0" w:rsidRPr="00A241F5" w:rsidRDefault="002125E0" w:rsidP="00AF234E">
      <w:pPr>
        <w:pStyle w:val="a02200-000Subsectione"/>
        <w:ind w:left="1195" w:hanging="475"/>
        <w:rPr>
          <w:lang w:val="en-US"/>
        </w:rPr>
      </w:pPr>
      <w:r w:rsidRPr="00A241F5">
        <w:rPr>
          <w:lang w:val="en"/>
        </w:rPr>
        <w:tab/>
        <w:t>(2)</w:t>
      </w:r>
      <w:r w:rsidRPr="00A241F5">
        <w:rPr>
          <w:lang w:val="en"/>
        </w:rPr>
        <w:tab/>
        <w:t>However, any compliance, or failure to comply, with this Division may be taken into account by any court or arbitral tribunal if it is relevant to a question being decided by the court or arbitral tribunal.</w:t>
      </w:r>
    </w:p>
    <w:p w14:paraId="60D7EE81" w14:textId="77777777" w:rsidR="002125E0" w:rsidRPr="00A241F5" w:rsidRDefault="002125E0" w:rsidP="002125E0">
      <w:pPr>
        <w:pStyle w:val="a01400-000Divheadinge"/>
        <w:ind w:left="960" w:hanging="480"/>
        <w:rPr>
          <w:lang w:val="en-US"/>
        </w:rPr>
      </w:pPr>
      <w:bookmarkStart w:id="214" w:name="_Toc77268320"/>
      <w:bookmarkStart w:id="215" w:name="_Toc77268359"/>
      <w:bookmarkStart w:id="216" w:name="_Toc78208232"/>
      <w:bookmarkStart w:id="217" w:name="_Toc78795560"/>
      <w:bookmarkStart w:id="218" w:name="_Toc78795683"/>
      <w:bookmarkStart w:id="219" w:name="_Toc79420786"/>
      <w:bookmarkStart w:id="220" w:name="_Toc79595080"/>
      <w:bookmarkStart w:id="221" w:name="_Toc79595118"/>
      <w:bookmarkStart w:id="222" w:name="_Toc80373692"/>
      <w:bookmarkStart w:id="223" w:name="_Toc80373759"/>
      <w:bookmarkStart w:id="224" w:name="_Toc80374004"/>
      <w:bookmarkStart w:id="225" w:name="_Toc80614517"/>
      <w:r w:rsidRPr="00A241F5">
        <w:rPr>
          <w:lang w:val="en-US"/>
        </w:rPr>
        <w:t>Division 8—Miscellaneous</w:t>
      </w:r>
      <w:bookmarkEnd w:id="214"/>
      <w:bookmarkEnd w:id="215"/>
      <w:bookmarkEnd w:id="216"/>
      <w:bookmarkEnd w:id="217"/>
      <w:bookmarkEnd w:id="218"/>
      <w:bookmarkEnd w:id="219"/>
      <w:bookmarkEnd w:id="220"/>
      <w:bookmarkEnd w:id="221"/>
      <w:bookmarkEnd w:id="222"/>
      <w:bookmarkEnd w:id="223"/>
      <w:bookmarkEnd w:id="224"/>
      <w:bookmarkEnd w:id="225"/>
    </w:p>
    <w:p w14:paraId="56E5ADD8" w14:textId="77777777" w:rsidR="002125E0" w:rsidRPr="00A241F5" w:rsidRDefault="002125E0" w:rsidP="002125E0">
      <w:pPr>
        <w:pStyle w:val="a01700-000Sectionheadinge"/>
        <w:rPr>
          <w:lang w:val="en"/>
        </w:rPr>
      </w:pPr>
      <w:bookmarkStart w:id="226" w:name="_Toc79420787"/>
      <w:bookmarkStart w:id="227" w:name="_Toc80614518"/>
      <w:r w:rsidRPr="00A241F5">
        <w:t>98ZS</w:t>
      </w:r>
      <w:r w:rsidRPr="00A241F5">
        <w:rPr>
          <w:lang w:val="en"/>
        </w:rPr>
        <w:t>.</w:t>
      </w:r>
      <w:r w:rsidRPr="00A241F5">
        <w:rPr>
          <w:lang w:val="en"/>
        </w:rPr>
        <w:tab/>
        <w:t>Appointment of advisory body and authorized body</w:t>
      </w:r>
      <w:bookmarkEnd w:id="226"/>
      <w:bookmarkEnd w:id="227"/>
    </w:p>
    <w:p w14:paraId="444B0F49" w14:textId="77777777" w:rsidR="002125E0" w:rsidRPr="00A241F5" w:rsidRDefault="002125E0" w:rsidP="00AF234E">
      <w:pPr>
        <w:pStyle w:val="a02200-000Subsectione"/>
        <w:ind w:left="1195" w:hanging="475"/>
        <w:rPr>
          <w:lang w:val="en"/>
        </w:rPr>
      </w:pPr>
      <w:r w:rsidRPr="00A241F5">
        <w:rPr>
          <w:lang w:val="en"/>
        </w:rPr>
        <w:tab/>
        <w:t>(1)</w:t>
      </w:r>
      <w:r w:rsidRPr="00A241F5">
        <w:rPr>
          <w:lang w:val="en"/>
        </w:rPr>
        <w:tab/>
        <w:t xml:space="preserve">The Secretary for Justice may, by notice published in the Gazette, appoint as the advisory body a person the Secretary for Justice considers appropriate to monitor and review the operation of this Part </w:t>
      </w:r>
      <w:r w:rsidRPr="00A241F5">
        <w:rPr>
          <w:shd w:val="clear" w:color="auto" w:fill="FFFFFF" w:themeFill="background1"/>
          <w:lang w:val="en" w:eastAsia="zh-HK"/>
        </w:rPr>
        <w:t xml:space="preserve">and </w:t>
      </w:r>
      <w:r w:rsidRPr="00A241F5">
        <w:rPr>
          <w:shd w:val="clear" w:color="auto" w:fill="FFFFFF" w:themeFill="background1"/>
          <w:lang w:val="en"/>
        </w:rPr>
        <w:t>exercise the powers under section 98ZL.</w:t>
      </w:r>
    </w:p>
    <w:p w14:paraId="0E9638DE" w14:textId="77777777" w:rsidR="002125E0" w:rsidRPr="00A241F5" w:rsidRDefault="002125E0" w:rsidP="00AF234E">
      <w:pPr>
        <w:pStyle w:val="a02200-000Subsectione"/>
        <w:ind w:left="1195" w:hanging="475"/>
        <w:rPr>
          <w:lang w:val="en"/>
        </w:rPr>
      </w:pPr>
      <w:r w:rsidRPr="00A241F5">
        <w:rPr>
          <w:lang w:val="en"/>
        </w:rPr>
        <w:tab/>
        <w:t>(2)</w:t>
      </w:r>
      <w:r w:rsidRPr="00A241F5">
        <w:rPr>
          <w:lang w:val="en"/>
        </w:rPr>
        <w:tab/>
        <w:t>The Secretary for Justice may, by notice published in the Gazette, appoint as the authorized body a person the Secretary for Justice considers appropriate to exercise the powers under section 98ZM.</w:t>
      </w:r>
    </w:p>
    <w:p w14:paraId="34104BDB" w14:textId="77777777" w:rsidR="002125E0" w:rsidRPr="00A241F5" w:rsidRDefault="002125E0" w:rsidP="002125E0">
      <w:pPr>
        <w:pStyle w:val="a01700-000Sectionheadinge"/>
        <w:rPr>
          <w:lang w:val="en"/>
        </w:rPr>
      </w:pPr>
      <w:bookmarkStart w:id="228" w:name="_Toc79420788"/>
      <w:bookmarkStart w:id="229" w:name="_Toc80614519"/>
      <w:r w:rsidRPr="00A241F5">
        <w:t>98ZT</w:t>
      </w:r>
      <w:r w:rsidRPr="00A241F5">
        <w:rPr>
          <w:lang w:val="en"/>
        </w:rPr>
        <w:t>.</w:t>
      </w:r>
      <w:r w:rsidRPr="00A241F5">
        <w:rPr>
          <w:lang w:val="en"/>
        </w:rPr>
        <w:tab/>
        <w:t>Limitation on award of costs by arbitral tribunal</w:t>
      </w:r>
      <w:bookmarkEnd w:id="228"/>
      <w:bookmarkEnd w:id="229"/>
    </w:p>
    <w:p w14:paraId="703AD4AA" w14:textId="77777777" w:rsidR="002125E0" w:rsidRPr="00A241F5" w:rsidRDefault="002125E0" w:rsidP="00AF234E">
      <w:pPr>
        <w:pStyle w:val="a02200-000Subsectione"/>
        <w:ind w:left="1195" w:hanging="475"/>
        <w:rPr>
          <w:lang w:val="en"/>
        </w:rPr>
      </w:pPr>
      <w:r w:rsidRPr="00A241F5">
        <w:rPr>
          <w:lang w:val="en"/>
        </w:rPr>
        <w:tab/>
        <w:t>(1)</w:t>
      </w:r>
      <w:r w:rsidRPr="00A241F5">
        <w:rPr>
          <w:lang w:val="en"/>
        </w:rPr>
        <w:tab/>
        <w:t>Despite section 74(3), an arbitral tribunal may not order costs falling within any of the following descriptions to be paid to a party where an ORFS agreement has been entered into with the lawyer of the party for that arbitration—</w:t>
      </w:r>
    </w:p>
    <w:p w14:paraId="1BFD823C" w14:textId="77777777" w:rsidR="002125E0" w:rsidRPr="00A241F5" w:rsidRDefault="002125E0" w:rsidP="002125E0">
      <w:pPr>
        <w:pStyle w:val="a02400-000Parae"/>
        <w:rPr>
          <w:b/>
          <w:i/>
          <w:lang w:val="en"/>
        </w:rPr>
      </w:pPr>
      <w:r w:rsidRPr="00A241F5">
        <w:rPr>
          <w:lang w:val="en"/>
        </w:rPr>
        <w:tab/>
        <w:t>(a)</w:t>
      </w:r>
      <w:r w:rsidRPr="00A241F5">
        <w:rPr>
          <w:lang w:val="en"/>
        </w:rPr>
        <w:tab/>
        <w:t>if the ORFS agreement for the arbitration is a conditional fee agreement—the success fee within the meaning of section 98ZB(2);</w:t>
      </w:r>
    </w:p>
    <w:p w14:paraId="6779F0AA" w14:textId="77777777" w:rsidR="002125E0" w:rsidRPr="00A241F5" w:rsidRDefault="002125E0" w:rsidP="002125E0">
      <w:pPr>
        <w:pStyle w:val="a02400-000Parae"/>
        <w:rPr>
          <w:lang w:val="en"/>
        </w:rPr>
      </w:pPr>
      <w:r w:rsidRPr="00A241F5">
        <w:rPr>
          <w:lang w:val="en"/>
        </w:rPr>
        <w:tab/>
        <w:t>(b)</w:t>
      </w:r>
      <w:r w:rsidRPr="00A241F5">
        <w:rPr>
          <w:lang w:val="en"/>
        </w:rPr>
        <w:tab/>
        <w:t>any premium for a legal expenses insurance contract;</w:t>
      </w:r>
    </w:p>
    <w:p w14:paraId="4C12A4CA" w14:textId="77777777" w:rsidR="002125E0" w:rsidRPr="00A241F5" w:rsidRDefault="002125E0" w:rsidP="002125E0">
      <w:pPr>
        <w:pStyle w:val="a02400-000Parae"/>
        <w:rPr>
          <w:b/>
          <w:i/>
          <w:sz w:val="20"/>
          <w:lang w:val="en"/>
        </w:rPr>
      </w:pPr>
      <w:r w:rsidRPr="00A241F5">
        <w:rPr>
          <w:lang w:val="en"/>
        </w:rPr>
        <w:tab/>
        <w:t>(c)</w:t>
      </w:r>
      <w:r w:rsidRPr="00A241F5">
        <w:rPr>
          <w:lang w:val="en"/>
        </w:rPr>
        <w:tab/>
        <w:t>any part of the fee that is greater than the fee that the lawyer would have been entitled to be paid by the client if there were no ORFS agreement in respect of the arbitration (</w:t>
      </w:r>
      <w:r w:rsidRPr="00A241F5">
        <w:rPr>
          <w:b/>
          <w:i/>
          <w:lang w:val="en"/>
        </w:rPr>
        <w:t>normal fee</w:t>
      </w:r>
      <w:r w:rsidRPr="00A241F5">
        <w:rPr>
          <w:lang w:val="en"/>
        </w:rPr>
        <w:t>),</w:t>
      </w:r>
    </w:p>
    <w:p w14:paraId="0248BCF7" w14:textId="77777777" w:rsidR="002125E0" w:rsidRPr="00A241F5" w:rsidRDefault="002125E0" w:rsidP="002125E0">
      <w:pPr>
        <w:pStyle w:val="a0220s-000Sandwichforsubsectione"/>
        <w:rPr>
          <w:b/>
          <w:i/>
          <w:lang w:val="en"/>
        </w:rPr>
      </w:pPr>
      <w:r w:rsidRPr="00A241F5">
        <w:rPr>
          <w:lang w:val="en"/>
        </w:rPr>
        <w:t>unless the arbitral tribunal is satisfied that are exceptional circumstances justifying the ordering of such costs.</w:t>
      </w:r>
    </w:p>
    <w:p w14:paraId="3B861291" w14:textId="77777777" w:rsidR="002125E0" w:rsidRPr="00A241F5" w:rsidRDefault="002125E0" w:rsidP="00AF234E">
      <w:pPr>
        <w:pStyle w:val="a02200-000Subsectione"/>
        <w:ind w:left="1195" w:hanging="475"/>
        <w:rPr>
          <w:lang w:val="en"/>
        </w:rPr>
      </w:pPr>
      <w:r w:rsidRPr="00A241F5">
        <w:rPr>
          <w:lang w:val="en"/>
        </w:rPr>
        <w:tab/>
        <w:t>(2)</w:t>
      </w:r>
      <w:r w:rsidRPr="00A241F5">
        <w:rPr>
          <w:lang w:val="en"/>
        </w:rPr>
        <w:tab/>
        <w:t>To avoid doubt, subsection (1) does not prevent the arbitral tribunal from ordering a party to pay costs in an amount not exceeding the amount of the normal fee.</w:t>
      </w:r>
    </w:p>
    <w:p w14:paraId="2D0290DE" w14:textId="53FCDC7E" w:rsidR="00C2131F" w:rsidRPr="00A241F5" w:rsidRDefault="00C2131F" w:rsidP="002125E0">
      <w:pPr>
        <w:pStyle w:val="a06300-000Exmemonoteparae"/>
        <w:ind w:left="0" w:firstLine="0"/>
        <w:rPr>
          <w:lang w:val="en-US"/>
        </w:rPr>
      </w:pPr>
    </w:p>
    <w:p w14:paraId="26A3B686" w14:textId="77777777" w:rsidR="00C2131F" w:rsidRPr="00A241F5" w:rsidRDefault="00C2131F" w:rsidP="002125E0">
      <w:pPr>
        <w:pStyle w:val="a06300-000Exmemonoteparae"/>
        <w:ind w:left="0" w:firstLine="0"/>
        <w:rPr>
          <w:lang w:val="en-US"/>
        </w:rPr>
        <w:sectPr w:rsidR="00C2131F" w:rsidRPr="00A241F5" w:rsidSect="00303CFD">
          <w:footerReference w:type="default" r:id="rId27"/>
          <w:pgSz w:w="11907" w:h="16839" w:code="9"/>
          <w:pgMar w:top="1440" w:right="1800" w:bottom="1440" w:left="1800" w:header="720" w:footer="720" w:gutter="0"/>
          <w:cols w:space="425"/>
          <w:docGrid w:type="lines" w:linePitch="360"/>
        </w:sectPr>
      </w:pPr>
    </w:p>
    <w:p w14:paraId="6ABC5CDD" w14:textId="572505A3" w:rsidR="001238F2" w:rsidRPr="00A241F5" w:rsidRDefault="001238F2" w:rsidP="001238F2">
      <w:pPr>
        <w:pStyle w:val="a08100-000ToCtitlee"/>
        <w:snapToGrid w:val="0"/>
        <w:spacing w:before="0" w:after="120" w:line="240" w:lineRule="auto"/>
        <w:jc w:val="right"/>
        <w:rPr>
          <w:rFonts w:cs="Arial"/>
          <w:sz w:val="26"/>
          <w:szCs w:val="26"/>
        </w:rPr>
      </w:pPr>
      <w:bookmarkStart w:id="230" w:name="_Toc459106066"/>
      <w:bookmarkStart w:id="231" w:name="_Toc460249309"/>
      <w:bookmarkStart w:id="232" w:name="_Toc442361839"/>
      <w:r w:rsidRPr="00A241F5">
        <w:rPr>
          <w:rFonts w:ascii="Arial" w:eastAsia="Arial" w:hAnsi="Arial"/>
          <w:kern w:val="2"/>
          <w:sz w:val="26"/>
          <w:szCs w:val="26"/>
          <w:lang w:val="en-US"/>
        </w:rPr>
        <w:lastRenderedPageBreak/>
        <w:t>Anne</w:t>
      </w:r>
      <w:bookmarkStart w:id="233" w:name="Annex2"/>
      <w:bookmarkEnd w:id="233"/>
      <w:r w:rsidRPr="00A241F5">
        <w:rPr>
          <w:rFonts w:ascii="Arial" w:eastAsia="Arial" w:hAnsi="Arial"/>
          <w:kern w:val="2"/>
          <w:sz w:val="26"/>
          <w:szCs w:val="26"/>
          <w:lang w:val="en-US"/>
        </w:rPr>
        <w:t xml:space="preserve">x 2 </w:t>
      </w:r>
    </w:p>
    <w:p w14:paraId="57436CF7" w14:textId="77777777" w:rsidR="001238F2" w:rsidRPr="00A241F5" w:rsidRDefault="001238F2" w:rsidP="001238F2"/>
    <w:p w14:paraId="50B82209" w14:textId="77777777" w:rsidR="001238F2" w:rsidRPr="00A241F5" w:rsidRDefault="001238F2" w:rsidP="001238F2">
      <w:pPr>
        <w:pStyle w:val="a08100-000ToCtitlee"/>
        <w:snapToGrid w:val="0"/>
        <w:spacing w:line="240" w:lineRule="auto"/>
        <w:rPr>
          <w:rFonts w:ascii="Arial" w:hAnsi="Arial" w:cs="Arial"/>
          <w:lang w:val="en-US"/>
        </w:rPr>
      </w:pPr>
      <w:r w:rsidRPr="00A241F5">
        <w:rPr>
          <w:rFonts w:ascii="Arial" w:hAnsi="Arial" w:cs="Arial"/>
          <w:lang w:val="en-US"/>
        </w:rPr>
        <w:t xml:space="preserve">Recommended ORFS safeguards to be included </w:t>
      </w:r>
    </w:p>
    <w:p w14:paraId="42FE9919" w14:textId="77777777" w:rsidR="001238F2" w:rsidRPr="00A241F5" w:rsidRDefault="001238F2" w:rsidP="001238F2">
      <w:pPr>
        <w:pStyle w:val="a08100-000ToCtitlee"/>
        <w:snapToGrid w:val="0"/>
        <w:spacing w:line="240" w:lineRule="auto"/>
        <w:rPr>
          <w:rFonts w:ascii="Arial" w:hAnsi="Arial" w:cs="Arial"/>
          <w:lang w:val="en-US"/>
        </w:rPr>
      </w:pPr>
      <w:r w:rsidRPr="00A241F5">
        <w:rPr>
          <w:rFonts w:ascii="Arial" w:hAnsi="Arial" w:cs="Arial"/>
          <w:lang w:val="en-US"/>
        </w:rPr>
        <w:t>in subsidiary legislation</w:t>
      </w:r>
    </w:p>
    <w:p w14:paraId="3C442827" w14:textId="77777777" w:rsidR="001238F2" w:rsidRPr="00A241F5" w:rsidRDefault="001238F2" w:rsidP="001238F2">
      <w:pPr>
        <w:pStyle w:val="a08100-000ToCtitlee"/>
        <w:snapToGrid w:val="0"/>
        <w:spacing w:line="240" w:lineRule="auto"/>
        <w:rPr>
          <w:rFonts w:ascii="Arial" w:hAnsi="Arial" w:cs="Arial"/>
        </w:rPr>
      </w:pPr>
    </w:p>
    <w:p w14:paraId="1DC5325E" w14:textId="77777777" w:rsidR="001238F2" w:rsidRPr="00A241F5" w:rsidRDefault="001238F2" w:rsidP="001238F2">
      <w:pPr>
        <w:widowControl/>
        <w:tabs>
          <w:tab w:val="clear" w:pos="1418"/>
          <w:tab w:val="left" w:pos="1440"/>
        </w:tabs>
        <w:rPr>
          <w:rFonts w:eastAsiaTheme="minorEastAsia" w:cs="Arial"/>
        </w:rPr>
      </w:pPr>
      <w:r w:rsidRPr="00A241F5">
        <w:rPr>
          <w:rFonts w:eastAsiaTheme="minorEastAsia" w:cs="Arial"/>
        </w:rPr>
        <w:t>1.</w:t>
      </w:r>
      <w:r w:rsidRPr="00A241F5">
        <w:rPr>
          <w:rFonts w:eastAsiaTheme="minorEastAsia" w:cs="Arial"/>
        </w:rPr>
        <w:tab/>
      </w:r>
      <w:r w:rsidRPr="00A241F5">
        <w:rPr>
          <w:rFonts w:eastAsiaTheme="minorEastAsia" w:cs="Arial" w:hint="eastAsia"/>
        </w:rPr>
        <w:t>T</w:t>
      </w:r>
      <w:r w:rsidRPr="00A241F5">
        <w:rPr>
          <w:rFonts w:eastAsiaTheme="minorEastAsia" w:cs="Arial"/>
        </w:rPr>
        <w:t>he subsidiary legislation should include provisions as set out below:</w:t>
      </w:r>
    </w:p>
    <w:p w14:paraId="3129FD97" w14:textId="77777777" w:rsidR="001238F2" w:rsidRPr="00A241F5" w:rsidRDefault="001238F2" w:rsidP="001238F2">
      <w:pPr>
        <w:widowControl/>
        <w:tabs>
          <w:tab w:val="clear" w:pos="1418"/>
          <w:tab w:val="left" w:pos="1440"/>
        </w:tabs>
        <w:rPr>
          <w:rFonts w:eastAsiaTheme="minorEastAsia" w:cs="Arial"/>
        </w:rPr>
      </w:pPr>
    </w:p>
    <w:p w14:paraId="32F26199" w14:textId="24662865" w:rsidR="001238F2" w:rsidRPr="00A241F5" w:rsidRDefault="001238F2" w:rsidP="00022BC8">
      <w:pPr>
        <w:pStyle w:val="ListParagraph"/>
        <w:widowControl/>
        <w:numPr>
          <w:ilvl w:val="0"/>
          <w:numId w:val="17"/>
        </w:numPr>
        <w:tabs>
          <w:tab w:val="clear" w:pos="1418"/>
          <w:tab w:val="left" w:pos="1440"/>
        </w:tabs>
        <w:ind w:leftChars="0"/>
        <w:rPr>
          <w:rFonts w:cs="Arial"/>
        </w:rPr>
      </w:pPr>
      <w:r w:rsidRPr="00A241F5">
        <w:rPr>
          <w:rFonts w:eastAsiaTheme="minorEastAsia" w:cs="Arial"/>
        </w:rPr>
        <w:t xml:space="preserve">any Success Fee in a CFA should be subject to a cap of 100% of </w:t>
      </w:r>
      <w:r w:rsidR="00C61F4B" w:rsidRPr="00A241F5">
        <w:rPr>
          <w:rFonts w:eastAsiaTheme="minorEastAsia" w:cs="Arial"/>
        </w:rPr>
        <w:t>"</w:t>
      </w:r>
      <w:r w:rsidRPr="00A241F5">
        <w:rPr>
          <w:rFonts w:eastAsiaTheme="minorEastAsia" w:cs="Arial"/>
        </w:rPr>
        <w:t>benchmark</w:t>
      </w:r>
      <w:r w:rsidR="00C61F4B" w:rsidRPr="00A241F5">
        <w:rPr>
          <w:rFonts w:eastAsiaTheme="minorEastAsia" w:cs="Arial"/>
        </w:rPr>
        <w:t>"</w:t>
      </w:r>
      <w:r w:rsidRPr="00A241F5">
        <w:rPr>
          <w:rFonts w:eastAsiaTheme="minorEastAsia" w:cs="Arial"/>
        </w:rPr>
        <w:t xml:space="preserve"> costs;</w:t>
      </w:r>
    </w:p>
    <w:p w14:paraId="1796F8F6" w14:textId="77777777" w:rsidR="001238F2" w:rsidRPr="00A241F5" w:rsidRDefault="001238F2" w:rsidP="001238F2">
      <w:pPr>
        <w:pStyle w:val="ListParagraph"/>
        <w:widowControl/>
        <w:tabs>
          <w:tab w:val="clear" w:pos="1418"/>
          <w:tab w:val="left" w:pos="1440"/>
        </w:tabs>
        <w:ind w:leftChars="0" w:left="1440"/>
        <w:rPr>
          <w:rFonts w:cs="Arial"/>
        </w:rPr>
      </w:pPr>
    </w:p>
    <w:p w14:paraId="15D9A8B2" w14:textId="1DC558F3" w:rsidR="001238F2" w:rsidRPr="00A241F5" w:rsidRDefault="001238F2" w:rsidP="00022BC8">
      <w:pPr>
        <w:pStyle w:val="ListParagraph"/>
        <w:widowControl/>
        <w:numPr>
          <w:ilvl w:val="0"/>
          <w:numId w:val="17"/>
        </w:numPr>
        <w:tabs>
          <w:tab w:val="clear" w:pos="1418"/>
          <w:tab w:val="left" w:pos="1440"/>
        </w:tabs>
        <w:ind w:leftChars="0"/>
        <w:rPr>
          <w:rFonts w:cs="Arial"/>
        </w:rPr>
      </w:pPr>
      <w:r w:rsidRPr="00A241F5">
        <w:rPr>
          <w:rFonts w:cs="Arial"/>
        </w:rPr>
        <w:t>any DBA Payment should be capped at 50% of the Financial Benefit obtained by the client;</w:t>
      </w:r>
    </w:p>
    <w:p w14:paraId="5A297866" w14:textId="77777777" w:rsidR="001238F2" w:rsidRPr="00A241F5" w:rsidRDefault="001238F2" w:rsidP="001238F2">
      <w:pPr>
        <w:pStyle w:val="ListParagraph"/>
        <w:rPr>
          <w:rFonts w:cs="Arial"/>
        </w:rPr>
      </w:pPr>
    </w:p>
    <w:p w14:paraId="03FCC2B1" w14:textId="12573F5C" w:rsidR="001238F2" w:rsidRPr="00A241F5" w:rsidRDefault="001238F2" w:rsidP="00022BC8">
      <w:pPr>
        <w:pStyle w:val="ListParagraph"/>
        <w:widowControl/>
        <w:numPr>
          <w:ilvl w:val="0"/>
          <w:numId w:val="17"/>
        </w:numPr>
        <w:tabs>
          <w:tab w:val="clear" w:pos="1418"/>
          <w:tab w:val="left" w:pos="1440"/>
        </w:tabs>
        <w:ind w:leftChars="0"/>
        <w:rPr>
          <w:rFonts w:cs="Arial"/>
        </w:rPr>
      </w:pPr>
      <w:r w:rsidRPr="00A241F5">
        <w:rPr>
          <w:rFonts w:cs="Arial"/>
        </w:rPr>
        <w:t>to the extent that barristers can be, and are, engaged directly, via a separate DBA, including Hybrid DBA, by the client, a solicitor</w:t>
      </w:r>
      <w:r w:rsidR="00C61F4B" w:rsidRPr="00A241F5">
        <w:rPr>
          <w:rFonts w:cs="Arial"/>
        </w:rPr>
        <w:t>'</w:t>
      </w:r>
      <w:r w:rsidRPr="00A241F5">
        <w:rPr>
          <w:rFonts w:cs="Arial"/>
        </w:rPr>
        <w:t>s DBA Payment plus a barrister</w:t>
      </w:r>
      <w:r w:rsidR="00C61F4B" w:rsidRPr="00A241F5">
        <w:rPr>
          <w:rFonts w:cs="Arial"/>
        </w:rPr>
        <w:t>'</w:t>
      </w:r>
      <w:r w:rsidRPr="00A241F5">
        <w:rPr>
          <w:rFonts w:cs="Arial"/>
        </w:rPr>
        <w:t>s DBA Payment in relation to the same claim or Proceedings should not exceed the</w:t>
      </w:r>
      <w:r w:rsidR="000C62AF" w:rsidRPr="00A241F5">
        <w:rPr>
          <w:rFonts w:cs="Arial"/>
        </w:rPr>
        <w:t xml:space="preserve"> prescribed</w:t>
      </w:r>
      <w:r w:rsidRPr="00A241F5">
        <w:rPr>
          <w:rFonts w:cs="Arial"/>
        </w:rPr>
        <w:t xml:space="preserve"> DBA Payment cap;</w:t>
      </w:r>
    </w:p>
    <w:p w14:paraId="12C5A76B" w14:textId="77777777" w:rsidR="001238F2" w:rsidRPr="00A241F5" w:rsidRDefault="001238F2" w:rsidP="001238F2">
      <w:pPr>
        <w:pStyle w:val="ListParagraph"/>
        <w:rPr>
          <w:rFonts w:cs="Arial"/>
        </w:rPr>
      </w:pPr>
    </w:p>
    <w:p w14:paraId="43B4604E" w14:textId="77777777" w:rsidR="001238F2" w:rsidRPr="00A241F5" w:rsidRDefault="001238F2" w:rsidP="00022BC8">
      <w:pPr>
        <w:pStyle w:val="ListParagraph"/>
        <w:widowControl/>
        <w:numPr>
          <w:ilvl w:val="0"/>
          <w:numId w:val="17"/>
        </w:numPr>
        <w:tabs>
          <w:tab w:val="clear" w:pos="1418"/>
          <w:tab w:val="left" w:pos="1440"/>
        </w:tabs>
        <w:ind w:leftChars="0"/>
        <w:rPr>
          <w:rFonts w:cs="Arial"/>
        </w:rPr>
      </w:pPr>
      <w:r w:rsidRPr="00A241F5">
        <w:rPr>
          <w:rFonts w:eastAsiaTheme="minorEastAsia" w:cs="Arial" w:hint="eastAsia"/>
        </w:rPr>
        <w:t>the Success fee model should apply to DBAs</w:t>
      </w:r>
      <w:r w:rsidRPr="00A241F5">
        <w:rPr>
          <w:rFonts w:eastAsiaTheme="minorEastAsia" w:cs="Arial"/>
        </w:rPr>
        <w:t>, including Hybrid DBAs;</w:t>
      </w:r>
    </w:p>
    <w:p w14:paraId="79DF5F28" w14:textId="77777777" w:rsidR="001238F2" w:rsidRPr="00A241F5" w:rsidRDefault="001238F2" w:rsidP="001238F2">
      <w:pPr>
        <w:pStyle w:val="ListParagraph"/>
        <w:rPr>
          <w:rFonts w:cs="Arial"/>
        </w:rPr>
      </w:pPr>
    </w:p>
    <w:p w14:paraId="09528509" w14:textId="77777777" w:rsidR="001238F2" w:rsidRPr="00A241F5" w:rsidRDefault="001238F2" w:rsidP="00022BC8">
      <w:pPr>
        <w:pStyle w:val="ListParagraph"/>
        <w:widowControl/>
        <w:numPr>
          <w:ilvl w:val="0"/>
          <w:numId w:val="17"/>
        </w:numPr>
        <w:tabs>
          <w:tab w:val="clear" w:pos="1418"/>
          <w:tab w:val="left" w:pos="1440"/>
        </w:tabs>
        <w:ind w:leftChars="0"/>
        <w:rPr>
          <w:rFonts w:cs="Arial"/>
        </w:rPr>
      </w:pPr>
      <w:r w:rsidRPr="00A241F5">
        <w:rPr>
          <w:rFonts w:cs="Arial"/>
        </w:rPr>
        <w:t xml:space="preserve">in the event that a claim under a Hybrid DBA is unsuccessful (such that no Financial Benefit is obtained), </w:t>
      </w:r>
    </w:p>
    <w:p w14:paraId="3DC6555B" w14:textId="77777777" w:rsidR="001238F2" w:rsidRPr="00A241F5" w:rsidRDefault="001238F2" w:rsidP="001238F2">
      <w:pPr>
        <w:pStyle w:val="ListParagraph"/>
        <w:widowControl/>
        <w:tabs>
          <w:tab w:val="clear" w:pos="1418"/>
          <w:tab w:val="left" w:pos="1440"/>
        </w:tabs>
        <w:ind w:leftChars="0" w:left="1440"/>
        <w:rPr>
          <w:rFonts w:cs="Arial"/>
        </w:rPr>
      </w:pPr>
    </w:p>
    <w:p w14:paraId="7CC5488A" w14:textId="4CCA0B78" w:rsidR="001238F2" w:rsidRPr="00A241F5" w:rsidRDefault="001238F2" w:rsidP="00022BC8">
      <w:pPr>
        <w:pStyle w:val="ListParagraph"/>
        <w:widowControl/>
        <w:numPr>
          <w:ilvl w:val="0"/>
          <w:numId w:val="18"/>
        </w:numPr>
        <w:tabs>
          <w:tab w:val="clear" w:pos="1418"/>
          <w:tab w:val="left" w:pos="1440"/>
        </w:tabs>
        <w:ind w:leftChars="600" w:left="2160"/>
        <w:rPr>
          <w:rFonts w:cs="Arial"/>
        </w:rPr>
      </w:pPr>
      <w:r w:rsidRPr="00A241F5">
        <w:rPr>
          <w:rFonts w:cs="Arial"/>
        </w:rPr>
        <w:t xml:space="preserve">the Lawyer should be permitted to retain only a proportion of the </w:t>
      </w:r>
      <w:r w:rsidR="0073058E" w:rsidRPr="00A241F5">
        <w:rPr>
          <w:rFonts w:cs="Arial"/>
        </w:rPr>
        <w:t xml:space="preserve">"benchmark" </w:t>
      </w:r>
      <w:r w:rsidRPr="00A241F5">
        <w:rPr>
          <w:rFonts w:cs="Arial"/>
        </w:rPr>
        <w:t xml:space="preserve">costs he or she has incurred in pursuing the unsuccessful claim; </w:t>
      </w:r>
      <w:r w:rsidR="000C62AF" w:rsidRPr="00A241F5">
        <w:rPr>
          <w:rFonts w:cs="Arial"/>
        </w:rPr>
        <w:t>and</w:t>
      </w:r>
    </w:p>
    <w:p w14:paraId="377CD716" w14:textId="77777777" w:rsidR="001238F2" w:rsidRPr="00A241F5" w:rsidRDefault="001238F2" w:rsidP="001238F2">
      <w:pPr>
        <w:pStyle w:val="ListParagraph"/>
        <w:widowControl/>
        <w:tabs>
          <w:tab w:val="clear" w:pos="1418"/>
          <w:tab w:val="left" w:pos="1440"/>
        </w:tabs>
        <w:ind w:leftChars="0" w:left="1440"/>
        <w:rPr>
          <w:rFonts w:cs="Arial"/>
        </w:rPr>
      </w:pPr>
    </w:p>
    <w:p w14:paraId="4B5431B2" w14:textId="36F23227" w:rsidR="001238F2" w:rsidRPr="00A241F5" w:rsidRDefault="001238F2" w:rsidP="00022BC8">
      <w:pPr>
        <w:pStyle w:val="ListParagraph"/>
        <w:widowControl/>
        <w:numPr>
          <w:ilvl w:val="0"/>
          <w:numId w:val="18"/>
        </w:numPr>
        <w:tabs>
          <w:tab w:val="clear" w:pos="1418"/>
          <w:tab w:val="left" w:pos="1440"/>
        </w:tabs>
        <w:ind w:leftChars="600" w:left="2160"/>
        <w:rPr>
          <w:rFonts w:cs="Arial"/>
        </w:rPr>
      </w:pPr>
      <w:r w:rsidRPr="00A241F5">
        <w:rPr>
          <w:rFonts w:cs="Arial"/>
        </w:rPr>
        <w:t xml:space="preserve">that proportion should be capped at 50% of the irrecoverable costs incurred in pursuing the unsuccessful claim; </w:t>
      </w:r>
    </w:p>
    <w:p w14:paraId="7803572C" w14:textId="77777777" w:rsidR="001238F2" w:rsidRPr="00A241F5" w:rsidRDefault="001238F2" w:rsidP="001238F2">
      <w:pPr>
        <w:pStyle w:val="ListParagraph"/>
        <w:widowControl/>
        <w:tabs>
          <w:tab w:val="clear" w:pos="1418"/>
          <w:tab w:val="left" w:pos="1440"/>
        </w:tabs>
        <w:ind w:leftChars="0" w:left="1440"/>
        <w:rPr>
          <w:rFonts w:cs="Arial"/>
        </w:rPr>
      </w:pPr>
    </w:p>
    <w:p w14:paraId="33342733" w14:textId="1B8F492A" w:rsidR="001238F2" w:rsidRPr="00A241F5" w:rsidRDefault="001238F2" w:rsidP="00022BC8">
      <w:pPr>
        <w:pStyle w:val="ListParagraph"/>
        <w:widowControl/>
        <w:numPr>
          <w:ilvl w:val="0"/>
          <w:numId w:val="17"/>
        </w:numPr>
        <w:tabs>
          <w:tab w:val="clear" w:pos="1418"/>
          <w:tab w:val="left" w:pos="1440"/>
        </w:tabs>
        <w:ind w:leftChars="0"/>
        <w:rPr>
          <w:rFonts w:cs="Arial"/>
        </w:rPr>
      </w:pPr>
      <w:r w:rsidRPr="00A241F5">
        <w:rPr>
          <w:rFonts w:cs="Arial"/>
        </w:rPr>
        <w:t xml:space="preserve">if the DBA Payment </w:t>
      </w:r>
      <w:r w:rsidR="003634A7" w:rsidRPr="00A241F5">
        <w:rPr>
          <w:rFonts w:cs="Arial"/>
        </w:rPr>
        <w:t xml:space="preserve">plus the recoverable costs </w:t>
      </w:r>
      <w:r w:rsidRPr="00A241F5">
        <w:rPr>
          <w:rFonts w:cs="Arial"/>
        </w:rPr>
        <w:t>for a Hybrid DBA (in a successful scenario) is less than the capped amount of irrecoverable costs</w:t>
      </w:r>
      <w:r w:rsidR="003634A7" w:rsidRPr="00A241F5">
        <w:rPr>
          <w:rFonts w:cs="Arial"/>
        </w:rPr>
        <w:t xml:space="preserve"> </w:t>
      </w:r>
      <w:r w:rsidR="003634A7" w:rsidRPr="00A241F5">
        <w:t>(which is 50% of the irrecoverable costs incurred in pursuing the unsuccessful claim)</w:t>
      </w:r>
      <w:r w:rsidRPr="00A241F5">
        <w:rPr>
          <w:rFonts w:cs="Arial"/>
        </w:rPr>
        <w:t>, the Lawyer is entitled to retain the capped amount of irrecoverable costs instead of the DBA Payment</w:t>
      </w:r>
      <w:r w:rsidR="0020774A" w:rsidRPr="00A241F5">
        <w:rPr>
          <w:rFonts w:cs="Arial"/>
        </w:rPr>
        <w:t xml:space="preserve"> </w:t>
      </w:r>
      <w:r w:rsidR="0020774A" w:rsidRPr="00A241F5">
        <w:t>plus the recoverable costs</w:t>
      </w:r>
      <w:r w:rsidRPr="00A241F5">
        <w:rPr>
          <w:rFonts w:cs="Arial"/>
        </w:rPr>
        <w:t>;</w:t>
      </w:r>
    </w:p>
    <w:p w14:paraId="72D09EE0" w14:textId="77777777" w:rsidR="001238F2" w:rsidRPr="00A241F5" w:rsidRDefault="001238F2" w:rsidP="001238F2">
      <w:pPr>
        <w:pStyle w:val="ListParagraph"/>
        <w:widowControl/>
        <w:tabs>
          <w:tab w:val="clear" w:pos="1418"/>
          <w:tab w:val="left" w:pos="1440"/>
        </w:tabs>
        <w:ind w:leftChars="0" w:left="1440"/>
        <w:rPr>
          <w:rFonts w:cs="Arial"/>
        </w:rPr>
      </w:pPr>
    </w:p>
    <w:p w14:paraId="486BDEED" w14:textId="07C5F182" w:rsidR="001238F2" w:rsidRPr="00A241F5" w:rsidRDefault="001238F2" w:rsidP="00022BC8">
      <w:pPr>
        <w:pStyle w:val="ListParagraph"/>
        <w:widowControl/>
        <w:numPr>
          <w:ilvl w:val="0"/>
          <w:numId w:val="17"/>
        </w:numPr>
        <w:tabs>
          <w:tab w:val="clear" w:pos="1418"/>
          <w:tab w:val="left" w:pos="1440"/>
        </w:tabs>
        <w:ind w:leftChars="0"/>
        <w:rPr>
          <w:rFonts w:cs="Arial"/>
        </w:rPr>
      </w:pPr>
      <w:r w:rsidRPr="00A241F5">
        <w:rPr>
          <w:rFonts w:cs="Arial"/>
        </w:rPr>
        <w:t>the ORFS must be in writing and signed by the client;</w:t>
      </w:r>
    </w:p>
    <w:p w14:paraId="6D540522" w14:textId="77777777" w:rsidR="001238F2" w:rsidRPr="00A241F5" w:rsidRDefault="001238F2" w:rsidP="001238F2">
      <w:pPr>
        <w:pStyle w:val="ListParagraph"/>
        <w:widowControl/>
        <w:tabs>
          <w:tab w:val="clear" w:pos="1418"/>
          <w:tab w:val="left" w:pos="1440"/>
        </w:tabs>
        <w:ind w:leftChars="0" w:left="1440"/>
        <w:rPr>
          <w:rFonts w:cs="Arial"/>
        </w:rPr>
      </w:pPr>
    </w:p>
    <w:p w14:paraId="4B55DDCA" w14:textId="38F3E109" w:rsidR="001238F2" w:rsidRPr="00A241F5" w:rsidRDefault="001238F2" w:rsidP="00022BC8">
      <w:pPr>
        <w:pStyle w:val="ListParagraph"/>
        <w:widowControl/>
        <w:numPr>
          <w:ilvl w:val="0"/>
          <w:numId w:val="17"/>
        </w:numPr>
        <w:tabs>
          <w:tab w:val="clear" w:pos="1418"/>
          <w:tab w:val="left" w:pos="1440"/>
        </w:tabs>
        <w:ind w:leftChars="0"/>
        <w:rPr>
          <w:rFonts w:cs="Arial"/>
        </w:rPr>
      </w:pPr>
      <w:r w:rsidRPr="00A241F5">
        <w:rPr>
          <w:rFonts w:cs="Arial"/>
        </w:rPr>
        <w:t xml:space="preserve">the Lawyer should give the client all relevant information relating to the ORFS, and </w:t>
      </w:r>
      <w:r w:rsidR="000C62AF" w:rsidRPr="00A241F5">
        <w:rPr>
          <w:rFonts w:cs="Arial"/>
        </w:rPr>
        <w:t xml:space="preserve">should </w:t>
      </w:r>
      <w:r w:rsidRPr="00A241F5">
        <w:rPr>
          <w:rFonts w:cs="Arial"/>
        </w:rPr>
        <w:t>provide that information in a clear and accessible form;</w:t>
      </w:r>
    </w:p>
    <w:p w14:paraId="382A72B6" w14:textId="77777777" w:rsidR="001238F2" w:rsidRPr="00A241F5" w:rsidRDefault="001238F2" w:rsidP="001238F2">
      <w:pPr>
        <w:pStyle w:val="ListParagraph"/>
        <w:rPr>
          <w:rFonts w:cs="Arial"/>
        </w:rPr>
      </w:pPr>
    </w:p>
    <w:p w14:paraId="4F7F9246" w14:textId="369B054D" w:rsidR="001238F2" w:rsidRPr="00A241F5" w:rsidRDefault="001238F2" w:rsidP="00022BC8">
      <w:pPr>
        <w:pStyle w:val="ListParagraph"/>
        <w:widowControl/>
        <w:numPr>
          <w:ilvl w:val="0"/>
          <w:numId w:val="17"/>
        </w:numPr>
        <w:tabs>
          <w:tab w:val="clear" w:pos="1418"/>
          <w:tab w:val="left" w:pos="1440"/>
        </w:tabs>
        <w:ind w:leftChars="0"/>
        <w:rPr>
          <w:rFonts w:cs="Arial"/>
        </w:rPr>
      </w:pPr>
      <w:r w:rsidRPr="00A241F5">
        <w:rPr>
          <w:rFonts w:cs="Arial"/>
        </w:rPr>
        <w:t>the ORFS should be clear in what circumstances a Lawyer</w:t>
      </w:r>
      <w:r w:rsidR="00C61F4B" w:rsidRPr="00A241F5">
        <w:rPr>
          <w:rFonts w:cs="Arial"/>
        </w:rPr>
        <w:t>'</w:t>
      </w:r>
      <w:r w:rsidRPr="00A241F5">
        <w:rPr>
          <w:rFonts w:cs="Arial"/>
        </w:rPr>
        <w:t>s fees and expenses, or part of them, will be payable, including in circumstances when the ORFS is terminated by the Lawyer or the client;</w:t>
      </w:r>
    </w:p>
    <w:p w14:paraId="6C1B5F51" w14:textId="77777777" w:rsidR="001238F2" w:rsidRPr="00A241F5" w:rsidRDefault="001238F2" w:rsidP="001238F2">
      <w:pPr>
        <w:widowControl/>
        <w:tabs>
          <w:tab w:val="clear" w:pos="1418"/>
          <w:tab w:val="left" w:pos="1440"/>
        </w:tabs>
        <w:ind w:left="720"/>
        <w:rPr>
          <w:rFonts w:cs="Arial"/>
        </w:rPr>
      </w:pPr>
    </w:p>
    <w:p w14:paraId="7124A919" w14:textId="4D21E9C9" w:rsidR="001238F2" w:rsidRPr="00A241F5" w:rsidRDefault="001238F2" w:rsidP="00022BC8">
      <w:pPr>
        <w:pStyle w:val="ListParagraph"/>
        <w:widowControl/>
        <w:numPr>
          <w:ilvl w:val="0"/>
          <w:numId w:val="17"/>
        </w:numPr>
        <w:tabs>
          <w:tab w:val="clear" w:pos="1418"/>
          <w:tab w:val="left" w:pos="1440"/>
        </w:tabs>
        <w:ind w:leftChars="0"/>
        <w:rPr>
          <w:rFonts w:cs="Arial"/>
        </w:rPr>
      </w:pPr>
      <w:r w:rsidRPr="00A241F5">
        <w:rPr>
          <w:rFonts w:cs="Arial"/>
        </w:rPr>
        <w:t>the Lawyer should inform clients of their right to take independent legal advice, and the ORFS should include a corresponding statement that the client has been informed of the right to seek such independent legal advice;</w:t>
      </w:r>
    </w:p>
    <w:p w14:paraId="26781BE5" w14:textId="77777777" w:rsidR="001238F2" w:rsidRPr="00A241F5" w:rsidRDefault="001238F2" w:rsidP="001238F2">
      <w:pPr>
        <w:pStyle w:val="ListParagraph"/>
        <w:widowControl/>
        <w:tabs>
          <w:tab w:val="clear" w:pos="1418"/>
          <w:tab w:val="left" w:pos="1440"/>
        </w:tabs>
        <w:ind w:leftChars="0" w:left="1440"/>
        <w:rPr>
          <w:rFonts w:cs="Arial"/>
        </w:rPr>
      </w:pPr>
    </w:p>
    <w:p w14:paraId="68D2E4C0" w14:textId="5776679A" w:rsidR="001238F2" w:rsidRPr="00A241F5" w:rsidRDefault="001238F2" w:rsidP="00022BC8">
      <w:pPr>
        <w:pStyle w:val="ListParagraph"/>
        <w:widowControl/>
        <w:numPr>
          <w:ilvl w:val="0"/>
          <w:numId w:val="17"/>
        </w:numPr>
        <w:tabs>
          <w:tab w:val="clear" w:pos="1418"/>
          <w:tab w:val="left" w:pos="1440"/>
        </w:tabs>
        <w:ind w:leftChars="0"/>
        <w:rPr>
          <w:rFonts w:cs="Arial"/>
        </w:rPr>
      </w:pPr>
      <w:r w:rsidRPr="00A241F5">
        <w:rPr>
          <w:rFonts w:cs="Arial"/>
        </w:rPr>
        <w:t xml:space="preserve">the ORFS should be subject to a minimum </w:t>
      </w:r>
      <w:r w:rsidR="00C61F4B" w:rsidRPr="00A241F5">
        <w:rPr>
          <w:rFonts w:cs="Arial"/>
        </w:rPr>
        <w:t>"</w:t>
      </w:r>
      <w:r w:rsidRPr="00A241F5">
        <w:rPr>
          <w:rFonts w:cs="Arial"/>
        </w:rPr>
        <w:t>cooling-off</w:t>
      </w:r>
      <w:r w:rsidR="00C61F4B" w:rsidRPr="00A241F5">
        <w:rPr>
          <w:rFonts w:cs="Arial"/>
        </w:rPr>
        <w:t>"</w:t>
      </w:r>
      <w:r w:rsidRPr="00A241F5">
        <w:rPr>
          <w:rFonts w:cs="Arial"/>
        </w:rPr>
        <w:t xml:space="preserve"> period of seven days during which the client, by written notice, may terminate the ORFS;</w:t>
      </w:r>
    </w:p>
    <w:p w14:paraId="7D9E7B4E" w14:textId="77777777" w:rsidR="001238F2" w:rsidRPr="00A241F5" w:rsidRDefault="001238F2" w:rsidP="001238F2">
      <w:pPr>
        <w:pStyle w:val="ListParagraph"/>
        <w:rPr>
          <w:rFonts w:cs="Arial"/>
        </w:rPr>
      </w:pPr>
    </w:p>
    <w:p w14:paraId="43ED4C35" w14:textId="1D251821" w:rsidR="001238F2" w:rsidRPr="00A241F5" w:rsidRDefault="001238F2" w:rsidP="00022BC8">
      <w:pPr>
        <w:pStyle w:val="ListParagraph"/>
        <w:widowControl/>
        <w:numPr>
          <w:ilvl w:val="0"/>
          <w:numId w:val="17"/>
        </w:numPr>
        <w:tabs>
          <w:tab w:val="clear" w:pos="1418"/>
          <w:tab w:val="left" w:pos="1440"/>
        </w:tabs>
        <w:ind w:leftChars="0"/>
        <w:rPr>
          <w:rFonts w:cs="Arial"/>
        </w:rPr>
      </w:pPr>
      <w:r w:rsidRPr="00A241F5">
        <w:rPr>
          <w:rFonts w:cs="Arial"/>
        </w:rPr>
        <w:t>the ORFS should state whether disbursements, including barristers</w:t>
      </w:r>
      <w:r w:rsidR="00C61F4B" w:rsidRPr="00A241F5">
        <w:rPr>
          <w:rFonts w:cs="Arial"/>
        </w:rPr>
        <w:t>'</w:t>
      </w:r>
      <w:r w:rsidRPr="00A241F5">
        <w:rPr>
          <w:rFonts w:cs="Arial"/>
        </w:rPr>
        <w:t xml:space="preserve"> fees, are to be paid irrespective of the outcome of the matter;</w:t>
      </w:r>
    </w:p>
    <w:p w14:paraId="01916440" w14:textId="77777777" w:rsidR="001238F2" w:rsidRPr="00A241F5" w:rsidRDefault="001238F2" w:rsidP="001238F2">
      <w:pPr>
        <w:pStyle w:val="ListParagraph"/>
        <w:rPr>
          <w:rFonts w:cs="Arial"/>
        </w:rPr>
      </w:pPr>
    </w:p>
    <w:p w14:paraId="41BF9A4E" w14:textId="540EF4EA" w:rsidR="001238F2" w:rsidRPr="00A241F5" w:rsidRDefault="001238F2" w:rsidP="00022BC8">
      <w:pPr>
        <w:pStyle w:val="ListParagraph"/>
        <w:widowControl/>
        <w:numPr>
          <w:ilvl w:val="0"/>
          <w:numId w:val="17"/>
        </w:numPr>
        <w:tabs>
          <w:tab w:val="clear" w:pos="1418"/>
          <w:tab w:val="left" w:pos="1440"/>
        </w:tabs>
        <w:ind w:leftChars="0"/>
        <w:rPr>
          <w:rFonts w:cs="Arial"/>
        </w:rPr>
      </w:pPr>
      <w:r w:rsidRPr="00A241F5">
        <w:rPr>
          <w:rFonts w:cs="Arial"/>
        </w:rPr>
        <w:t>subject to the parties agreeing otherwise, the Lawyer is entitled to terminate an ORFS prior to the conclusion of the Arbitration if the Lawyer reasonably believes that:</w:t>
      </w:r>
    </w:p>
    <w:p w14:paraId="6E8F7EDF" w14:textId="77777777" w:rsidR="001238F2" w:rsidRPr="00A241F5" w:rsidRDefault="001238F2" w:rsidP="001238F2">
      <w:pPr>
        <w:widowControl/>
        <w:tabs>
          <w:tab w:val="clear" w:pos="1418"/>
          <w:tab w:val="left" w:pos="1440"/>
        </w:tabs>
        <w:rPr>
          <w:rFonts w:eastAsiaTheme="minorEastAsia" w:cs="Arial"/>
        </w:rPr>
      </w:pPr>
    </w:p>
    <w:p w14:paraId="120322D5" w14:textId="7C130D80" w:rsidR="001238F2" w:rsidRPr="00A241F5" w:rsidRDefault="001238F2" w:rsidP="00022BC8">
      <w:pPr>
        <w:pStyle w:val="ListParagraph"/>
        <w:widowControl/>
        <w:numPr>
          <w:ilvl w:val="0"/>
          <w:numId w:val="20"/>
        </w:numPr>
        <w:tabs>
          <w:tab w:val="clear" w:pos="1418"/>
          <w:tab w:val="left" w:pos="1440"/>
        </w:tabs>
        <w:ind w:leftChars="600" w:left="2160"/>
        <w:rPr>
          <w:rFonts w:cs="Arial"/>
        </w:rPr>
      </w:pPr>
      <w:r w:rsidRPr="00A241F5">
        <w:rPr>
          <w:rFonts w:cs="Arial"/>
        </w:rPr>
        <w:t>the client has committed a material breach of the CFA,         DBA or Hybrid DBA; or</w:t>
      </w:r>
    </w:p>
    <w:p w14:paraId="01F9F1BF" w14:textId="77777777" w:rsidR="002C2EDC" w:rsidRPr="00A241F5" w:rsidRDefault="002C2EDC" w:rsidP="00F762B2">
      <w:pPr>
        <w:widowControl/>
        <w:ind w:left="1440"/>
        <w:rPr>
          <w:rFonts w:cs="Arial"/>
        </w:rPr>
      </w:pPr>
    </w:p>
    <w:p w14:paraId="1D5BF58F" w14:textId="77777777" w:rsidR="001238F2" w:rsidRPr="00A241F5" w:rsidRDefault="001238F2" w:rsidP="00022BC8">
      <w:pPr>
        <w:pStyle w:val="ListParagraph"/>
        <w:widowControl/>
        <w:numPr>
          <w:ilvl w:val="0"/>
          <w:numId w:val="20"/>
        </w:numPr>
        <w:tabs>
          <w:tab w:val="clear" w:pos="1418"/>
          <w:tab w:val="left" w:pos="1440"/>
        </w:tabs>
        <w:ind w:leftChars="600" w:left="2160"/>
        <w:rPr>
          <w:rFonts w:cs="Arial"/>
        </w:rPr>
      </w:pPr>
      <w:r w:rsidRPr="00A241F5">
        <w:rPr>
          <w:rFonts w:cs="Arial"/>
        </w:rPr>
        <w:t>the client has behaved or is behaving unreasonably;</w:t>
      </w:r>
    </w:p>
    <w:p w14:paraId="6BE840EB" w14:textId="77777777" w:rsidR="001238F2" w:rsidRPr="00A241F5" w:rsidRDefault="001238F2" w:rsidP="001238F2">
      <w:pPr>
        <w:pStyle w:val="ListParagraph"/>
        <w:rPr>
          <w:rFonts w:cs="Arial"/>
        </w:rPr>
      </w:pPr>
    </w:p>
    <w:p w14:paraId="480F6CA2" w14:textId="3BE32FA5" w:rsidR="001238F2" w:rsidRPr="00A241F5" w:rsidRDefault="001238F2" w:rsidP="00022BC8">
      <w:pPr>
        <w:pStyle w:val="ListParagraph"/>
        <w:widowControl/>
        <w:numPr>
          <w:ilvl w:val="0"/>
          <w:numId w:val="17"/>
        </w:numPr>
        <w:tabs>
          <w:tab w:val="clear" w:pos="1418"/>
          <w:tab w:val="left" w:pos="1440"/>
        </w:tabs>
        <w:ind w:leftChars="0"/>
        <w:rPr>
          <w:rFonts w:cs="Arial"/>
        </w:rPr>
      </w:pPr>
      <w:r w:rsidRPr="00A241F5">
        <w:rPr>
          <w:rFonts w:cs="Arial"/>
        </w:rPr>
        <w:t>where the ORFS is terminated prior to the conclusion of the Arbitration, the Lawyer may not charge the client more than the Lawyer</w:t>
      </w:r>
      <w:r w:rsidR="00C61F4B" w:rsidRPr="00A241F5">
        <w:rPr>
          <w:rFonts w:cs="Arial"/>
        </w:rPr>
        <w:t>'</w:t>
      </w:r>
      <w:r w:rsidRPr="00A241F5">
        <w:rPr>
          <w:rFonts w:cs="Arial"/>
        </w:rPr>
        <w:t>s costs, expenses and disbursements for the work undertaken in respect of the Proceedings to which the CFA, DBA or Hybrid DBA relates;</w:t>
      </w:r>
    </w:p>
    <w:p w14:paraId="12C76709" w14:textId="77777777" w:rsidR="001238F2" w:rsidRPr="00A241F5" w:rsidRDefault="001238F2" w:rsidP="001238F2">
      <w:pPr>
        <w:pStyle w:val="ListParagraph"/>
        <w:widowControl/>
        <w:tabs>
          <w:tab w:val="clear" w:pos="1418"/>
          <w:tab w:val="left" w:pos="1440"/>
        </w:tabs>
        <w:ind w:leftChars="0" w:left="1440"/>
        <w:rPr>
          <w:rFonts w:cs="Arial"/>
        </w:rPr>
      </w:pPr>
    </w:p>
    <w:p w14:paraId="06C87221" w14:textId="2FF35855" w:rsidR="001238F2" w:rsidRPr="00A241F5" w:rsidRDefault="001238F2" w:rsidP="00022BC8">
      <w:pPr>
        <w:pStyle w:val="ListParagraph"/>
        <w:widowControl/>
        <w:numPr>
          <w:ilvl w:val="0"/>
          <w:numId w:val="17"/>
        </w:numPr>
        <w:tabs>
          <w:tab w:val="clear" w:pos="1418"/>
          <w:tab w:val="left" w:pos="1440"/>
        </w:tabs>
        <w:ind w:leftChars="0"/>
        <w:rPr>
          <w:rFonts w:cs="Arial"/>
        </w:rPr>
      </w:pPr>
      <w:r w:rsidRPr="00A241F5">
        <w:rPr>
          <w:rFonts w:eastAsiaTheme="minorEastAsia" w:cs="Arial"/>
        </w:rPr>
        <w:t xml:space="preserve">(in addition to the matters stated above) the Lawyer should be required to include </w:t>
      </w:r>
      <w:r w:rsidRPr="00A241F5">
        <w:rPr>
          <w:rFonts w:cs="Arial"/>
        </w:rPr>
        <w:t>these terms in any ORFS:</w:t>
      </w:r>
    </w:p>
    <w:p w14:paraId="52CF15C2" w14:textId="77777777" w:rsidR="001238F2" w:rsidRPr="00A241F5" w:rsidRDefault="001238F2" w:rsidP="001238F2">
      <w:pPr>
        <w:pStyle w:val="ListParagraph"/>
        <w:widowControl/>
        <w:tabs>
          <w:tab w:val="clear" w:pos="1418"/>
          <w:tab w:val="left" w:pos="1440"/>
        </w:tabs>
        <w:ind w:leftChars="0" w:left="1440"/>
        <w:rPr>
          <w:rFonts w:cs="Arial"/>
        </w:rPr>
      </w:pPr>
    </w:p>
    <w:p w14:paraId="6D828F09" w14:textId="25907133" w:rsidR="001238F2" w:rsidRPr="00A241F5" w:rsidRDefault="001238F2" w:rsidP="00022BC8">
      <w:pPr>
        <w:pStyle w:val="ListParagraph"/>
        <w:widowControl/>
        <w:numPr>
          <w:ilvl w:val="0"/>
          <w:numId w:val="19"/>
        </w:numPr>
        <w:tabs>
          <w:tab w:val="clear" w:pos="1418"/>
          <w:tab w:val="left" w:pos="1440"/>
        </w:tabs>
        <w:ind w:leftChars="600" w:left="2160"/>
        <w:rPr>
          <w:rFonts w:cs="Arial"/>
        </w:rPr>
      </w:pPr>
      <w:r w:rsidRPr="00A241F5">
        <w:rPr>
          <w:rFonts w:cs="Arial"/>
        </w:rPr>
        <w:t>the Arbitration or parts thereof (including any appeal, setting aside or counterclaim) to which the ORFS relates;</w:t>
      </w:r>
    </w:p>
    <w:p w14:paraId="44B64B20" w14:textId="77777777" w:rsidR="001238F2" w:rsidRPr="00A241F5" w:rsidRDefault="001238F2" w:rsidP="001238F2">
      <w:pPr>
        <w:pStyle w:val="ListParagraph"/>
        <w:widowControl/>
        <w:tabs>
          <w:tab w:val="clear" w:pos="1418"/>
          <w:tab w:val="left" w:pos="1440"/>
        </w:tabs>
        <w:ind w:leftChars="1200" w:left="2880"/>
        <w:rPr>
          <w:rFonts w:cs="Arial"/>
        </w:rPr>
      </w:pPr>
    </w:p>
    <w:p w14:paraId="206CD209" w14:textId="5A68A754" w:rsidR="001238F2" w:rsidRPr="00A241F5" w:rsidRDefault="001238F2" w:rsidP="00022BC8">
      <w:pPr>
        <w:pStyle w:val="ListParagraph"/>
        <w:widowControl/>
        <w:numPr>
          <w:ilvl w:val="0"/>
          <w:numId w:val="19"/>
        </w:numPr>
        <w:tabs>
          <w:tab w:val="clear" w:pos="1418"/>
          <w:tab w:val="left" w:pos="1440"/>
        </w:tabs>
        <w:ind w:leftChars="600" w:left="2160"/>
        <w:rPr>
          <w:rFonts w:cs="Arial"/>
        </w:rPr>
      </w:pPr>
      <w:r w:rsidRPr="00A241F5">
        <w:rPr>
          <w:rFonts w:cs="Arial"/>
        </w:rPr>
        <w:t>whether the ORFS covers the client</w:t>
      </w:r>
      <w:r w:rsidR="00C61F4B" w:rsidRPr="00A241F5">
        <w:rPr>
          <w:rFonts w:cs="Arial"/>
        </w:rPr>
        <w:t>'</w:t>
      </w:r>
      <w:r w:rsidRPr="00A241F5">
        <w:rPr>
          <w:rFonts w:cs="Arial"/>
        </w:rPr>
        <w:t>s prosecution or defence of the claim (or both);</w:t>
      </w:r>
    </w:p>
    <w:p w14:paraId="09C25AB8" w14:textId="77777777" w:rsidR="001238F2" w:rsidRPr="00A241F5" w:rsidRDefault="001238F2" w:rsidP="001238F2">
      <w:pPr>
        <w:pStyle w:val="ListParagraph"/>
        <w:rPr>
          <w:rFonts w:cs="Arial"/>
        </w:rPr>
      </w:pPr>
    </w:p>
    <w:p w14:paraId="001F0835" w14:textId="58DD2C76" w:rsidR="001238F2" w:rsidRPr="00A241F5" w:rsidRDefault="001238F2" w:rsidP="00022BC8">
      <w:pPr>
        <w:pStyle w:val="ListParagraph"/>
        <w:widowControl/>
        <w:numPr>
          <w:ilvl w:val="0"/>
          <w:numId w:val="19"/>
        </w:numPr>
        <w:tabs>
          <w:tab w:val="clear" w:pos="1418"/>
          <w:tab w:val="left" w:pos="1440"/>
        </w:tabs>
        <w:ind w:leftChars="600" w:left="2160"/>
        <w:rPr>
          <w:rFonts w:cs="Arial"/>
        </w:rPr>
      </w:pPr>
      <w:r w:rsidRPr="00A241F5">
        <w:rPr>
          <w:rFonts w:cs="Arial"/>
        </w:rPr>
        <w:t>whether, and if so in what circumstances, a Lawyer or client is entitled to terminate the ORFS prior to the conclusion of Arbitration;</w:t>
      </w:r>
      <w:r w:rsidR="000C62AF" w:rsidRPr="00A241F5">
        <w:rPr>
          <w:rFonts w:cs="Arial"/>
        </w:rPr>
        <w:t xml:space="preserve"> and</w:t>
      </w:r>
    </w:p>
    <w:p w14:paraId="418A980B" w14:textId="77777777" w:rsidR="001238F2" w:rsidRPr="00A241F5" w:rsidRDefault="001238F2" w:rsidP="001238F2">
      <w:pPr>
        <w:pStyle w:val="ListParagraph"/>
        <w:rPr>
          <w:rFonts w:cs="Arial"/>
        </w:rPr>
      </w:pPr>
    </w:p>
    <w:p w14:paraId="7CF7C013" w14:textId="77777777" w:rsidR="001238F2" w:rsidRPr="00A241F5" w:rsidRDefault="001238F2" w:rsidP="00022BC8">
      <w:pPr>
        <w:pStyle w:val="ListParagraph"/>
        <w:widowControl/>
        <w:numPr>
          <w:ilvl w:val="0"/>
          <w:numId w:val="19"/>
        </w:numPr>
        <w:tabs>
          <w:tab w:val="clear" w:pos="1418"/>
          <w:tab w:val="left" w:pos="1440"/>
        </w:tabs>
        <w:ind w:leftChars="600" w:left="2160"/>
        <w:rPr>
          <w:rFonts w:cs="Arial"/>
        </w:rPr>
      </w:pPr>
      <w:r w:rsidRPr="00A241F5">
        <w:rPr>
          <w:rFonts w:cs="Arial"/>
        </w:rPr>
        <w:t>an alternative basis (for example, hourly rates) on which the client shall pay the Lawyer in the event of such termination;</w:t>
      </w:r>
    </w:p>
    <w:p w14:paraId="47909E93" w14:textId="77777777" w:rsidR="001238F2" w:rsidRPr="00A241F5" w:rsidRDefault="001238F2" w:rsidP="001238F2">
      <w:pPr>
        <w:pStyle w:val="ListParagraph"/>
        <w:rPr>
          <w:rFonts w:cs="Arial"/>
        </w:rPr>
      </w:pPr>
    </w:p>
    <w:p w14:paraId="1220490B" w14:textId="77777777" w:rsidR="001238F2" w:rsidRPr="00A241F5" w:rsidRDefault="001238F2" w:rsidP="0038334D">
      <w:pPr>
        <w:keepNext/>
        <w:keepLines/>
        <w:widowControl/>
        <w:tabs>
          <w:tab w:val="clear" w:pos="1418"/>
          <w:tab w:val="left" w:pos="1440"/>
        </w:tabs>
        <w:rPr>
          <w:rFonts w:cs="Arial"/>
        </w:rPr>
      </w:pPr>
      <w:r w:rsidRPr="00A241F5">
        <w:rPr>
          <w:rFonts w:cs="Arial"/>
        </w:rPr>
        <w:tab/>
        <w:t xml:space="preserve">for CFAs: </w:t>
      </w:r>
    </w:p>
    <w:p w14:paraId="7B9EE417" w14:textId="77777777" w:rsidR="001238F2" w:rsidRPr="00A241F5" w:rsidRDefault="001238F2" w:rsidP="001238F2">
      <w:pPr>
        <w:pStyle w:val="ListParagraph"/>
        <w:rPr>
          <w:rFonts w:cs="Arial"/>
        </w:rPr>
      </w:pPr>
    </w:p>
    <w:p w14:paraId="19A12FEF" w14:textId="5280C7EE" w:rsidR="001238F2" w:rsidRPr="00A241F5" w:rsidRDefault="001238F2" w:rsidP="00022BC8">
      <w:pPr>
        <w:pStyle w:val="ListParagraph"/>
        <w:widowControl/>
        <w:numPr>
          <w:ilvl w:val="0"/>
          <w:numId w:val="19"/>
        </w:numPr>
        <w:tabs>
          <w:tab w:val="clear" w:pos="1418"/>
          <w:tab w:val="left" w:pos="1440"/>
        </w:tabs>
        <w:ind w:leftChars="600" w:left="2160"/>
        <w:rPr>
          <w:rFonts w:cs="Arial"/>
        </w:rPr>
      </w:pPr>
      <w:r w:rsidRPr="00A241F5">
        <w:rPr>
          <w:rFonts w:cs="Arial"/>
        </w:rPr>
        <w:t xml:space="preserve">the circumstances that constitute a </w:t>
      </w:r>
      <w:r w:rsidR="00C61F4B" w:rsidRPr="00A241F5">
        <w:rPr>
          <w:rFonts w:cs="Arial"/>
        </w:rPr>
        <w:t>"</w:t>
      </w:r>
      <w:r w:rsidRPr="00A241F5">
        <w:rPr>
          <w:rFonts w:cs="Arial"/>
        </w:rPr>
        <w:t>successful outcome</w:t>
      </w:r>
      <w:r w:rsidR="00C61F4B" w:rsidRPr="00A241F5">
        <w:rPr>
          <w:rFonts w:cs="Arial"/>
        </w:rPr>
        <w:t>"</w:t>
      </w:r>
      <w:r w:rsidRPr="00A241F5">
        <w:rPr>
          <w:rFonts w:cs="Arial"/>
        </w:rPr>
        <w:t xml:space="preserve"> of the matter to which it relates;</w:t>
      </w:r>
      <w:r w:rsidR="000C62AF" w:rsidRPr="00A241F5">
        <w:rPr>
          <w:rFonts w:cs="Arial"/>
        </w:rPr>
        <w:t xml:space="preserve"> and</w:t>
      </w:r>
    </w:p>
    <w:p w14:paraId="57B894C0" w14:textId="77777777" w:rsidR="001238F2" w:rsidRPr="00A241F5" w:rsidRDefault="001238F2" w:rsidP="001238F2">
      <w:pPr>
        <w:pStyle w:val="ListParagraph"/>
        <w:widowControl/>
        <w:tabs>
          <w:tab w:val="clear" w:pos="1418"/>
          <w:tab w:val="left" w:pos="1440"/>
        </w:tabs>
        <w:ind w:leftChars="0"/>
        <w:rPr>
          <w:rFonts w:cs="Arial"/>
        </w:rPr>
      </w:pPr>
    </w:p>
    <w:p w14:paraId="5F2F7B0A" w14:textId="1F105C3E" w:rsidR="001238F2" w:rsidRPr="00A241F5" w:rsidRDefault="001238F2" w:rsidP="00022BC8">
      <w:pPr>
        <w:pStyle w:val="ListParagraph"/>
        <w:widowControl/>
        <w:numPr>
          <w:ilvl w:val="0"/>
          <w:numId w:val="19"/>
        </w:numPr>
        <w:tabs>
          <w:tab w:val="clear" w:pos="1418"/>
          <w:tab w:val="left" w:pos="1440"/>
        </w:tabs>
        <w:ind w:leftChars="600" w:left="2160"/>
        <w:rPr>
          <w:rFonts w:cs="Arial"/>
        </w:rPr>
      </w:pPr>
      <w:r w:rsidRPr="00A241F5">
        <w:rPr>
          <w:rFonts w:cs="Arial"/>
        </w:rPr>
        <w:t xml:space="preserve">the basis of calculation of the Success Fee which would be payable in the event of such </w:t>
      </w:r>
      <w:r w:rsidR="00C61F4B" w:rsidRPr="00A241F5">
        <w:rPr>
          <w:rFonts w:cs="Arial"/>
        </w:rPr>
        <w:t>"</w:t>
      </w:r>
      <w:r w:rsidRPr="00A241F5">
        <w:rPr>
          <w:rFonts w:cs="Arial"/>
        </w:rPr>
        <w:t>successful outcome</w:t>
      </w:r>
      <w:r w:rsidR="00C61F4B" w:rsidRPr="00A241F5">
        <w:rPr>
          <w:rFonts w:cs="Arial"/>
        </w:rPr>
        <w:t>"</w:t>
      </w:r>
      <w:r w:rsidRPr="00A241F5">
        <w:rPr>
          <w:rFonts w:cs="Arial"/>
        </w:rPr>
        <w:t xml:space="preserve">, as well as the Success Fee premium, meaning the percentage uplift by which the amount of the legal costs which would be payable if </w:t>
      </w:r>
      <w:r w:rsidR="00C30E1F" w:rsidRPr="00A241F5">
        <w:rPr>
          <w:rFonts w:cs="Arial"/>
        </w:rPr>
        <w:t xml:space="preserve">there </w:t>
      </w:r>
      <w:r w:rsidRPr="00A241F5">
        <w:rPr>
          <w:rFonts w:cs="Arial"/>
        </w:rPr>
        <w:t>were no</w:t>
      </w:r>
      <w:r w:rsidR="000C62AF" w:rsidRPr="00A241F5">
        <w:rPr>
          <w:rFonts w:cs="Arial"/>
        </w:rPr>
        <w:t xml:space="preserve"> ORFS</w:t>
      </w:r>
      <w:r w:rsidRPr="00A241F5">
        <w:rPr>
          <w:rFonts w:cs="Arial"/>
        </w:rPr>
        <w:t xml:space="preserve"> </w:t>
      </w:r>
      <w:r w:rsidR="00C30E1F" w:rsidRPr="00A241F5">
        <w:rPr>
          <w:rFonts w:cs="Arial"/>
        </w:rPr>
        <w:t>in place</w:t>
      </w:r>
      <w:r w:rsidRPr="00A241F5">
        <w:rPr>
          <w:rFonts w:cs="Arial"/>
        </w:rPr>
        <w:t xml:space="preserve">; </w:t>
      </w:r>
      <w:r w:rsidR="000C62AF" w:rsidRPr="00A241F5">
        <w:rPr>
          <w:rFonts w:cs="Arial"/>
        </w:rPr>
        <w:t xml:space="preserve">and </w:t>
      </w:r>
    </w:p>
    <w:p w14:paraId="3B90210D" w14:textId="77777777" w:rsidR="001238F2" w:rsidRPr="00A241F5" w:rsidRDefault="001238F2" w:rsidP="001238F2">
      <w:pPr>
        <w:pStyle w:val="ListParagraph"/>
        <w:widowControl/>
        <w:tabs>
          <w:tab w:val="clear" w:pos="1418"/>
          <w:tab w:val="left" w:pos="1440"/>
        </w:tabs>
        <w:ind w:leftChars="0" w:left="720"/>
        <w:rPr>
          <w:rFonts w:cs="Arial"/>
        </w:rPr>
      </w:pPr>
    </w:p>
    <w:p w14:paraId="2350B136" w14:textId="2FEEC9E1" w:rsidR="001238F2" w:rsidRPr="00A241F5" w:rsidRDefault="001238F2" w:rsidP="001238F2">
      <w:pPr>
        <w:pStyle w:val="ListParagraph"/>
        <w:widowControl/>
        <w:tabs>
          <w:tab w:val="clear" w:pos="1418"/>
          <w:tab w:val="left" w:pos="1440"/>
        </w:tabs>
        <w:ind w:leftChars="0" w:left="720"/>
        <w:rPr>
          <w:rFonts w:cs="Arial"/>
        </w:rPr>
      </w:pPr>
      <w:r w:rsidRPr="00A241F5">
        <w:rPr>
          <w:rFonts w:cs="Arial"/>
        </w:rPr>
        <w:tab/>
        <w:t>f</w:t>
      </w:r>
      <w:r w:rsidR="00ED5FF1" w:rsidRPr="00A241F5">
        <w:rPr>
          <w:rFonts w:cs="Arial"/>
        </w:rPr>
        <w:t>or DBAs (including Hybrid DBAs)</w:t>
      </w:r>
      <w:r w:rsidRPr="00A241F5">
        <w:rPr>
          <w:rFonts w:cs="Arial"/>
        </w:rPr>
        <w:t>:</w:t>
      </w:r>
    </w:p>
    <w:p w14:paraId="69AB3503" w14:textId="77777777" w:rsidR="001238F2" w:rsidRPr="00A241F5" w:rsidRDefault="001238F2" w:rsidP="001238F2">
      <w:pPr>
        <w:pStyle w:val="ListParagraph"/>
        <w:widowControl/>
        <w:tabs>
          <w:tab w:val="clear" w:pos="1418"/>
          <w:tab w:val="left" w:pos="1440"/>
        </w:tabs>
        <w:ind w:leftChars="0" w:left="1440"/>
        <w:rPr>
          <w:rFonts w:cs="Arial"/>
        </w:rPr>
      </w:pPr>
    </w:p>
    <w:p w14:paraId="681DB078" w14:textId="65F42D37" w:rsidR="001238F2" w:rsidRPr="00A241F5" w:rsidRDefault="001238F2" w:rsidP="00022BC8">
      <w:pPr>
        <w:pStyle w:val="ListParagraph"/>
        <w:widowControl/>
        <w:numPr>
          <w:ilvl w:val="0"/>
          <w:numId w:val="19"/>
        </w:numPr>
        <w:tabs>
          <w:tab w:val="clear" w:pos="1418"/>
          <w:tab w:val="left" w:pos="1440"/>
        </w:tabs>
        <w:ind w:leftChars="600" w:left="2160"/>
        <w:rPr>
          <w:rFonts w:cs="Arial"/>
        </w:rPr>
      </w:pPr>
      <w:r w:rsidRPr="00A241F5">
        <w:rPr>
          <w:rFonts w:cs="Arial"/>
        </w:rPr>
        <w:t>the Financial Benefit to which the DBA relates; and</w:t>
      </w:r>
    </w:p>
    <w:p w14:paraId="5607D983" w14:textId="77777777" w:rsidR="001238F2" w:rsidRPr="00A241F5" w:rsidRDefault="001238F2" w:rsidP="001238F2">
      <w:pPr>
        <w:pStyle w:val="ListParagraph"/>
        <w:widowControl/>
        <w:tabs>
          <w:tab w:val="clear" w:pos="1418"/>
          <w:tab w:val="left" w:pos="1440"/>
        </w:tabs>
        <w:ind w:leftChars="0" w:left="2160"/>
        <w:rPr>
          <w:rFonts w:cs="Arial"/>
        </w:rPr>
      </w:pPr>
      <w:r w:rsidRPr="00A241F5">
        <w:rPr>
          <w:rFonts w:cs="Arial"/>
        </w:rPr>
        <w:t xml:space="preserve"> </w:t>
      </w:r>
    </w:p>
    <w:p w14:paraId="06306257" w14:textId="150365FD" w:rsidR="001238F2" w:rsidRPr="00A241F5" w:rsidRDefault="001238F2" w:rsidP="00022BC8">
      <w:pPr>
        <w:pStyle w:val="ListParagraph"/>
        <w:widowControl/>
        <w:numPr>
          <w:ilvl w:val="0"/>
          <w:numId w:val="19"/>
        </w:numPr>
        <w:tabs>
          <w:tab w:val="clear" w:pos="1418"/>
          <w:tab w:val="left" w:pos="1440"/>
        </w:tabs>
        <w:ind w:leftChars="600" w:left="2160"/>
        <w:rPr>
          <w:rFonts w:cs="Arial"/>
        </w:rPr>
      </w:pPr>
      <w:r w:rsidRPr="00A241F5">
        <w:rPr>
          <w:rFonts w:cs="Arial"/>
        </w:rPr>
        <w:t>whether barristers</w:t>
      </w:r>
      <w:r w:rsidR="00C61F4B" w:rsidRPr="00A241F5">
        <w:rPr>
          <w:rFonts w:cs="Arial"/>
        </w:rPr>
        <w:t>'</w:t>
      </w:r>
      <w:r w:rsidRPr="00A241F5">
        <w:rPr>
          <w:rFonts w:cs="Arial"/>
        </w:rPr>
        <w:t xml:space="preserve"> fees will be absorbed as part of the DBA Payment, or whether they are to be treated as </w:t>
      </w:r>
      <w:r w:rsidR="00C61F4B" w:rsidRPr="00A241F5">
        <w:rPr>
          <w:rFonts w:cs="Arial"/>
        </w:rPr>
        <w:t>"</w:t>
      </w:r>
      <w:r w:rsidRPr="00A241F5">
        <w:rPr>
          <w:rFonts w:cs="Arial"/>
        </w:rPr>
        <w:t>expenses</w:t>
      </w:r>
      <w:r w:rsidR="00C61F4B" w:rsidRPr="00A241F5">
        <w:rPr>
          <w:rFonts w:cs="Arial"/>
        </w:rPr>
        <w:t>"</w:t>
      </w:r>
      <w:r w:rsidRPr="00A241F5">
        <w:rPr>
          <w:rFonts w:cs="Arial"/>
        </w:rPr>
        <w:t xml:space="preserve"> which the client is required to pay in addition to the DBA Payment.  </w:t>
      </w:r>
    </w:p>
    <w:p w14:paraId="09395EBA" w14:textId="77777777" w:rsidR="001238F2" w:rsidRPr="00A241F5" w:rsidRDefault="001238F2" w:rsidP="001238F2">
      <w:pPr>
        <w:pStyle w:val="ListParagraph"/>
        <w:widowControl/>
        <w:tabs>
          <w:tab w:val="clear" w:pos="1418"/>
          <w:tab w:val="left" w:pos="1440"/>
        </w:tabs>
        <w:ind w:leftChars="0" w:left="1440"/>
        <w:rPr>
          <w:rFonts w:cs="Arial"/>
        </w:rPr>
      </w:pPr>
    </w:p>
    <w:p w14:paraId="78F3C51B" w14:textId="77777777" w:rsidR="001238F2" w:rsidRPr="00A241F5" w:rsidRDefault="001238F2" w:rsidP="001238F2">
      <w:pPr>
        <w:jc w:val="left"/>
        <w:rPr>
          <w:b/>
        </w:rPr>
      </w:pPr>
      <w:r w:rsidRPr="00A241F5">
        <w:rPr>
          <w:b/>
        </w:rPr>
        <w:br w:type="page"/>
      </w:r>
    </w:p>
    <w:p w14:paraId="3ADD9E36" w14:textId="77777777" w:rsidR="001238F2" w:rsidRPr="00A241F5" w:rsidRDefault="001238F2" w:rsidP="001238F2">
      <w:pPr>
        <w:jc w:val="right"/>
        <w:rPr>
          <w:b/>
          <w:sz w:val="26"/>
          <w:szCs w:val="26"/>
        </w:rPr>
      </w:pPr>
      <w:bookmarkStart w:id="234" w:name="Annex3"/>
      <w:bookmarkEnd w:id="234"/>
      <w:r w:rsidRPr="00A241F5">
        <w:rPr>
          <w:b/>
          <w:sz w:val="26"/>
          <w:szCs w:val="26"/>
        </w:rPr>
        <w:lastRenderedPageBreak/>
        <w:t xml:space="preserve">Annex </w:t>
      </w:r>
      <w:bookmarkEnd w:id="230"/>
      <w:bookmarkEnd w:id="231"/>
      <w:r w:rsidRPr="00A241F5">
        <w:rPr>
          <w:b/>
          <w:sz w:val="26"/>
          <w:szCs w:val="26"/>
        </w:rPr>
        <w:t>3</w:t>
      </w:r>
    </w:p>
    <w:p w14:paraId="630B4BC4" w14:textId="77777777" w:rsidR="001238F2" w:rsidRPr="00A241F5" w:rsidRDefault="001238F2" w:rsidP="001238F2"/>
    <w:p w14:paraId="4366895A" w14:textId="77777777" w:rsidR="001238F2" w:rsidRPr="00A241F5" w:rsidRDefault="001238F2" w:rsidP="001238F2">
      <w:pPr>
        <w:jc w:val="center"/>
        <w:rPr>
          <w:b/>
          <w:sz w:val="28"/>
          <w:szCs w:val="28"/>
        </w:rPr>
      </w:pPr>
      <w:bookmarkStart w:id="235" w:name="_Toc459106067"/>
      <w:bookmarkStart w:id="236" w:name="_Toc460249310"/>
      <w:r w:rsidRPr="00A241F5">
        <w:rPr>
          <w:b/>
          <w:sz w:val="28"/>
          <w:szCs w:val="28"/>
        </w:rPr>
        <w:t>List of Respondents to the consultation</w:t>
      </w:r>
      <w:bookmarkEnd w:id="232"/>
      <w:bookmarkEnd w:id="235"/>
      <w:bookmarkEnd w:id="236"/>
    </w:p>
    <w:p w14:paraId="4FB011CB" w14:textId="77777777" w:rsidR="001238F2" w:rsidRPr="00A241F5" w:rsidRDefault="001238F2" w:rsidP="001238F2"/>
    <w:p w14:paraId="30A77941" w14:textId="77777777" w:rsidR="001238F2" w:rsidRPr="00A241F5" w:rsidRDefault="001238F2" w:rsidP="001238F2"/>
    <w:p w14:paraId="23E38AA8" w14:textId="77777777" w:rsidR="001238F2" w:rsidRPr="00A241F5" w:rsidRDefault="001238F2" w:rsidP="001238F2">
      <w:r w:rsidRPr="00A241F5">
        <w:t>Responses were received from the following Respondents, arranged in alphabetical order:</w:t>
      </w:r>
    </w:p>
    <w:p w14:paraId="6B4B12EA" w14:textId="77777777" w:rsidR="001238F2" w:rsidRPr="00A241F5" w:rsidRDefault="001238F2" w:rsidP="001238F2"/>
    <w:tbl>
      <w:tblPr>
        <w:tblW w:w="8280" w:type="dxa"/>
        <w:tblInd w:w="108" w:type="dxa"/>
        <w:tblLook w:val="04A0" w:firstRow="1" w:lastRow="0" w:firstColumn="1" w:lastColumn="0" w:noHBand="0" w:noVBand="1"/>
      </w:tblPr>
      <w:tblGrid>
        <w:gridCol w:w="8280"/>
      </w:tblGrid>
      <w:tr w:rsidR="001238F2" w:rsidRPr="00A241F5" w14:paraId="33CE1513" w14:textId="77777777" w:rsidTr="00AC7FE5">
        <w:tc>
          <w:tcPr>
            <w:tcW w:w="8280" w:type="dxa"/>
          </w:tcPr>
          <w:p w14:paraId="3A218A94" w14:textId="77777777" w:rsidR="001238F2" w:rsidRPr="00A241F5" w:rsidRDefault="001238F2" w:rsidP="0089478F">
            <w:pPr>
              <w:numPr>
                <w:ilvl w:val="0"/>
                <w:numId w:val="6"/>
              </w:numPr>
              <w:tabs>
                <w:tab w:val="left" w:pos="702"/>
              </w:tabs>
              <w:spacing w:before="120"/>
              <w:ind w:left="720" w:hanging="720"/>
            </w:pPr>
            <w:r w:rsidRPr="00A241F5">
              <w:t>Allen &amp; Overy</w:t>
            </w:r>
          </w:p>
        </w:tc>
      </w:tr>
      <w:tr w:rsidR="001238F2" w:rsidRPr="00A241F5" w14:paraId="41B25088" w14:textId="77777777" w:rsidTr="00AC7FE5">
        <w:tc>
          <w:tcPr>
            <w:tcW w:w="8280" w:type="dxa"/>
          </w:tcPr>
          <w:p w14:paraId="040B546B" w14:textId="77777777" w:rsidR="001238F2" w:rsidRPr="00A241F5" w:rsidRDefault="001238F2" w:rsidP="0089478F">
            <w:pPr>
              <w:numPr>
                <w:ilvl w:val="0"/>
                <w:numId w:val="6"/>
              </w:numPr>
              <w:tabs>
                <w:tab w:val="left" w:pos="702"/>
              </w:tabs>
              <w:spacing w:before="120"/>
              <w:ind w:left="720" w:hanging="720"/>
            </w:pPr>
            <w:r w:rsidRPr="00A241F5">
              <w:t>Angela Ho &amp; Associates</w:t>
            </w:r>
          </w:p>
        </w:tc>
      </w:tr>
      <w:tr w:rsidR="001238F2" w:rsidRPr="00A241F5" w14:paraId="4F1B2023" w14:textId="77777777" w:rsidTr="00AC7FE5">
        <w:tc>
          <w:tcPr>
            <w:tcW w:w="8280" w:type="dxa"/>
          </w:tcPr>
          <w:p w14:paraId="70C84C11" w14:textId="77777777" w:rsidR="001238F2" w:rsidRPr="00A241F5" w:rsidRDefault="001238F2" w:rsidP="0089478F">
            <w:pPr>
              <w:numPr>
                <w:ilvl w:val="0"/>
                <w:numId w:val="6"/>
              </w:numPr>
              <w:tabs>
                <w:tab w:val="left" w:pos="702"/>
              </w:tabs>
              <w:spacing w:before="120"/>
              <w:ind w:left="720" w:hanging="720"/>
            </w:pPr>
            <w:r w:rsidRPr="00A241F5">
              <w:t>Asian Corporate Governance Association</w:t>
            </w:r>
          </w:p>
        </w:tc>
      </w:tr>
      <w:tr w:rsidR="001238F2" w:rsidRPr="00A241F5" w14:paraId="22173DEF" w14:textId="77777777" w:rsidTr="00AC7FE5">
        <w:tc>
          <w:tcPr>
            <w:tcW w:w="8280" w:type="dxa"/>
          </w:tcPr>
          <w:p w14:paraId="5EACB136" w14:textId="77777777" w:rsidR="001238F2" w:rsidRPr="00A241F5" w:rsidRDefault="001238F2" w:rsidP="0089478F">
            <w:pPr>
              <w:numPr>
                <w:ilvl w:val="0"/>
                <w:numId w:val="6"/>
              </w:numPr>
              <w:tabs>
                <w:tab w:val="left" w:pos="702"/>
              </w:tabs>
              <w:spacing w:before="120"/>
              <w:ind w:left="720" w:hanging="720"/>
            </w:pPr>
            <w:r w:rsidRPr="00A241F5">
              <w:t>Consumer Council</w:t>
            </w:r>
          </w:p>
        </w:tc>
      </w:tr>
      <w:tr w:rsidR="001238F2" w:rsidRPr="00A241F5" w14:paraId="218F1281" w14:textId="77777777" w:rsidTr="00AC7FE5">
        <w:tc>
          <w:tcPr>
            <w:tcW w:w="8280" w:type="dxa"/>
          </w:tcPr>
          <w:p w14:paraId="70AFC114" w14:textId="77777777" w:rsidR="001238F2" w:rsidRPr="00A241F5" w:rsidRDefault="001238F2" w:rsidP="0089478F">
            <w:pPr>
              <w:numPr>
                <w:ilvl w:val="0"/>
                <w:numId w:val="6"/>
              </w:numPr>
              <w:tabs>
                <w:tab w:val="left" w:pos="702"/>
              </w:tabs>
              <w:spacing w:before="120"/>
              <w:ind w:left="720" w:hanging="720"/>
            </w:pPr>
            <w:r w:rsidRPr="00A241F5">
              <w:t>Department of Justice, Civil Division</w:t>
            </w:r>
          </w:p>
        </w:tc>
      </w:tr>
      <w:tr w:rsidR="001238F2" w:rsidRPr="00A241F5" w14:paraId="222F3B61" w14:textId="77777777" w:rsidTr="00AC7FE5">
        <w:tc>
          <w:tcPr>
            <w:tcW w:w="8280" w:type="dxa"/>
          </w:tcPr>
          <w:p w14:paraId="08C5AA9F" w14:textId="77777777" w:rsidR="001238F2" w:rsidRPr="00A241F5" w:rsidRDefault="001238F2" w:rsidP="0089478F">
            <w:pPr>
              <w:numPr>
                <w:ilvl w:val="0"/>
                <w:numId w:val="6"/>
              </w:numPr>
              <w:tabs>
                <w:tab w:val="left" w:pos="702"/>
              </w:tabs>
              <w:spacing w:before="120"/>
              <w:ind w:left="720" w:hanging="720"/>
            </w:pPr>
            <w:r w:rsidRPr="00A241F5">
              <w:t>Hong Kong Bar Association</w:t>
            </w:r>
          </w:p>
        </w:tc>
      </w:tr>
      <w:tr w:rsidR="001238F2" w:rsidRPr="00A241F5" w14:paraId="3AA790FF" w14:textId="77777777" w:rsidTr="00AC7FE5">
        <w:tc>
          <w:tcPr>
            <w:tcW w:w="8280" w:type="dxa"/>
          </w:tcPr>
          <w:p w14:paraId="0905B2C3" w14:textId="77777777" w:rsidR="001238F2" w:rsidRPr="00A241F5" w:rsidRDefault="001238F2" w:rsidP="0089478F">
            <w:pPr>
              <w:numPr>
                <w:ilvl w:val="0"/>
                <w:numId w:val="6"/>
              </w:numPr>
              <w:tabs>
                <w:tab w:val="left" w:pos="702"/>
              </w:tabs>
              <w:spacing w:before="120"/>
              <w:ind w:left="720" w:hanging="720"/>
            </w:pPr>
            <w:r w:rsidRPr="00A241F5">
              <w:t>Hong Kong Federation of Women Lawyers Limited</w:t>
            </w:r>
          </w:p>
        </w:tc>
      </w:tr>
      <w:tr w:rsidR="001238F2" w:rsidRPr="00A241F5" w14:paraId="434B013C" w14:textId="77777777" w:rsidTr="00AC7FE5">
        <w:tc>
          <w:tcPr>
            <w:tcW w:w="8280" w:type="dxa"/>
          </w:tcPr>
          <w:p w14:paraId="49725C48" w14:textId="77777777" w:rsidR="001238F2" w:rsidRPr="00A241F5" w:rsidRDefault="001238F2" w:rsidP="0089478F">
            <w:pPr>
              <w:numPr>
                <w:ilvl w:val="0"/>
                <w:numId w:val="6"/>
              </w:numPr>
              <w:tabs>
                <w:tab w:val="left" w:pos="702"/>
              </w:tabs>
              <w:spacing w:before="120"/>
              <w:ind w:left="720" w:hanging="720"/>
            </w:pPr>
            <w:r w:rsidRPr="00A241F5">
              <w:t>Hong Kong General Chamber of Commerce</w:t>
            </w:r>
          </w:p>
        </w:tc>
      </w:tr>
      <w:tr w:rsidR="001238F2" w:rsidRPr="00A241F5" w14:paraId="24A4E2A1" w14:textId="77777777" w:rsidTr="00AC7FE5">
        <w:tc>
          <w:tcPr>
            <w:tcW w:w="8280" w:type="dxa"/>
          </w:tcPr>
          <w:p w14:paraId="2F7B34C9" w14:textId="77777777" w:rsidR="001238F2" w:rsidRPr="00A241F5" w:rsidRDefault="001238F2" w:rsidP="0089478F">
            <w:pPr>
              <w:numPr>
                <w:ilvl w:val="0"/>
                <w:numId w:val="6"/>
              </w:numPr>
              <w:tabs>
                <w:tab w:val="left" w:pos="702"/>
              </w:tabs>
              <w:spacing w:before="120"/>
              <w:ind w:left="720" w:hanging="720"/>
            </w:pPr>
            <w:r w:rsidRPr="00A241F5">
              <w:t>Hong Kong Institute of Arbitrators</w:t>
            </w:r>
          </w:p>
        </w:tc>
      </w:tr>
      <w:tr w:rsidR="001238F2" w:rsidRPr="00A241F5" w14:paraId="11A63B31" w14:textId="77777777" w:rsidTr="00AC7FE5">
        <w:tc>
          <w:tcPr>
            <w:tcW w:w="8280" w:type="dxa"/>
          </w:tcPr>
          <w:p w14:paraId="64970BA2" w14:textId="77777777" w:rsidR="001238F2" w:rsidRPr="00A241F5" w:rsidRDefault="001238F2" w:rsidP="0089478F">
            <w:pPr>
              <w:numPr>
                <w:ilvl w:val="0"/>
                <w:numId w:val="6"/>
              </w:numPr>
              <w:tabs>
                <w:tab w:val="left" w:pos="702"/>
              </w:tabs>
              <w:spacing w:before="120"/>
              <w:ind w:left="720" w:hanging="720"/>
            </w:pPr>
            <w:r w:rsidRPr="00A241F5">
              <w:t>Hong Kong International Arbitration Centre</w:t>
            </w:r>
          </w:p>
        </w:tc>
      </w:tr>
      <w:tr w:rsidR="001238F2" w:rsidRPr="00A241F5" w14:paraId="07A9E9B9" w14:textId="77777777" w:rsidTr="00AC7FE5">
        <w:tc>
          <w:tcPr>
            <w:tcW w:w="8280" w:type="dxa"/>
          </w:tcPr>
          <w:p w14:paraId="31398B83" w14:textId="77777777" w:rsidR="001238F2" w:rsidRPr="00A241F5" w:rsidRDefault="001238F2" w:rsidP="0089478F">
            <w:pPr>
              <w:numPr>
                <w:ilvl w:val="0"/>
                <w:numId w:val="6"/>
              </w:numPr>
              <w:tabs>
                <w:tab w:val="left" w:pos="702"/>
              </w:tabs>
              <w:spacing w:before="120"/>
              <w:ind w:left="720" w:hanging="720"/>
            </w:pPr>
            <w:r w:rsidRPr="00A241F5">
              <w:t xml:space="preserve">Hong Kong Professionals and Senior Executives Association </w:t>
            </w:r>
          </w:p>
        </w:tc>
      </w:tr>
      <w:tr w:rsidR="001238F2" w:rsidRPr="00A241F5" w14:paraId="46E9259F" w14:textId="77777777" w:rsidTr="00AC7FE5">
        <w:tc>
          <w:tcPr>
            <w:tcW w:w="8280" w:type="dxa"/>
          </w:tcPr>
          <w:p w14:paraId="1C781C7A" w14:textId="77777777" w:rsidR="001238F2" w:rsidRPr="00A241F5" w:rsidRDefault="001238F2" w:rsidP="0089478F">
            <w:pPr>
              <w:numPr>
                <w:ilvl w:val="0"/>
                <w:numId w:val="6"/>
              </w:numPr>
              <w:tabs>
                <w:tab w:val="left" w:pos="702"/>
              </w:tabs>
              <w:spacing w:before="120"/>
              <w:ind w:left="720" w:hanging="720"/>
            </w:pPr>
            <w:r w:rsidRPr="00A241F5">
              <w:t>Insurance Authority</w:t>
            </w:r>
          </w:p>
        </w:tc>
      </w:tr>
      <w:tr w:rsidR="001238F2" w:rsidRPr="00A241F5" w14:paraId="54806937" w14:textId="77777777" w:rsidTr="00AC7FE5">
        <w:tc>
          <w:tcPr>
            <w:tcW w:w="8280" w:type="dxa"/>
            <w:shd w:val="clear" w:color="auto" w:fill="auto"/>
          </w:tcPr>
          <w:p w14:paraId="79553287" w14:textId="5114159E" w:rsidR="001238F2" w:rsidRPr="00A241F5" w:rsidRDefault="001238F2" w:rsidP="0089478F">
            <w:pPr>
              <w:numPr>
                <w:ilvl w:val="0"/>
                <w:numId w:val="6"/>
              </w:numPr>
              <w:tabs>
                <w:tab w:val="left" w:pos="702"/>
              </w:tabs>
              <w:spacing w:before="120"/>
              <w:ind w:left="720" w:hanging="720"/>
            </w:pPr>
            <w:r w:rsidRPr="00A241F5">
              <w:t>International Chamber of Commerce</w:t>
            </w:r>
            <w:r w:rsidR="00A95D92">
              <w:t xml:space="preserve"> – </w:t>
            </w:r>
            <w:r w:rsidRPr="00A241F5">
              <w:t>H</w:t>
            </w:r>
            <w:r w:rsidR="00A95D92">
              <w:t xml:space="preserve">ong </w:t>
            </w:r>
            <w:r w:rsidRPr="00A241F5">
              <w:t>K</w:t>
            </w:r>
            <w:r w:rsidR="00A95D92">
              <w:t>ong</w:t>
            </w:r>
          </w:p>
        </w:tc>
      </w:tr>
      <w:tr w:rsidR="001238F2" w:rsidRPr="00A241F5" w14:paraId="12F87A8C" w14:textId="77777777" w:rsidTr="00AC7FE5">
        <w:tc>
          <w:tcPr>
            <w:tcW w:w="8280" w:type="dxa"/>
            <w:shd w:val="clear" w:color="auto" w:fill="auto"/>
          </w:tcPr>
          <w:p w14:paraId="5D514CB4" w14:textId="77777777" w:rsidR="001238F2" w:rsidRPr="00A241F5" w:rsidRDefault="001238F2" w:rsidP="0089478F">
            <w:pPr>
              <w:numPr>
                <w:ilvl w:val="0"/>
                <w:numId w:val="6"/>
              </w:numPr>
              <w:tabs>
                <w:tab w:val="left" w:pos="702"/>
              </w:tabs>
              <w:spacing w:before="120"/>
              <w:ind w:left="720" w:hanging="720"/>
            </w:pPr>
            <w:r w:rsidRPr="00A241F5">
              <w:t>International Legal Finance Association</w:t>
            </w:r>
          </w:p>
        </w:tc>
      </w:tr>
      <w:tr w:rsidR="001238F2" w:rsidRPr="00A241F5" w14:paraId="548FE6B0" w14:textId="77777777" w:rsidTr="00AC7FE5">
        <w:tc>
          <w:tcPr>
            <w:tcW w:w="8280" w:type="dxa"/>
            <w:shd w:val="clear" w:color="auto" w:fill="auto"/>
          </w:tcPr>
          <w:p w14:paraId="61820893" w14:textId="77777777" w:rsidR="001238F2" w:rsidRPr="00A241F5" w:rsidRDefault="001238F2" w:rsidP="0089478F">
            <w:pPr>
              <w:numPr>
                <w:ilvl w:val="0"/>
                <w:numId w:val="6"/>
              </w:numPr>
              <w:tabs>
                <w:tab w:val="left" w:pos="702"/>
              </w:tabs>
              <w:spacing w:before="120"/>
              <w:ind w:left="720" w:hanging="720"/>
            </w:pPr>
            <w:r w:rsidRPr="00A241F5">
              <w:t>Kao, Lee &amp; Yip</w:t>
            </w:r>
          </w:p>
        </w:tc>
      </w:tr>
      <w:tr w:rsidR="001238F2" w:rsidRPr="00A241F5" w14:paraId="07A6E397" w14:textId="77777777" w:rsidTr="00AC7FE5">
        <w:tc>
          <w:tcPr>
            <w:tcW w:w="8280" w:type="dxa"/>
            <w:shd w:val="clear" w:color="auto" w:fill="auto"/>
          </w:tcPr>
          <w:p w14:paraId="2F91CE5F" w14:textId="77777777" w:rsidR="001238F2" w:rsidRPr="00A241F5" w:rsidRDefault="001238F2" w:rsidP="0089478F">
            <w:pPr>
              <w:numPr>
                <w:ilvl w:val="0"/>
                <w:numId w:val="6"/>
              </w:numPr>
              <w:tabs>
                <w:tab w:val="left" w:pos="702"/>
              </w:tabs>
              <w:spacing w:before="120"/>
              <w:ind w:left="720" w:hanging="720"/>
            </w:pPr>
            <w:r w:rsidRPr="00A241F5">
              <w:t>King &amp; Wood Mallesons</w:t>
            </w:r>
          </w:p>
        </w:tc>
      </w:tr>
      <w:tr w:rsidR="001238F2" w:rsidRPr="00A241F5" w14:paraId="475A2C55" w14:textId="77777777" w:rsidTr="00AC7FE5">
        <w:tc>
          <w:tcPr>
            <w:tcW w:w="8280" w:type="dxa"/>
            <w:shd w:val="clear" w:color="auto" w:fill="auto"/>
          </w:tcPr>
          <w:p w14:paraId="2875B980" w14:textId="77777777" w:rsidR="001238F2" w:rsidRPr="00A241F5" w:rsidRDefault="001238F2" w:rsidP="0089478F">
            <w:pPr>
              <w:numPr>
                <w:ilvl w:val="0"/>
                <w:numId w:val="6"/>
              </w:numPr>
              <w:tabs>
                <w:tab w:val="left" w:pos="702"/>
              </w:tabs>
              <w:spacing w:before="120"/>
              <w:ind w:left="720" w:hanging="720"/>
            </w:pPr>
            <w:r w:rsidRPr="00A241F5">
              <w:t>Kirkland &amp; Ellis</w:t>
            </w:r>
          </w:p>
        </w:tc>
      </w:tr>
      <w:tr w:rsidR="001238F2" w:rsidRPr="00A241F5" w14:paraId="4D6F6AF6" w14:textId="77777777" w:rsidTr="00AC7FE5">
        <w:tc>
          <w:tcPr>
            <w:tcW w:w="8280" w:type="dxa"/>
            <w:shd w:val="clear" w:color="auto" w:fill="auto"/>
          </w:tcPr>
          <w:p w14:paraId="70E64845" w14:textId="4FBF726A" w:rsidR="001238F2" w:rsidRPr="00A241F5" w:rsidRDefault="001238F2" w:rsidP="0089478F">
            <w:pPr>
              <w:numPr>
                <w:ilvl w:val="0"/>
                <w:numId w:val="6"/>
              </w:numPr>
              <w:tabs>
                <w:tab w:val="left" w:pos="702"/>
              </w:tabs>
              <w:spacing w:before="120"/>
              <w:ind w:left="720" w:hanging="720"/>
            </w:pPr>
            <w:r w:rsidRPr="00A241F5">
              <w:t>Liao Andrew</w:t>
            </w:r>
            <w:r w:rsidR="004E3A4A" w:rsidRPr="00A241F5">
              <w:t>,</w:t>
            </w:r>
            <w:r w:rsidRPr="00A241F5">
              <w:t xml:space="preserve"> GBS, SC, JP</w:t>
            </w:r>
          </w:p>
        </w:tc>
      </w:tr>
      <w:tr w:rsidR="001238F2" w:rsidRPr="00A241F5" w14:paraId="044652AF" w14:textId="77777777" w:rsidTr="00AC7FE5">
        <w:tc>
          <w:tcPr>
            <w:tcW w:w="8280" w:type="dxa"/>
            <w:shd w:val="clear" w:color="auto" w:fill="auto"/>
          </w:tcPr>
          <w:p w14:paraId="46674EC9" w14:textId="77777777" w:rsidR="001238F2" w:rsidRPr="00A241F5" w:rsidRDefault="001238F2" w:rsidP="0089478F">
            <w:pPr>
              <w:numPr>
                <w:ilvl w:val="0"/>
                <w:numId w:val="6"/>
              </w:numPr>
              <w:tabs>
                <w:tab w:val="left" w:pos="702"/>
              </w:tabs>
              <w:spacing w:before="120"/>
              <w:ind w:left="720" w:hanging="720"/>
            </w:pPr>
            <w:r w:rsidRPr="00A241F5">
              <w:t>Omni Bridgeway Limited</w:t>
            </w:r>
          </w:p>
        </w:tc>
      </w:tr>
      <w:tr w:rsidR="001238F2" w:rsidRPr="00A241F5" w14:paraId="336BFC08" w14:textId="77777777" w:rsidTr="00AC7FE5">
        <w:tc>
          <w:tcPr>
            <w:tcW w:w="8280" w:type="dxa"/>
            <w:shd w:val="clear" w:color="auto" w:fill="auto"/>
          </w:tcPr>
          <w:p w14:paraId="6909E628" w14:textId="77777777" w:rsidR="001238F2" w:rsidRPr="00A241F5" w:rsidRDefault="001238F2" w:rsidP="0089478F">
            <w:pPr>
              <w:numPr>
                <w:ilvl w:val="0"/>
                <w:numId w:val="6"/>
              </w:numPr>
              <w:tabs>
                <w:tab w:val="left" w:pos="702"/>
              </w:tabs>
              <w:spacing w:before="120"/>
              <w:ind w:left="720" w:hanging="720"/>
            </w:pPr>
            <w:r w:rsidRPr="00A241F5">
              <w:t>Shearman &amp; Sterling</w:t>
            </w:r>
          </w:p>
          <w:p w14:paraId="18DEB900" w14:textId="6CDBC6BF" w:rsidR="007C22F9" w:rsidRPr="00A241F5" w:rsidRDefault="007C22F9" w:rsidP="0089478F">
            <w:pPr>
              <w:numPr>
                <w:ilvl w:val="0"/>
                <w:numId w:val="6"/>
              </w:numPr>
              <w:tabs>
                <w:tab w:val="left" w:pos="702"/>
              </w:tabs>
              <w:spacing w:before="120"/>
              <w:ind w:left="720" w:hanging="720"/>
            </w:pPr>
            <w:r w:rsidRPr="00A241F5">
              <w:rPr>
                <w:rFonts w:eastAsia="DengXian"/>
                <w:lang w:eastAsia="zh-CN"/>
              </w:rPr>
              <w:t>The Law Society of Hong Kong</w:t>
            </w:r>
          </w:p>
        </w:tc>
      </w:tr>
      <w:tr w:rsidR="001238F2" w:rsidRPr="00A241F5" w14:paraId="23001C21" w14:textId="77777777" w:rsidTr="00AC7FE5">
        <w:tc>
          <w:tcPr>
            <w:tcW w:w="8280" w:type="dxa"/>
            <w:shd w:val="clear" w:color="auto" w:fill="auto"/>
          </w:tcPr>
          <w:p w14:paraId="50B0A03D" w14:textId="77777777" w:rsidR="001238F2" w:rsidRPr="00A241F5" w:rsidRDefault="001238F2" w:rsidP="0089478F">
            <w:pPr>
              <w:numPr>
                <w:ilvl w:val="0"/>
                <w:numId w:val="6"/>
              </w:numPr>
              <w:tabs>
                <w:tab w:val="left" w:pos="702"/>
              </w:tabs>
              <w:spacing w:before="120"/>
              <w:ind w:left="720" w:hanging="720"/>
            </w:pPr>
            <w:r w:rsidRPr="00A241F5">
              <w:t>Wong Samuel Chat Chor</w:t>
            </w:r>
          </w:p>
        </w:tc>
      </w:tr>
    </w:tbl>
    <w:p w14:paraId="734F6452" w14:textId="77777777" w:rsidR="0089478F" w:rsidRPr="00A241F5" w:rsidRDefault="0089478F" w:rsidP="001238F2">
      <w:pPr>
        <w:rPr>
          <w:i/>
          <w:sz w:val="20"/>
          <w:szCs w:val="20"/>
        </w:rPr>
      </w:pPr>
    </w:p>
    <w:p w14:paraId="08973ECE" w14:textId="77777777" w:rsidR="0089478F" w:rsidRPr="00A241F5" w:rsidRDefault="0089478F" w:rsidP="001238F2">
      <w:pPr>
        <w:rPr>
          <w:i/>
          <w:sz w:val="20"/>
          <w:szCs w:val="20"/>
        </w:rPr>
      </w:pPr>
    </w:p>
    <w:p w14:paraId="2CD8BA08" w14:textId="77777777" w:rsidR="0089478F" w:rsidRPr="00A241F5" w:rsidRDefault="0089478F" w:rsidP="001238F2">
      <w:pPr>
        <w:rPr>
          <w:i/>
          <w:sz w:val="20"/>
          <w:szCs w:val="20"/>
        </w:rPr>
      </w:pPr>
    </w:p>
    <w:p w14:paraId="4638D588" w14:textId="77777777" w:rsidR="0089478F" w:rsidRPr="00A241F5" w:rsidRDefault="0089478F" w:rsidP="001238F2">
      <w:pPr>
        <w:rPr>
          <w:i/>
          <w:sz w:val="20"/>
          <w:szCs w:val="20"/>
        </w:rPr>
      </w:pPr>
    </w:p>
    <w:sectPr w:rsidR="0089478F" w:rsidRPr="00A241F5" w:rsidSect="00303CFD">
      <w:pgSz w:w="11907" w:h="16839" w:code="9"/>
      <w:pgMar w:top="1440" w:right="1800" w:bottom="1440" w:left="180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05D1A" w14:textId="77777777" w:rsidR="00A241F5" w:rsidRDefault="00A241F5">
      <w:r>
        <w:separator/>
      </w:r>
    </w:p>
  </w:endnote>
  <w:endnote w:type="continuationSeparator" w:id="0">
    <w:p w14:paraId="3A88E3BA" w14:textId="77777777" w:rsidR="00A241F5" w:rsidRDefault="00A2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87DE" w14:textId="77777777" w:rsidR="00A241F5" w:rsidRPr="00C406E4" w:rsidRDefault="00A241F5" w:rsidP="00C406E4">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935C8" w14:textId="5EB6F6E8" w:rsidR="00A241F5" w:rsidRPr="00B776E1" w:rsidRDefault="00A241F5" w:rsidP="00303CFD">
    <w:pPr>
      <w:jc w:val="center"/>
    </w:pPr>
    <w:r w:rsidRPr="008257CF">
      <w:fldChar w:fldCharType="begin"/>
    </w:r>
    <w:r w:rsidRPr="008257CF">
      <w:instrText xml:space="preserve"> PAGE   \* MERGEFORMAT </w:instrText>
    </w:r>
    <w:r w:rsidRPr="008257CF">
      <w:fldChar w:fldCharType="separate"/>
    </w:r>
    <w:r w:rsidR="005D4D88">
      <w:rPr>
        <w:noProof/>
      </w:rPr>
      <w:t>39</w:t>
    </w:r>
    <w:r w:rsidRPr="008257CF">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C87F0" w14:textId="2FB41104" w:rsidR="00A241F5" w:rsidRPr="007E55A4" w:rsidRDefault="00A241F5" w:rsidP="00CB6FD8">
    <w:pPr>
      <w:pStyle w:val="Footer"/>
      <w:jc w:val="center"/>
      <w:rPr>
        <w:rFonts w:cs="Arial"/>
        <w:szCs w:val="24"/>
        <w:lang w:val="en-US"/>
      </w:rPr>
    </w:pPr>
    <w:r w:rsidRPr="007E55A4">
      <w:rPr>
        <w:rFonts w:cs="Arial"/>
        <w:szCs w:val="24"/>
      </w:rPr>
      <w:fldChar w:fldCharType="begin"/>
    </w:r>
    <w:r w:rsidRPr="007E55A4">
      <w:rPr>
        <w:rFonts w:cs="Arial"/>
        <w:szCs w:val="24"/>
      </w:rPr>
      <w:instrText xml:space="preserve"> PAGE   \* MERGEFORMAT </w:instrText>
    </w:r>
    <w:r w:rsidRPr="007E55A4">
      <w:rPr>
        <w:rFonts w:cs="Arial"/>
        <w:szCs w:val="24"/>
      </w:rPr>
      <w:fldChar w:fldCharType="separate"/>
    </w:r>
    <w:r w:rsidR="005D4D88">
      <w:rPr>
        <w:rFonts w:cs="Arial"/>
        <w:noProof/>
        <w:szCs w:val="24"/>
      </w:rPr>
      <w:t>91</w:t>
    </w:r>
    <w:r w:rsidRPr="007E55A4">
      <w:rPr>
        <w:rFonts w:cs="Arial"/>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8DF2" w14:textId="3C767996" w:rsidR="00A241F5" w:rsidRPr="007E55A4" w:rsidRDefault="00A241F5" w:rsidP="00CB6FD8">
    <w:pPr>
      <w:pStyle w:val="Footer"/>
      <w:jc w:val="center"/>
      <w:rPr>
        <w:rFonts w:cs="Arial"/>
        <w:szCs w:val="24"/>
        <w:lang w:val="en-US"/>
      </w:rPr>
    </w:pPr>
    <w:r w:rsidRPr="007E55A4">
      <w:rPr>
        <w:rFonts w:cs="Arial"/>
        <w:szCs w:val="24"/>
      </w:rPr>
      <w:fldChar w:fldCharType="begin"/>
    </w:r>
    <w:r w:rsidRPr="007E55A4">
      <w:rPr>
        <w:rFonts w:cs="Arial"/>
        <w:szCs w:val="24"/>
      </w:rPr>
      <w:instrText xml:space="preserve"> PAGE   \* MERGEFORMAT </w:instrText>
    </w:r>
    <w:r w:rsidRPr="007E55A4">
      <w:rPr>
        <w:rFonts w:cs="Arial"/>
        <w:szCs w:val="24"/>
      </w:rPr>
      <w:fldChar w:fldCharType="separate"/>
    </w:r>
    <w:r w:rsidR="005D4D88">
      <w:rPr>
        <w:rFonts w:cs="Arial"/>
        <w:noProof/>
        <w:szCs w:val="24"/>
      </w:rPr>
      <w:t>98</w:t>
    </w:r>
    <w:r w:rsidRPr="007E55A4">
      <w:rPr>
        <w:rFonts w:cs="Arial"/>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BEDC0" w14:textId="43D4693E" w:rsidR="00A241F5" w:rsidRPr="00B776E1" w:rsidRDefault="00A241F5" w:rsidP="00303CFD">
    <w:pPr>
      <w:jc w:val="center"/>
    </w:pPr>
    <w:r w:rsidRPr="008257CF">
      <w:fldChar w:fldCharType="begin"/>
    </w:r>
    <w:r w:rsidRPr="008257CF">
      <w:instrText xml:space="preserve"> PAGE   \* MERGEFORMAT </w:instrText>
    </w:r>
    <w:r w:rsidRPr="008257CF">
      <w:fldChar w:fldCharType="separate"/>
    </w:r>
    <w:r w:rsidR="005D4D88">
      <w:rPr>
        <w:noProof/>
      </w:rPr>
      <w:t>109</w:t>
    </w:r>
    <w:r w:rsidRPr="008257C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B979" w14:textId="77777777" w:rsidR="00A241F5" w:rsidRDefault="00A241F5" w:rsidP="00C64FA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3C31D" w14:textId="77777777" w:rsidR="00A241F5" w:rsidRDefault="00A241F5" w:rsidP="00C64FA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CB400" w14:textId="53AFB6FF" w:rsidR="00A241F5" w:rsidRDefault="00A241F5" w:rsidP="00C6286D">
    <w:pPr>
      <w:pStyle w:val="Footer"/>
      <w:jc w:val="center"/>
    </w:pPr>
    <w:r>
      <w:fldChar w:fldCharType="begin"/>
    </w:r>
    <w:r>
      <w:instrText xml:space="preserve"> PAGE   \* MERGEFORMAT </w:instrText>
    </w:r>
    <w:r>
      <w:fldChar w:fldCharType="separate"/>
    </w:r>
    <w:r w:rsidR="005D4D88">
      <w:rPr>
        <w:noProof/>
      </w:rPr>
      <w:t>vii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CB270" w14:textId="2925F45F" w:rsidR="00A241F5" w:rsidRPr="00F32222" w:rsidRDefault="00A241F5" w:rsidP="00CB6FD8">
    <w:pPr>
      <w:pStyle w:val="Footer"/>
      <w:jc w:val="center"/>
      <w:rPr>
        <w:szCs w:val="24"/>
        <w:lang w:val="en-US"/>
      </w:rPr>
    </w:pPr>
    <w:r w:rsidRPr="008257CF">
      <w:rPr>
        <w:szCs w:val="24"/>
      </w:rPr>
      <w:fldChar w:fldCharType="begin"/>
    </w:r>
    <w:r w:rsidRPr="008257CF">
      <w:rPr>
        <w:szCs w:val="24"/>
      </w:rPr>
      <w:instrText xml:space="preserve"> PAGE   \* MERGEFORMAT </w:instrText>
    </w:r>
    <w:r w:rsidRPr="008257CF">
      <w:rPr>
        <w:szCs w:val="24"/>
      </w:rPr>
      <w:fldChar w:fldCharType="separate"/>
    </w:r>
    <w:r w:rsidR="005D4D88">
      <w:rPr>
        <w:noProof/>
        <w:szCs w:val="24"/>
      </w:rPr>
      <w:t>10</w:t>
    </w:r>
    <w:r w:rsidRPr="008257CF">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05B0" w14:textId="77777777" w:rsidR="00A241F5" w:rsidRDefault="00A241F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14F55" w14:textId="6568EA94" w:rsidR="00A241F5" w:rsidRPr="00B776E1" w:rsidRDefault="00A241F5" w:rsidP="00A9514A">
    <w:pPr>
      <w:jc w:val="center"/>
    </w:pPr>
    <w:r w:rsidRPr="008257CF">
      <w:fldChar w:fldCharType="begin"/>
    </w:r>
    <w:r w:rsidRPr="008257CF">
      <w:instrText xml:space="preserve"> PAGE   \* MERGEFORMAT </w:instrText>
    </w:r>
    <w:r w:rsidRPr="008257CF">
      <w:fldChar w:fldCharType="separate"/>
    </w:r>
    <w:r w:rsidR="005D4D88">
      <w:rPr>
        <w:noProof/>
      </w:rPr>
      <w:t>27</w:t>
    </w:r>
    <w:r w:rsidRPr="008257CF">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9D004" w14:textId="77777777" w:rsidR="00A241F5" w:rsidRDefault="00A241F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8820E" w14:textId="2C52FDFA" w:rsidR="00A241F5" w:rsidRPr="00B776E1" w:rsidRDefault="00A241F5" w:rsidP="00303CFD">
    <w:pPr>
      <w:jc w:val="center"/>
    </w:pPr>
    <w:r w:rsidRPr="008257CF">
      <w:fldChar w:fldCharType="begin"/>
    </w:r>
    <w:r w:rsidRPr="008257CF">
      <w:instrText xml:space="preserve"> PAGE   \* MERGEFORMAT </w:instrText>
    </w:r>
    <w:r w:rsidRPr="008257CF">
      <w:fldChar w:fldCharType="separate"/>
    </w:r>
    <w:r w:rsidR="005D4D88">
      <w:rPr>
        <w:noProof/>
      </w:rPr>
      <w:t>31</w:t>
    </w:r>
    <w:r w:rsidRPr="008257C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438E" w14:textId="77777777" w:rsidR="00A241F5" w:rsidRDefault="00A241F5">
      <w:r>
        <w:separator/>
      </w:r>
    </w:p>
  </w:footnote>
  <w:footnote w:type="continuationSeparator" w:id="0">
    <w:p w14:paraId="43C72B18" w14:textId="77777777" w:rsidR="00A241F5" w:rsidRDefault="00A241F5">
      <w:r>
        <w:continuationSeparator/>
      </w:r>
    </w:p>
  </w:footnote>
  <w:footnote w:id="1">
    <w:p w14:paraId="36DF4AD4" w14:textId="6BFFBFD0" w:rsidR="00A241F5" w:rsidRPr="000C79DC" w:rsidRDefault="00A241F5" w:rsidP="001238F2">
      <w:pPr>
        <w:pStyle w:val="FootnoteText"/>
        <w:rPr>
          <w:lang w:val="en-US"/>
        </w:rPr>
      </w:pPr>
      <w:r w:rsidRPr="000C79DC">
        <w:rPr>
          <w:rStyle w:val="FootnoteReference"/>
        </w:rPr>
        <w:footnoteRef/>
      </w:r>
      <w:r w:rsidRPr="000C79DC">
        <w:t xml:space="preserve"> </w:t>
      </w:r>
      <w:r w:rsidRPr="000C79DC">
        <w:rPr>
          <w:lang w:val="en-US"/>
        </w:rPr>
        <w:tab/>
      </w:r>
      <w:r w:rsidRPr="000C79DC">
        <w:t>Apart from setting out the Sub-committee's Recommendations, the Report will not repeat the content of the Consultation Paper which is available on the LRC's website at:</w:t>
      </w:r>
      <w:r w:rsidRPr="000C79DC">
        <w:rPr>
          <w:lang w:val="en-US"/>
        </w:rPr>
        <w:t xml:space="preserve"> https://www.hkreform.gov.hk/en/publications/orfsa.htm</w:t>
      </w:r>
      <w:r w:rsidRPr="000C79DC">
        <w:t xml:space="preserve">.  The Report should be read in conjunction with the Consultation Paper. </w:t>
      </w:r>
    </w:p>
  </w:footnote>
  <w:footnote w:id="2">
    <w:p w14:paraId="51620350" w14:textId="77777777" w:rsidR="00A241F5" w:rsidRPr="000C79DC" w:rsidRDefault="00A241F5" w:rsidP="00E13EAD">
      <w:pPr>
        <w:pStyle w:val="FootnoteText"/>
        <w:rPr>
          <w:rFonts w:eastAsia="DengXian"/>
          <w:lang w:eastAsia="zh-CN"/>
        </w:rPr>
      </w:pPr>
      <w:r w:rsidRPr="000C79DC">
        <w:rPr>
          <w:rStyle w:val="FootnoteReference"/>
        </w:rPr>
        <w:footnoteRef/>
      </w:r>
      <w:r w:rsidRPr="000C79DC">
        <w:t xml:space="preserve"> </w:t>
      </w:r>
      <w:r w:rsidRPr="000C79DC">
        <w:tab/>
      </w:r>
      <w:r w:rsidRPr="000C79DC">
        <w:rPr>
          <w:lang w:eastAsia="zh-HK"/>
        </w:rPr>
        <w:t>Any arbitration, whether or not administered by a permanent arbitral institution, in or outside Hong Kong, including the following proceedings under the Arbitration Ordinance: (i) court proceedings; (ii) proceedings before an emergency arbitrator; and (iii) mediation proceedings.</w:t>
      </w:r>
    </w:p>
  </w:footnote>
  <w:footnote w:id="3">
    <w:p w14:paraId="2F467F82" w14:textId="77777777" w:rsidR="00A241F5" w:rsidRPr="000C79DC" w:rsidRDefault="00A241F5" w:rsidP="001238F2">
      <w:pPr>
        <w:pStyle w:val="FootnoteText"/>
        <w:rPr>
          <w:lang w:val="en-US"/>
        </w:rPr>
      </w:pPr>
      <w:r w:rsidRPr="000C79DC">
        <w:rPr>
          <w:rStyle w:val="FootnoteReference"/>
        </w:rPr>
        <w:footnoteRef/>
      </w:r>
      <w:r w:rsidRPr="000C79DC">
        <w:t xml:space="preserve"> </w:t>
      </w:r>
      <w:r w:rsidRPr="000C79DC">
        <w:rPr>
          <w:lang w:val="en-US"/>
        </w:rPr>
        <w:tab/>
        <w:t>At Annex 3 to the Report is the List of Respondents who made submissions in response to the Consultation Paper.</w:t>
      </w:r>
    </w:p>
  </w:footnote>
  <w:footnote w:id="4">
    <w:p w14:paraId="3E96658F" w14:textId="6AA04119" w:rsidR="00A241F5" w:rsidRPr="000C79DC" w:rsidRDefault="00A241F5" w:rsidP="001238F2">
      <w:pPr>
        <w:pStyle w:val="FootnoteText"/>
        <w:rPr>
          <w:rFonts w:eastAsia="DengXian"/>
          <w:lang w:eastAsia="zh-CN"/>
        </w:rPr>
      </w:pPr>
      <w:r w:rsidRPr="000C79DC">
        <w:rPr>
          <w:rStyle w:val="FootnoteReference"/>
        </w:rPr>
        <w:footnoteRef/>
      </w:r>
      <w:r w:rsidRPr="000C79DC">
        <w:t xml:space="preserve"> </w:t>
      </w:r>
      <w:r w:rsidRPr="000C79DC">
        <w:tab/>
      </w:r>
      <w:r w:rsidRPr="000C79DC">
        <w:rPr>
          <w:lang w:eastAsia="zh-HK"/>
        </w:rPr>
        <w:t>A person who is qualified to practise the law of any jurisdiction, including Hong Kong.  For the purposes of this Report, "Lawyer" includes (but is not limited to) Hong Kong barristers, solicitors and Registered foreign lawyers.</w:t>
      </w:r>
    </w:p>
  </w:footnote>
  <w:footnote w:id="5">
    <w:p w14:paraId="145C343B" w14:textId="60B8BB67" w:rsidR="00A241F5" w:rsidRPr="000C79DC" w:rsidRDefault="00A241F5" w:rsidP="001238F2">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rPr>
          <w:lang w:eastAsia="zh-HK"/>
        </w:rPr>
        <w:t>Portion of the Success Fee which exceeds the amount of fees which would be payable to the Lawyer if there were no ORFS in place.</w:t>
      </w:r>
    </w:p>
  </w:footnote>
  <w:footnote w:id="6">
    <w:p w14:paraId="304C79DA" w14:textId="17444BA7" w:rsidR="00A241F5" w:rsidRPr="000C79DC" w:rsidRDefault="00A241F5" w:rsidP="001238F2">
      <w:pPr>
        <w:pStyle w:val="FootnoteText"/>
      </w:pPr>
      <w:r w:rsidRPr="000C79DC">
        <w:rPr>
          <w:rStyle w:val="FootnoteReference"/>
        </w:rPr>
        <w:footnoteRef/>
      </w:r>
      <w:r w:rsidRPr="000C79DC">
        <w:t xml:space="preserve"> </w:t>
      </w:r>
      <w:r w:rsidRPr="000C79DC">
        <w:tab/>
        <w:t>The Sub-committee thanks the law firm that provided a worked example along these lines, in order to illustrate how CFAs work in practice.</w:t>
      </w:r>
    </w:p>
  </w:footnote>
  <w:footnote w:id="7">
    <w:p w14:paraId="00EB5F70" w14:textId="1DDA5779" w:rsidR="00A241F5" w:rsidRPr="000C79DC" w:rsidRDefault="00A241F5" w:rsidP="001238F2">
      <w:pPr>
        <w:pStyle w:val="FootnoteText"/>
        <w:rPr>
          <w:rFonts w:eastAsia="DengXian"/>
          <w:lang w:eastAsia="zh-CN"/>
        </w:rPr>
      </w:pPr>
      <w:r w:rsidRPr="000C79DC">
        <w:rPr>
          <w:rStyle w:val="FootnoteReference"/>
        </w:rPr>
        <w:footnoteRef/>
      </w:r>
      <w:r w:rsidRPr="000C79DC">
        <w:t xml:space="preserve"> </w:t>
      </w:r>
      <w:r w:rsidRPr="000C79DC">
        <w:tab/>
      </w:r>
      <w:r w:rsidRPr="000C79DC">
        <w:rPr>
          <w:lang w:eastAsia="zh-HK"/>
        </w:rPr>
        <w:t>Money or money's worth, but does not include any sum awarded in respect of recoverable Lawyer's costs or recoverable expenses.</w:t>
      </w:r>
    </w:p>
  </w:footnote>
  <w:footnote w:id="8">
    <w:p w14:paraId="0248F4E4" w14:textId="73F716FB" w:rsidR="00A241F5" w:rsidRPr="000C79DC" w:rsidRDefault="00A241F5">
      <w:pPr>
        <w:pStyle w:val="FootnoteText"/>
      </w:pPr>
      <w:r w:rsidRPr="000C79DC">
        <w:rPr>
          <w:rStyle w:val="FootnoteReference"/>
        </w:rPr>
        <w:footnoteRef/>
      </w:r>
      <w:r w:rsidRPr="000C79DC">
        <w:t xml:space="preserve"> </w:t>
      </w:r>
      <w:r w:rsidRPr="000C79DC">
        <w:tab/>
        <w:t>The Ministry of Law of Singapore introduced the Legal Profession (Amendment) Bill for First Reading in the Parliament of Singapore on 1 November 2021.  The proposed amendments provided a framework for conditional fee agreements only in relation to certain contentious proceedings (ie proceedings befor</w:t>
      </w:r>
      <w:r w:rsidRPr="000C79DC">
        <w:rPr>
          <w:rFonts w:cs="Arial"/>
        </w:rPr>
        <w:t xml:space="preserve">e a court of justice or an arbitrator or any other dispute resolution proceedings) that would be specified in regulations.  As a start, the Ministry of Law of Singapore proposed that these proceedings included </w:t>
      </w:r>
      <w:r w:rsidRPr="000C79DC">
        <w:rPr>
          <w:rFonts w:cs="Arial"/>
          <w:i/>
        </w:rPr>
        <w:t>"international and domestic arbitration proceedings, certain proceedings in the Singapore International Commercial Court, and related court and mediation proceedings</w:t>
      </w:r>
      <w:r w:rsidRPr="000C79DC">
        <w:rPr>
          <w:rFonts w:eastAsia="DengXian" w:cs="Arial"/>
          <w:i/>
          <w:lang w:eastAsia="zh-CN"/>
        </w:rPr>
        <w:t>"</w:t>
      </w:r>
      <w:r w:rsidRPr="000C79DC">
        <w:t>.</w:t>
      </w:r>
    </w:p>
  </w:footnote>
  <w:footnote w:id="9">
    <w:p w14:paraId="35E22BC2" w14:textId="18F371D2" w:rsidR="00A241F5" w:rsidRPr="000C79DC" w:rsidRDefault="00A241F5" w:rsidP="001238F2">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rPr>
          <w:lang w:eastAsia="zh-HK"/>
        </w:rPr>
        <w:t>The People's Republic of China (for the purposes of this Report) excluding Hong Kong, Macao Special Administrative Region and Taiwan.</w:t>
      </w:r>
    </w:p>
  </w:footnote>
  <w:footnote w:id="10">
    <w:p w14:paraId="3109E3F4" w14:textId="6D5E19CC" w:rsidR="00A241F5" w:rsidRPr="000C79DC" w:rsidRDefault="00A241F5" w:rsidP="001238F2">
      <w:pPr>
        <w:pStyle w:val="FootnoteText"/>
      </w:pPr>
      <w:r w:rsidRPr="000C79DC">
        <w:rPr>
          <w:rStyle w:val="FootnoteReference"/>
        </w:rPr>
        <w:footnoteRef/>
      </w:r>
      <w:r w:rsidRPr="000C79DC">
        <w:tab/>
        <w:t>T</w:t>
      </w:r>
      <w:r w:rsidRPr="000C79DC">
        <w:rPr>
          <w:lang w:val="en-US"/>
        </w:rPr>
        <w:t xml:space="preserve">he Sub-committee also acceded to a number of </w:t>
      </w:r>
      <w:r w:rsidRPr="000C79DC">
        <w:t>requests for an extension of time for the submission of written responses, since the extensions requested were not unreasonable and would not give rise to undue delay to the overall progress.</w:t>
      </w:r>
    </w:p>
  </w:footnote>
  <w:footnote w:id="11">
    <w:p w14:paraId="6B39B909" w14:textId="77777777" w:rsidR="00A241F5" w:rsidRPr="000C79DC" w:rsidRDefault="00A241F5" w:rsidP="001238F2">
      <w:pPr>
        <w:pStyle w:val="FootnoteText"/>
        <w:rPr>
          <w:lang w:val="en-US"/>
        </w:rPr>
      </w:pPr>
      <w:r w:rsidRPr="000C79DC">
        <w:rPr>
          <w:rStyle w:val="FootnoteReference"/>
        </w:rPr>
        <w:footnoteRef/>
      </w:r>
      <w:r w:rsidRPr="000C79DC">
        <w:t xml:space="preserve"> </w:t>
      </w:r>
      <w:r w:rsidRPr="000C79DC">
        <w:rPr>
          <w:lang w:val="en-US"/>
        </w:rPr>
        <w:tab/>
      </w:r>
      <w:r w:rsidRPr="000C79DC">
        <w:rPr>
          <w:rFonts w:hint="eastAsia"/>
        </w:rPr>
        <w:t xml:space="preserve">See </w:t>
      </w:r>
      <w:r w:rsidRPr="000C79DC">
        <w:rPr>
          <w:lang w:val="en-US"/>
        </w:rPr>
        <w:t>Consultation Paper, at paras 5.1 to 5.5</w:t>
      </w:r>
      <w:r w:rsidRPr="000C79DC">
        <w:t>.</w:t>
      </w:r>
    </w:p>
  </w:footnote>
  <w:footnote w:id="12">
    <w:p w14:paraId="207C876E" w14:textId="1C7E5B32" w:rsidR="00A241F5" w:rsidRPr="000C79DC" w:rsidRDefault="00A241F5" w:rsidP="001238F2">
      <w:pPr>
        <w:pStyle w:val="FootnoteText"/>
      </w:pPr>
      <w:r w:rsidRPr="000C79DC">
        <w:rPr>
          <w:rStyle w:val="FootnoteReference"/>
        </w:rPr>
        <w:footnoteRef/>
      </w:r>
      <w:r w:rsidRPr="000C79DC">
        <w:t xml:space="preserve"> </w:t>
      </w:r>
      <w:r w:rsidRPr="000C79DC">
        <w:tab/>
        <w:t xml:space="preserve">17 out of 18 Respondents who expressed a view. </w:t>
      </w:r>
    </w:p>
  </w:footnote>
  <w:footnote w:id="13">
    <w:p w14:paraId="646455DC" w14:textId="1D16F778" w:rsidR="00A241F5" w:rsidRPr="000C79DC" w:rsidRDefault="00A241F5" w:rsidP="001238F2">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rPr>
          <w:lang w:eastAsia="zh-HK"/>
        </w:rPr>
        <w:t>A contract of insurance between client and insurer, taken out after the event giving rise to the Proceedings, that provides reimbursement for a proportion of the client's fees, adverse costs, and disbursements in the event that the client's case is unsuccessful.</w:t>
      </w:r>
    </w:p>
  </w:footnote>
  <w:footnote w:id="14">
    <w:p w14:paraId="783EBD06" w14:textId="77777777" w:rsidR="00A241F5" w:rsidRPr="000C79DC" w:rsidRDefault="00A241F5" w:rsidP="001238F2">
      <w:pPr>
        <w:pStyle w:val="FootnoteText"/>
        <w:rPr>
          <w:lang w:val="en-HK"/>
        </w:rPr>
      </w:pPr>
      <w:r w:rsidRPr="000C79DC">
        <w:rPr>
          <w:rStyle w:val="FootnoteReference"/>
        </w:rPr>
        <w:footnoteRef/>
      </w:r>
      <w:r w:rsidRPr="000C79DC">
        <w:t xml:space="preserve"> </w:t>
      </w:r>
      <w:r w:rsidRPr="000C79DC">
        <w:rPr>
          <w:lang w:val="en-HK"/>
        </w:rPr>
        <w:tab/>
        <w:t xml:space="preserve">Lord Justice Jackson, </w:t>
      </w:r>
      <w:r w:rsidRPr="000C79DC">
        <w:rPr>
          <w:i/>
          <w:lang w:val="en-HK"/>
        </w:rPr>
        <w:t>Review of Civil Litigation Costs: Final Report</w:t>
      </w:r>
      <w:r w:rsidRPr="000C79DC">
        <w:rPr>
          <w:lang w:val="en-HK"/>
        </w:rPr>
        <w:t xml:space="preserve"> </w:t>
      </w:r>
      <w:r w:rsidRPr="000C79DC">
        <w:t>(2009), at para 1.8 of Ch 10.</w:t>
      </w:r>
    </w:p>
  </w:footnote>
  <w:footnote w:id="15">
    <w:p w14:paraId="27532207" w14:textId="45026F2F" w:rsidR="00A241F5" w:rsidRPr="000C79DC" w:rsidRDefault="00A241F5">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t>See s 98ZA of the draft amendments to the Arbitration Ordinance in Annex 1 to this Report.</w:t>
      </w:r>
    </w:p>
  </w:footnote>
  <w:footnote w:id="16">
    <w:p w14:paraId="3CCE27A4" w14:textId="00D5E51A" w:rsidR="00A241F5" w:rsidRPr="000C79DC" w:rsidRDefault="00A241F5">
      <w:pPr>
        <w:pStyle w:val="FootnoteText"/>
        <w:rPr>
          <w:rFonts w:eastAsia="DengXian"/>
          <w:lang w:eastAsia="zh-CN"/>
        </w:rPr>
      </w:pPr>
      <w:r w:rsidRPr="000C79DC">
        <w:rPr>
          <w:rStyle w:val="FootnoteReference"/>
        </w:rPr>
        <w:footnoteRef/>
      </w:r>
      <w:r w:rsidRPr="000C79DC">
        <w:t xml:space="preserve"> </w:t>
      </w:r>
      <w:r w:rsidRPr="000C79DC">
        <w:tab/>
        <w:t>In Hong Kong, the Judiciary has launched the Pilot Scheme on Private Adjudication of Financial Disputes in Matrimonial and Family Proceedings to deal with financial disputes in matrimonial and family matters by way of private adjudication since 2015.  Pursuant to Practice</w:t>
      </w:r>
      <w:r w:rsidRPr="000C79DC">
        <w:rPr>
          <w:lang w:val="en-US"/>
        </w:rPr>
        <w:t> </w:t>
      </w:r>
      <w:r w:rsidRPr="000C79DC">
        <w:t>Direction</w:t>
      </w:r>
      <w:r w:rsidRPr="000C79DC">
        <w:rPr>
          <w:lang w:val="en-US"/>
        </w:rPr>
        <w:t> </w:t>
      </w:r>
      <w:r w:rsidRPr="000C79DC">
        <w:t>SL</w:t>
      </w:r>
      <w:r w:rsidRPr="000C79DC">
        <w:rPr>
          <w:lang w:val="en-US"/>
        </w:rPr>
        <w:t> </w:t>
      </w:r>
      <w:r w:rsidRPr="000C79DC">
        <w:t>9 on Pilot Scheme on Private Adjudication of Financial Disputes in Matrimonial and Family Proceedings dated 2 December 2020, the pilot scheme has now been extended to 2024.</w:t>
      </w:r>
    </w:p>
  </w:footnote>
  <w:footnote w:id="17">
    <w:p w14:paraId="19E682CC" w14:textId="77777777" w:rsidR="00A241F5" w:rsidRPr="000C79DC" w:rsidRDefault="00A241F5" w:rsidP="001238F2">
      <w:pPr>
        <w:pStyle w:val="FootnoteText"/>
      </w:pPr>
      <w:r w:rsidRPr="000C79DC">
        <w:rPr>
          <w:rStyle w:val="FootnoteReference"/>
        </w:rPr>
        <w:footnoteRef/>
      </w:r>
      <w:r w:rsidRPr="000C79DC">
        <w:t xml:space="preserve"> </w:t>
      </w:r>
      <w:r w:rsidRPr="000C79DC">
        <w:tab/>
        <w:t>Consultation Paper, at paras 4.37 to 4.49.</w:t>
      </w:r>
    </w:p>
  </w:footnote>
  <w:footnote w:id="18">
    <w:p w14:paraId="3B348A13" w14:textId="77777777" w:rsidR="00A241F5" w:rsidRPr="000C79DC" w:rsidRDefault="00A241F5" w:rsidP="001238F2">
      <w:pPr>
        <w:pStyle w:val="FootnoteText"/>
      </w:pPr>
      <w:r w:rsidRPr="000C79DC">
        <w:rPr>
          <w:rStyle w:val="FootnoteReference"/>
        </w:rPr>
        <w:footnoteRef/>
      </w:r>
      <w:r w:rsidRPr="000C79DC">
        <w:t xml:space="preserve"> </w:t>
      </w:r>
      <w:r w:rsidRPr="000C79DC">
        <w:tab/>
        <w:t>Consultation paper, at paras 4.50 to 4.54.</w:t>
      </w:r>
    </w:p>
  </w:footnote>
  <w:footnote w:id="19">
    <w:p w14:paraId="69A1DD0E" w14:textId="77777777" w:rsidR="00A241F5" w:rsidRPr="000C79DC" w:rsidRDefault="00A241F5" w:rsidP="001238F2">
      <w:pPr>
        <w:pStyle w:val="FootnoteText"/>
        <w:rPr>
          <w:lang w:val="en-US"/>
        </w:rPr>
      </w:pPr>
      <w:r w:rsidRPr="000C79DC">
        <w:rPr>
          <w:rStyle w:val="FootnoteReference"/>
        </w:rPr>
        <w:footnoteRef/>
      </w:r>
      <w:r w:rsidRPr="000C79DC">
        <w:t xml:space="preserve"> </w:t>
      </w:r>
      <w:r w:rsidRPr="000C79DC">
        <w:tab/>
      </w:r>
      <w:r w:rsidRPr="000C79DC">
        <w:rPr>
          <w:lang w:val="en-US"/>
        </w:rPr>
        <w:t>Consultation Paper, at para 4.60.</w:t>
      </w:r>
    </w:p>
  </w:footnote>
  <w:footnote w:id="20">
    <w:p w14:paraId="01AA6058" w14:textId="77777777" w:rsidR="00A241F5" w:rsidRPr="000C79DC" w:rsidRDefault="00A241F5" w:rsidP="001238F2">
      <w:pPr>
        <w:pStyle w:val="FootnoteText"/>
      </w:pPr>
      <w:r w:rsidRPr="000C79DC">
        <w:rPr>
          <w:rStyle w:val="FootnoteReference"/>
        </w:rPr>
        <w:footnoteRef/>
      </w:r>
      <w:r w:rsidRPr="000C79DC">
        <w:t xml:space="preserve"> </w:t>
      </w:r>
      <w:r w:rsidRPr="000C79DC">
        <w:tab/>
        <w:t>Consultation Paper, at paras 4.55 to 4.60.</w:t>
      </w:r>
    </w:p>
  </w:footnote>
  <w:footnote w:id="21">
    <w:p w14:paraId="003EC5EC" w14:textId="66359E39" w:rsidR="00A241F5" w:rsidRPr="001236D6" w:rsidRDefault="00A241F5" w:rsidP="001238F2">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t>For the purposes of the LRC Report on Conditional Fees in 2007, "conditional fees" mean fee arrangements whereby, in the event of success, the lawyer charges his usual fees plus an agreed flat amount or percentage "uplift" on the usual fees.</w:t>
      </w:r>
    </w:p>
  </w:footnote>
  <w:footnote w:id="22">
    <w:p w14:paraId="033B99D3" w14:textId="77777777" w:rsidR="00A241F5" w:rsidRPr="001236D6" w:rsidRDefault="00A241F5" w:rsidP="001238F2">
      <w:pPr>
        <w:pStyle w:val="FootnoteText"/>
      </w:pPr>
      <w:r w:rsidRPr="001236D6">
        <w:rPr>
          <w:rStyle w:val="FootnoteReference"/>
        </w:rPr>
        <w:footnoteRef/>
      </w:r>
      <w:r w:rsidRPr="001236D6">
        <w:t xml:space="preserve"> </w:t>
      </w:r>
      <w:r w:rsidRPr="001236D6">
        <w:tab/>
        <w:t>Consultation Paper, at para 3.30(c).</w:t>
      </w:r>
    </w:p>
  </w:footnote>
  <w:footnote w:id="23">
    <w:p w14:paraId="2088E8C6" w14:textId="77777777" w:rsidR="00A241F5" w:rsidRPr="001236D6" w:rsidRDefault="00A241F5" w:rsidP="001238F2">
      <w:pPr>
        <w:pStyle w:val="FootnoteText"/>
      </w:pPr>
      <w:r w:rsidRPr="001236D6">
        <w:rPr>
          <w:rStyle w:val="FootnoteReference"/>
        </w:rPr>
        <w:footnoteRef/>
      </w:r>
      <w:r w:rsidRPr="001236D6">
        <w:t xml:space="preserve"> </w:t>
      </w:r>
      <w:r w:rsidRPr="001236D6">
        <w:tab/>
      </w:r>
      <w:r w:rsidRPr="001236D6">
        <w:rPr>
          <w:rFonts w:hint="eastAsia"/>
        </w:rPr>
        <w:t xml:space="preserve">See </w:t>
      </w:r>
      <w:r w:rsidRPr="001236D6">
        <w:rPr>
          <w:lang w:val="en-US"/>
        </w:rPr>
        <w:t xml:space="preserve">Consultation Paper, at paras 5.6 </w:t>
      </w:r>
      <w:r w:rsidRPr="001236D6">
        <w:t>to</w:t>
      </w:r>
      <w:r w:rsidRPr="001236D6">
        <w:rPr>
          <w:lang w:val="en-US"/>
        </w:rPr>
        <w:t xml:space="preserve"> 5.13</w:t>
      </w:r>
      <w:r w:rsidRPr="001236D6">
        <w:rPr>
          <w:rFonts w:hint="eastAsia"/>
          <w:lang w:val="en-US"/>
        </w:rPr>
        <w:t>.</w:t>
      </w:r>
    </w:p>
  </w:footnote>
  <w:footnote w:id="24">
    <w:p w14:paraId="3F56B534" w14:textId="77777777" w:rsidR="00A241F5" w:rsidRPr="001236D6" w:rsidRDefault="00A241F5" w:rsidP="001238F2">
      <w:pPr>
        <w:pStyle w:val="FootnoteText"/>
        <w:rPr>
          <w:rFonts w:eastAsia="DengXian"/>
          <w:lang w:eastAsia="zh-CN"/>
        </w:rPr>
      </w:pPr>
      <w:r w:rsidRPr="001236D6">
        <w:rPr>
          <w:rStyle w:val="FootnoteReference"/>
        </w:rPr>
        <w:footnoteRef/>
      </w:r>
      <w:r w:rsidRPr="001236D6">
        <w:t xml:space="preserve"> </w:t>
      </w:r>
      <w:r w:rsidRPr="001236D6">
        <w:rPr>
          <w:rFonts w:eastAsia="DengXian"/>
          <w:lang w:eastAsia="zh-CN"/>
        </w:rPr>
        <w:tab/>
      </w:r>
      <w:r w:rsidRPr="001236D6">
        <w:t>[2016] EWHC 2361 (Comm)</w:t>
      </w:r>
      <w:r w:rsidRPr="001236D6">
        <w:rPr>
          <w:rFonts w:hint="eastAsia"/>
          <w:lang w:val="en-US"/>
        </w:rPr>
        <w:t>.</w:t>
      </w:r>
    </w:p>
  </w:footnote>
  <w:footnote w:id="25">
    <w:p w14:paraId="7C7256A1" w14:textId="32642722" w:rsidR="00A241F5" w:rsidRPr="001236D6" w:rsidRDefault="00A241F5" w:rsidP="001238F2">
      <w:pPr>
        <w:pStyle w:val="FootnoteText"/>
      </w:pPr>
      <w:r w:rsidRPr="001236D6">
        <w:rPr>
          <w:rStyle w:val="FootnoteReference"/>
        </w:rPr>
        <w:footnoteRef/>
      </w:r>
      <w:r w:rsidRPr="001236D6">
        <w:t xml:space="preserve"> </w:t>
      </w:r>
      <w:r w:rsidRPr="001236D6">
        <w:tab/>
        <w:t xml:space="preserve">Conditional Fees Sub-committee of the LRC, </w:t>
      </w:r>
      <w:r w:rsidRPr="001236D6">
        <w:rPr>
          <w:i/>
        </w:rPr>
        <w:t>Consultation Paper on Conditional Fees</w:t>
      </w:r>
      <w:r w:rsidRPr="001236D6">
        <w:t xml:space="preserve"> (2005), at para 7.11.</w:t>
      </w:r>
    </w:p>
  </w:footnote>
  <w:footnote w:id="26">
    <w:p w14:paraId="12F0B6E2" w14:textId="57905118" w:rsidR="00A241F5" w:rsidRPr="000C79DC" w:rsidRDefault="00A241F5">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rPr>
          <w:lang w:eastAsia="zh-HK"/>
        </w:rPr>
        <w:t>An arbitral tribunal, consisting of a sole arbitrator or a panel of arbitrator(s), and includes an umpire, established by the agreement of the parties to finally resolve disputes or differences by arbitration.</w:t>
      </w:r>
    </w:p>
  </w:footnote>
  <w:footnote w:id="27">
    <w:p w14:paraId="497252A0" w14:textId="77777777" w:rsidR="00A241F5" w:rsidRPr="000C79DC" w:rsidRDefault="00A241F5" w:rsidP="001238F2">
      <w:pPr>
        <w:pStyle w:val="FootnoteText"/>
      </w:pPr>
      <w:r w:rsidRPr="000C79DC">
        <w:rPr>
          <w:rStyle w:val="FootnoteReference"/>
        </w:rPr>
        <w:footnoteRef/>
      </w:r>
      <w:r w:rsidRPr="000C79DC">
        <w:t xml:space="preserve"> </w:t>
      </w:r>
      <w:r w:rsidRPr="000C79DC">
        <w:tab/>
        <w:t>[2016] EWHC 2361 (Comm).</w:t>
      </w:r>
    </w:p>
  </w:footnote>
  <w:footnote w:id="28">
    <w:p w14:paraId="3155BA31" w14:textId="77777777" w:rsidR="00A241F5" w:rsidRPr="000C79DC" w:rsidRDefault="00A241F5" w:rsidP="001238F2">
      <w:pPr>
        <w:pStyle w:val="FootnoteText"/>
        <w:rPr>
          <w:lang w:val="en-US"/>
        </w:rPr>
      </w:pPr>
      <w:r w:rsidRPr="000C79DC">
        <w:rPr>
          <w:rStyle w:val="FootnoteReference"/>
        </w:rPr>
        <w:footnoteRef/>
      </w:r>
      <w:r w:rsidRPr="000C79DC">
        <w:t xml:space="preserve"> </w:t>
      </w:r>
      <w:r w:rsidRPr="000C79DC">
        <w:rPr>
          <w:lang w:val="en-US"/>
        </w:rPr>
        <w:tab/>
        <w:t>Same as above, at para 22.</w:t>
      </w:r>
    </w:p>
  </w:footnote>
  <w:footnote w:id="29">
    <w:p w14:paraId="40D4C032" w14:textId="77777777" w:rsidR="00A241F5" w:rsidRPr="000C79DC" w:rsidRDefault="00A241F5" w:rsidP="001238F2">
      <w:pPr>
        <w:pStyle w:val="FootnoteText"/>
        <w:rPr>
          <w:lang w:val="en-US"/>
        </w:rPr>
      </w:pPr>
      <w:r w:rsidRPr="000C79DC">
        <w:rPr>
          <w:rStyle w:val="FootnoteReference"/>
        </w:rPr>
        <w:footnoteRef/>
      </w:r>
      <w:r w:rsidRPr="000C79DC">
        <w:t xml:space="preserve"> </w:t>
      </w:r>
      <w:r w:rsidRPr="000C79DC">
        <w:rPr>
          <w:lang w:val="en-US"/>
        </w:rPr>
        <w:tab/>
        <w:t>Same as above, at para 23.</w:t>
      </w:r>
    </w:p>
  </w:footnote>
  <w:footnote w:id="30">
    <w:p w14:paraId="49BCFF23" w14:textId="49C87909" w:rsidR="00A241F5" w:rsidRPr="000C79DC" w:rsidRDefault="00A241F5">
      <w:pPr>
        <w:pStyle w:val="FootnoteText"/>
      </w:pPr>
      <w:r w:rsidRPr="000C79DC">
        <w:rPr>
          <w:rStyle w:val="FootnoteReference"/>
        </w:rPr>
        <w:footnoteRef/>
      </w:r>
      <w:r w:rsidRPr="000C79DC">
        <w:t xml:space="preserve"> </w:t>
      </w:r>
      <w:r w:rsidRPr="000C79DC">
        <w:tab/>
      </w:r>
      <w:r w:rsidRPr="000C79DC">
        <w:rPr>
          <w:rFonts w:eastAsia="細明體" w:cs="Arial"/>
          <w:bCs/>
          <w:iCs/>
          <w:lang w:eastAsia="zh-CN"/>
        </w:rPr>
        <w:t>A contract of insurance that provides reimbursement to a client or a lawyer for some or all of the legal fees, adverse costs or disbursements incurred in respect of a matter.</w:t>
      </w:r>
    </w:p>
  </w:footnote>
  <w:footnote w:id="31">
    <w:p w14:paraId="39A8394E" w14:textId="2C514B97" w:rsidR="00A241F5" w:rsidRPr="000C79DC" w:rsidRDefault="00A241F5">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rPr>
          <w:lang w:eastAsia="zh-HK"/>
        </w:rPr>
        <w:t>A provider of Third Party Funding.</w:t>
      </w:r>
    </w:p>
  </w:footnote>
  <w:footnote w:id="32">
    <w:p w14:paraId="2C0735AC" w14:textId="77777777" w:rsidR="00A241F5" w:rsidRPr="000C79DC" w:rsidRDefault="00A241F5" w:rsidP="001238F2">
      <w:pPr>
        <w:pStyle w:val="FootnoteText"/>
        <w:rPr>
          <w:lang w:val="en-US"/>
        </w:rPr>
      </w:pPr>
      <w:r w:rsidRPr="000C79DC">
        <w:rPr>
          <w:rStyle w:val="FootnoteReference"/>
        </w:rPr>
        <w:footnoteRef/>
      </w:r>
      <w:r w:rsidRPr="000C79DC">
        <w:t xml:space="preserve"> </w:t>
      </w:r>
      <w:r w:rsidRPr="000C79DC">
        <w:rPr>
          <w:lang w:val="en-US"/>
        </w:rPr>
        <w:tab/>
        <w:t xml:space="preserve">See Consultation Paper, at paras 5.14 </w:t>
      </w:r>
      <w:r w:rsidRPr="000C79DC">
        <w:t>to</w:t>
      </w:r>
      <w:r w:rsidRPr="000C79DC">
        <w:rPr>
          <w:lang w:val="en-US"/>
        </w:rPr>
        <w:t xml:space="preserve"> 5.17.</w:t>
      </w:r>
    </w:p>
  </w:footnote>
  <w:footnote w:id="33">
    <w:p w14:paraId="2BA2C47A" w14:textId="7203020B" w:rsidR="00A241F5" w:rsidRPr="000C79DC" w:rsidRDefault="00A241F5" w:rsidP="001238F2">
      <w:pPr>
        <w:pStyle w:val="FootnoteText"/>
      </w:pPr>
      <w:r w:rsidRPr="000C79DC">
        <w:rPr>
          <w:rStyle w:val="FootnoteReference"/>
        </w:rPr>
        <w:footnoteRef/>
      </w:r>
      <w:r w:rsidRPr="000C79DC">
        <w:t xml:space="preserve"> </w:t>
      </w:r>
      <w:r w:rsidRPr="000C79DC">
        <w:tab/>
        <w:t xml:space="preserve">LRC, </w:t>
      </w:r>
      <w:r w:rsidRPr="000C79DC">
        <w:rPr>
          <w:i/>
        </w:rPr>
        <w:t>Report on Conditional Fees</w:t>
      </w:r>
      <w:r w:rsidRPr="000C79DC">
        <w:t xml:space="preserve"> (2007)</w:t>
      </w:r>
      <w:r w:rsidRPr="000C79DC">
        <w:rPr>
          <w:lang w:eastAsia="zh-CN"/>
        </w:rPr>
        <w:t>, at para 6.85.</w:t>
      </w:r>
    </w:p>
  </w:footnote>
  <w:footnote w:id="34">
    <w:p w14:paraId="1E58509E" w14:textId="77777777" w:rsidR="00A241F5" w:rsidRPr="000C79DC" w:rsidRDefault="00A241F5" w:rsidP="001238F2">
      <w:pPr>
        <w:pStyle w:val="FootnoteText"/>
        <w:rPr>
          <w:lang w:val="en-US"/>
        </w:rPr>
      </w:pPr>
      <w:r w:rsidRPr="000C79DC">
        <w:rPr>
          <w:rStyle w:val="FootnoteReference"/>
        </w:rPr>
        <w:footnoteRef/>
      </w:r>
      <w:r w:rsidRPr="000C79DC">
        <w:t xml:space="preserve"> </w:t>
      </w:r>
      <w:r w:rsidRPr="000C79DC">
        <w:rPr>
          <w:lang w:val="en-US"/>
        </w:rPr>
        <w:tab/>
      </w:r>
      <w:r w:rsidRPr="000C79DC">
        <w:rPr>
          <w:rFonts w:eastAsia="DengXian" w:cs="Arial"/>
          <w:lang w:val="en-US" w:eastAsia="zh-CN"/>
        </w:rPr>
        <w:t xml:space="preserve">See </w:t>
      </w:r>
      <w:r w:rsidRPr="000C79DC">
        <w:t xml:space="preserve">Consultation Paper, at </w:t>
      </w:r>
      <w:r w:rsidRPr="000C79DC">
        <w:rPr>
          <w:rFonts w:eastAsia="DengXian" w:cs="Arial"/>
          <w:lang w:val="en-US" w:eastAsia="zh-CN"/>
        </w:rPr>
        <w:t>p</w:t>
      </w:r>
      <w:r w:rsidRPr="000C79DC">
        <w:rPr>
          <w:rFonts w:cs="Arial"/>
          <w:lang w:val="en-US"/>
        </w:rPr>
        <w:t xml:space="preserve">aras 5.18 </w:t>
      </w:r>
      <w:r w:rsidRPr="000C79DC">
        <w:t xml:space="preserve">to </w:t>
      </w:r>
      <w:r w:rsidRPr="000C79DC">
        <w:rPr>
          <w:rFonts w:cs="Arial"/>
          <w:lang w:val="en-US"/>
        </w:rPr>
        <w:t>5.</w:t>
      </w:r>
      <w:r w:rsidRPr="000C79DC">
        <w:rPr>
          <w:lang w:val="en-US"/>
        </w:rPr>
        <w:t>24.</w:t>
      </w:r>
    </w:p>
  </w:footnote>
  <w:footnote w:id="35">
    <w:p w14:paraId="3D197E23" w14:textId="7F7BB5DB" w:rsidR="00A241F5" w:rsidRPr="000C79DC" w:rsidRDefault="00A241F5" w:rsidP="001238F2">
      <w:pPr>
        <w:pStyle w:val="FootnoteText"/>
        <w:rPr>
          <w:rFonts w:cs="Arial"/>
          <w:lang w:val="en-US"/>
        </w:rPr>
      </w:pPr>
      <w:r w:rsidRPr="000C79DC">
        <w:rPr>
          <w:rStyle w:val="FootnoteReference"/>
          <w:rFonts w:cs="Arial"/>
        </w:rPr>
        <w:footnoteRef/>
      </w:r>
      <w:r w:rsidRPr="000C79DC">
        <w:rPr>
          <w:rFonts w:cs="Arial"/>
        </w:rPr>
        <w:tab/>
        <w:t>17 of 18 Respondents who expressed a view.</w:t>
      </w:r>
    </w:p>
  </w:footnote>
  <w:footnote w:id="36">
    <w:p w14:paraId="1608DC29" w14:textId="4D0E2C48" w:rsidR="00A241F5" w:rsidRPr="000C79DC" w:rsidRDefault="00A241F5" w:rsidP="001238F2">
      <w:pPr>
        <w:pStyle w:val="FootnoteText"/>
      </w:pPr>
      <w:r w:rsidRPr="000C79DC">
        <w:rPr>
          <w:rStyle w:val="FootnoteReference"/>
        </w:rPr>
        <w:footnoteRef/>
      </w:r>
      <w:r w:rsidRPr="000C79DC">
        <w:t xml:space="preserve"> </w:t>
      </w:r>
      <w:r w:rsidRPr="000C79DC">
        <w:tab/>
        <w:t>See Consultation Paper, at paras 4.34 to 4.75,</w:t>
      </w:r>
      <w:r w:rsidRPr="000C79DC">
        <w:rPr>
          <w:i/>
        </w:rPr>
        <w:t xml:space="preserve"> </w:t>
      </w:r>
      <w:r w:rsidRPr="000C79DC">
        <w:t>and Chapter 2 of this Report.</w:t>
      </w:r>
    </w:p>
  </w:footnote>
  <w:footnote w:id="37">
    <w:p w14:paraId="6CF2C365" w14:textId="77777777" w:rsidR="00A241F5" w:rsidRPr="000C79DC" w:rsidRDefault="00A241F5" w:rsidP="001238F2">
      <w:pPr>
        <w:pStyle w:val="FootnoteText"/>
      </w:pPr>
      <w:r w:rsidRPr="000C79DC">
        <w:rPr>
          <w:rStyle w:val="FootnoteReference"/>
        </w:rPr>
        <w:footnoteRef/>
      </w:r>
      <w:r w:rsidRPr="000C79DC">
        <w:t xml:space="preserve"> </w:t>
      </w:r>
      <w:r w:rsidRPr="000C79DC">
        <w:tab/>
        <w:t>See Consultation Paper, at para 4.74.</w:t>
      </w:r>
    </w:p>
  </w:footnote>
  <w:footnote w:id="38">
    <w:p w14:paraId="383EE3DE" w14:textId="6C9F7FE2" w:rsidR="00A241F5" w:rsidRPr="000C79DC" w:rsidRDefault="00A241F5" w:rsidP="001238F2">
      <w:pPr>
        <w:pStyle w:val="FootnoteText"/>
      </w:pPr>
      <w:r w:rsidRPr="000C79DC">
        <w:rPr>
          <w:rStyle w:val="FootnoteReference"/>
        </w:rPr>
        <w:footnoteRef/>
      </w:r>
      <w:r w:rsidRPr="000C79DC">
        <w:t xml:space="preserve"> </w:t>
      </w:r>
      <w:r w:rsidRPr="000C79DC">
        <w:tab/>
        <w:t>See the discussion of such safeguards in Chapter 14 of this Report.</w:t>
      </w:r>
    </w:p>
  </w:footnote>
  <w:footnote w:id="39">
    <w:p w14:paraId="5FB87DF5" w14:textId="77777777" w:rsidR="00A241F5" w:rsidRPr="000C79DC" w:rsidRDefault="00A241F5" w:rsidP="001238F2">
      <w:pPr>
        <w:pStyle w:val="FootnoteText"/>
      </w:pPr>
      <w:r w:rsidRPr="000C79DC">
        <w:rPr>
          <w:rStyle w:val="FootnoteReference"/>
        </w:rPr>
        <w:footnoteRef/>
      </w:r>
      <w:r w:rsidRPr="000C79DC">
        <w:t xml:space="preserve"> </w:t>
      </w:r>
      <w:r w:rsidRPr="000C79DC">
        <w:tab/>
      </w:r>
      <w:r w:rsidRPr="000C79DC">
        <w:rPr>
          <w:rFonts w:hint="eastAsia"/>
        </w:rPr>
        <w:t xml:space="preserve">See </w:t>
      </w:r>
      <w:r w:rsidRPr="000C79DC">
        <w:rPr>
          <w:lang w:val="en-US"/>
        </w:rPr>
        <w:t>Consultation Paper, at para 5.25</w:t>
      </w:r>
      <w:r w:rsidRPr="000C79DC">
        <w:rPr>
          <w:rFonts w:hint="eastAsia"/>
          <w:lang w:val="en-US"/>
        </w:rPr>
        <w:t>.</w:t>
      </w:r>
    </w:p>
  </w:footnote>
  <w:footnote w:id="40">
    <w:p w14:paraId="7751F7B7" w14:textId="0AB24BA3" w:rsidR="00A241F5" w:rsidRPr="000C79DC" w:rsidRDefault="00A241F5">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rPr>
          <w:lang w:eastAsia="zh-HK"/>
        </w:rPr>
        <w:t>The damages-based fee regime proposed in the 2019 DBA Reform Project in England and Wales, whereby costs recovered from the opponent are outside of, and additional to, the DBA Payment.</w:t>
      </w:r>
    </w:p>
  </w:footnote>
  <w:footnote w:id="41">
    <w:p w14:paraId="2CD49957" w14:textId="77777777" w:rsidR="00A241F5" w:rsidRPr="000C79DC" w:rsidRDefault="00A241F5" w:rsidP="00BC3059">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t>The damages-based fee regime which operates in Ontario, Canada, whereby:</w:t>
      </w:r>
    </w:p>
    <w:p w14:paraId="730B5D3E" w14:textId="77777777" w:rsidR="00A241F5" w:rsidRPr="000C79DC" w:rsidRDefault="00A241F5" w:rsidP="00BC3059">
      <w:pPr>
        <w:pStyle w:val="FootnoteText"/>
        <w:ind w:left="1418"/>
        <w:rPr>
          <w:rFonts w:eastAsia="DengXian"/>
          <w:lang w:eastAsia="zh-CN"/>
        </w:rPr>
      </w:pPr>
      <w:r w:rsidRPr="000C79DC">
        <w:rPr>
          <w:rFonts w:eastAsia="DengXian"/>
          <w:lang w:eastAsia="zh-CN"/>
        </w:rPr>
        <w:t>(a)</w:t>
      </w:r>
      <w:r w:rsidRPr="000C79DC">
        <w:rPr>
          <w:rFonts w:eastAsia="DengXian"/>
          <w:lang w:eastAsia="zh-CN"/>
        </w:rPr>
        <w:tab/>
        <w:t>the recoverable costs of the claimants will be assessed in the conventional way, and</w:t>
      </w:r>
    </w:p>
    <w:p w14:paraId="30B51541" w14:textId="16050E09" w:rsidR="00A241F5" w:rsidRPr="000C79DC" w:rsidRDefault="00A241F5" w:rsidP="00BC3059">
      <w:pPr>
        <w:pStyle w:val="FootnoteText"/>
        <w:ind w:left="1418"/>
        <w:rPr>
          <w:rFonts w:eastAsia="DengXian"/>
          <w:lang w:eastAsia="zh-CN"/>
        </w:rPr>
      </w:pPr>
      <w:r w:rsidRPr="000C79DC">
        <w:rPr>
          <w:rFonts w:eastAsia="DengXian"/>
          <w:lang w:eastAsia="zh-CN"/>
        </w:rPr>
        <w:t>(b)</w:t>
      </w:r>
      <w:r w:rsidRPr="000C79DC">
        <w:rPr>
          <w:rFonts w:eastAsia="DengXian"/>
          <w:lang w:eastAsia="zh-CN"/>
        </w:rPr>
        <w:tab/>
        <w:t>if the DBA Payment agreed between the lawyer and the claimant is higher than the figure assessed in the conventional way, the claimant must pay the shortfall out of the damages awarded.</w:t>
      </w:r>
    </w:p>
  </w:footnote>
  <w:footnote w:id="42">
    <w:p w14:paraId="43C516B1" w14:textId="77777777" w:rsidR="00A241F5" w:rsidRPr="000C79DC" w:rsidRDefault="00A241F5" w:rsidP="001238F2">
      <w:pPr>
        <w:pStyle w:val="FootnoteText"/>
      </w:pPr>
      <w:r w:rsidRPr="000C79DC">
        <w:rPr>
          <w:rStyle w:val="FootnoteReference"/>
        </w:rPr>
        <w:footnoteRef/>
      </w:r>
      <w:r w:rsidRPr="000C79DC">
        <w:t xml:space="preserve"> </w:t>
      </w:r>
      <w:r w:rsidRPr="000C79DC">
        <w:tab/>
        <w:t>[2016] EWHC 2361 (Comm).</w:t>
      </w:r>
    </w:p>
  </w:footnote>
  <w:footnote w:id="43">
    <w:p w14:paraId="29CBA4E7" w14:textId="77777777" w:rsidR="00A241F5" w:rsidRPr="000C79DC" w:rsidRDefault="00A241F5" w:rsidP="009247ED">
      <w:pPr>
        <w:pStyle w:val="FootnoteText"/>
      </w:pPr>
      <w:r w:rsidRPr="000C79DC">
        <w:rPr>
          <w:rStyle w:val="FootnoteReference"/>
        </w:rPr>
        <w:footnoteRef/>
      </w:r>
      <w:r w:rsidRPr="000C79DC">
        <w:t xml:space="preserve"> </w:t>
      </w:r>
      <w:r w:rsidRPr="000C79DC">
        <w:tab/>
      </w:r>
      <w:r w:rsidRPr="000C79DC">
        <w:rPr>
          <w:rFonts w:hint="eastAsia"/>
        </w:rPr>
        <w:t xml:space="preserve">See </w:t>
      </w:r>
      <w:r w:rsidRPr="000C79DC">
        <w:rPr>
          <w:lang w:val="en-US"/>
        </w:rPr>
        <w:t xml:space="preserve">Consultation Paper, at paras 5.26 </w:t>
      </w:r>
      <w:r w:rsidRPr="000C79DC">
        <w:t>to</w:t>
      </w:r>
      <w:r w:rsidRPr="000C79DC">
        <w:rPr>
          <w:lang w:val="en-US"/>
        </w:rPr>
        <w:t xml:space="preserve"> 5.30</w:t>
      </w:r>
      <w:r w:rsidRPr="000C79DC">
        <w:rPr>
          <w:rFonts w:hint="eastAsia"/>
          <w:lang w:val="en-US"/>
        </w:rPr>
        <w:t>.</w:t>
      </w:r>
    </w:p>
  </w:footnote>
  <w:footnote w:id="44">
    <w:p w14:paraId="0481F4AF" w14:textId="77777777" w:rsidR="00A241F5" w:rsidRPr="000C79DC" w:rsidRDefault="00A241F5" w:rsidP="009247ED">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t>Consultation Paper, at para 5.27.</w:t>
      </w:r>
    </w:p>
  </w:footnote>
  <w:footnote w:id="45">
    <w:p w14:paraId="45A49BDF" w14:textId="77777777" w:rsidR="00A241F5" w:rsidRPr="000C79DC" w:rsidRDefault="00A241F5" w:rsidP="009247ED">
      <w:pPr>
        <w:pStyle w:val="FootnoteText"/>
      </w:pPr>
      <w:r w:rsidRPr="000C79DC">
        <w:rPr>
          <w:rStyle w:val="FootnoteReference"/>
        </w:rPr>
        <w:footnoteRef/>
      </w:r>
      <w:r w:rsidRPr="000C79DC">
        <w:t xml:space="preserve"> </w:t>
      </w:r>
      <w:r w:rsidRPr="000C79DC">
        <w:tab/>
      </w:r>
      <w:r w:rsidRPr="000C79DC">
        <w:rPr>
          <w:rFonts w:hint="eastAsia"/>
        </w:rPr>
        <w:t xml:space="preserve">See </w:t>
      </w:r>
      <w:r w:rsidRPr="000C79DC">
        <w:rPr>
          <w:lang w:val="en-US"/>
        </w:rPr>
        <w:t>Consultation Paper, at paras 5.31 to 5.35</w:t>
      </w:r>
      <w:r w:rsidRPr="000C79DC">
        <w:rPr>
          <w:rFonts w:hint="eastAsia"/>
          <w:lang w:val="en-US"/>
        </w:rPr>
        <w:t>.</w:t>
      </w:r>
    </w:p>
  </w:footnote>
  <w:footnote w:id="46">
    <w:p w14:paraId="015D218F" w14:textId="29FA460C" w:rsidR="00A241F5" w:rsidRPr="000C79DC" w:rsidRDefault="00A241F5">
      <w:pPr>
        <w:pStyle w:val="FootnoteText"/>
      </w:pPr>
      <w:r w:rsidRPr="000C79DC">
        <w:rPr>
          <w:rStyle w:val="FootnoteReference"/>
        </w:rPr>
        <w:footnoteRef/>
      </w:r>
      <w:r w:rsidRPr="000C79DC">
        <w:t xml:space="preserve"> </w:t>
      </w:r>
      <w:r w:rsidRPr="000C79DC">
        <w:tab/>
        <w:t>An independent review of the Damages-Based Agreements Regulations 2013 in England and Wales by Professor Rachael Mulheron and Mr Nicholas Bacon, QC during 2019 to 2020.</w:t>
      </w:r>
    </w:p>
  </w:footnote>
  <w:footnote w:id="47">
    <w:p w14:paraId="4D4425F2" w14:textId="77777777" w:rsidR="00A241F5" w:rsidRPr="000C79DC" w:rsidRDefault="00A241F5" w:rsidP="009247ED">
      <w:pPr>
        <w:pStyle w:val="FootnoteText"/>
      </w:pPr>
      <w:r w:rsidRPr="000C79DC">
        <w:rPr>
          <w:rStyle w:val="FootnoteReference"/>
        </w:rPr>
        <w:footnoteRef/>
      </w:r>
      <w:r w:rsidRPr="000C79DC">
        <w:t xml:space="preserve"> </w:t>
      </w:r>
      <w:r w:rsidRPr="000C79DC">
        <w:tab/>
      </w:r>
      <w:r w:rsidRPr="000C79DC">
        <w:rPr>
          <w:rFonts w:hint="eastAsia"/>
        </w:rPr>
        <w:t xml:space="preserve">See </w:t>
      </w:r>
      <w:r w:rsidRPr="000C79DC">
        <w:rPr>
          <w:lang w:val="en-US"/>
        </w:rPr>
        <w:t>Consultation Paper, at paras 5.36 to 5.43</w:t>
      </w:r>
      <w:r w:rsidRPr="000C79DC">
        <w:rPr>
          <w:rFonts w:hint="eastAsia"/>
          <w:lang w:val="en-US"/>
        </w:rPr>
        <w:t>.</w:t>
      </w:r>
    </w:p>
  </w:footnote>
  <w:footnote w:id="48">
    <w:p w14:paraId="4A70828A" w14:textId="77777777" w:rsidR="00A241F5" w:rsidRPr="000C79DC" w:rsidRDefault="00A241F5" w:rsidP="009247ED">
      <w:pPr>
        <w:pStyle w:val="FootnoteText"/>
      </w:pPr>
      <w:r w:rsidRPr="000C79DC">
        <w:rPr>
          <w:rStyle w:val="FootnoteReference"/>
        </w:rPr>
        <w:footnoteRef/>
      </w:r>
      <w:r w:rsidRPr="000C79DC">
        <w:t xml:space="preserve"> </w:t>
      </w:r>
      <w:r w:rsidRPr="000C79DC">
        <w:tab/>
        <w:t>Unless grounds exist for termination at law.</w:t>
      </w:r>
    </w:p>
  </w:footnote>
  <w:footnote w:id="49">
    <w:p w14:paraId="56D6CEB1" w14:textId="77777777" w:rsidR="00A241F5" w:rsidRPr="000C79DC" w:rsidRDefault="00A241F5" w:rsidP="001053EA">
      <w:pPr>
        <w:pStyle w:val="FootnoteText"/>
      </w:pPr>
      <w:r w:rsidRPr="000C79DC">
        <w:rPr>
          <w:rStyle w:val="FootnoteReference"/>
        </w:rPr>
        <w:footnoteRef/>
      </w:r>
      <w:r w:rsidRPr="000C79DC">
        <w:t xml:space="preserve"> </w:t>
      </w:r>
      <w:r w:rsidRPr="000C79DC">
        <w:tab/>
      </w:r>
      <w:r w:rsidRPr="000C79DC">
        <w:rPr>
          <w:rFonts w:hint="eastAsia"/>
        </w:rPr>
        <w:t xml:space="preserve">See </w:t>
      </w:r>
      <w:r w:rsidRPr="000C79DC">
        <w:rPr>
          <w:lang w:val="en-US"/>
        </w:rPr>
        <w:t xml:space="preserve">Consultation Paper, at paras 5.44 </w:t>
      </w:r>
      <w:r w:rsidRPr="000C79DC">
        <w:t>to</w:t>
      </w:r>
      <w:r w:rsidRPr="000C79DC">
        <w:rPr>
          <w:lang w:val="en-US"/>
        </w:rPr>
        <w:t xml:space="preserve"> 5.48</w:t>
      </w:r>
      <w:r w:rsidRPr="000C79DC">
        <w:rPr>
          <w:rFonts w:hint="eastAsia"/>
          <w:lang w:val="en-US"/>
        </w:rPr>
        <w:t>.</w:t>
      </w:r>
    </w:p>
  </w:footnote>
  <w:footnote w:id="50">
    <w:p w14:paraId="4A93EFC3" w14:textId="77777777" w:rsidR="00A241F5" w:rsidRPr="000C79DC" w:rsidRDefault="00A241F5" w:rsidP="001053EA">
      <w:pPr>
        <w:pStyle w:val="FootnoteText"/>
      </w:pPr>
      <w:r w:rsidRPr="000C79DC">
        <w:rPr>
          <w:rStyle w:val="FootnoteReference"/>
        </w:rPr>
        <w:footnoteRef/>
      </w:r>
      <w:r w:rsidRPr="000C79DC">
        <w:t xml:space="preserve"> </w:t>
      </w:r>
      <w:r w:rsidRPr="000C79DC">
        <w:rPr>
          <w:lang w:val="en-US"/>
        </w:rPr>
        <w:tab/>
        <w:t xml:space="preserve">See </w:t>
      </w:r>
      <w:r w:rsidRPr="000C79DC">
        <w:t>Consultation Paper, at paras 5.49 to 5.55.</w:t>
      </w:r>
    </w:p>
  </w:footnote>
  <w:footnote w:id="51">
    <w:p w14:paraId="6DC71A8C" w14:textId="19EEF722" w:rsidR="00A241F5" w:rsidRPr="000C79DC" w:rsidRDefault="00A241F5" w:rsidP="002C6C3F">
      <w:pPr>
        <w:pStyle w:val="FootnoteText"/>
      </w:pPr>
      <w:r w:rsidRPr="000C79DC">
        <w:rPr>
          <w:rStyle w:val="FootnoteReference"/>
        </w:rPr>
        <w:footnoteRef/>
      </w:r>
      <w:r w:rsidRPr="000C79DC">
        <w:t xml:space="preserve"> </w:t>
      </w:r>
      <w:r w:rsidRPr="000C79DC">
        <w:tab/>
        <w:t xml:space="preserve">In the event that the client obtains a Financial Benefit in the matter, the Lawyer should repay the client the recoverable portion of the fees that were already paid as work in progress by the client to the Lawyer as the case proceeds, while the irrecoverable portion of such fees should be set off against the DBA Payment, so as to avoid double recovery. </w:t>
      </w:r>
      <w:r w:rsidRPr="000C79DC">
        <w:rPr>
          <w:lang w:eastAsia="zh-HK"/>
        </w:rPr>
        <w:t xml:space="preserve"> </w:t>
      </w:r>
    </w:p>
  </w:footnote>
  <w:footnote w:id="52">
    <w:p w14:paraId="2861EFDF" w14:textId="297B1AA4" w:rsidR="00A241F5" w:rsidRPr="000C79DC" w:rsidRDefault="00A241F5" w:rsidP="00F9375C">
      <w:pPr>
        <w:tabs>
          <w:tab w:val="clear" w:pos="1418"/>
        </w:tabs>
        <w:snapToGrid/>
        <w:contextualSpacing/>
        <w:rPr>
          <w:sz w:val="18"/>
          <w:szCs w:val="18"/>
          <w:lang w:eastAsia="zh-HK"/>
        </w:rPr>
      </w:pPr>
      <w:r w:rsidRPr="000C79DC">
        <w:rPr>
          <w:rStyle w:val="FootnoteReference"/>
        </w:rPr>
        <w:footnoteRef/>
      </w:r>
      <w:r w:rsidRPr="000C79DC">
        <w:rPr>
          <w:sz w:val="18"/>
          <w:szCs w:val="18"/>
        </w:rPr>
        <w:t xml:space="preserve"> </w:t>
      </w:r>
      <w:r w:rsidRPr="000C79DC">
        <w:rPr>
          <w:rFonts w:eastAsia="DengXian"/>
          <w:sz w:val="18"/>
          <w:szCs w:val="18"/>
          <w:lang w:eastAsia="zh-CN"/>
        </w:rPr>
        <w:tab/>
      </w:r>
      <w:r w:rsidRPr="000C79DC">
        <w:rPr>
          <w:sz w:val="18"/>
          <w:szCs w:val="18"/>
          <w:lang w:eastAsia="zh-HK"/>
        </w:rPr>
        <w:t xml:space="preserve">The provision of funding for an Arbitration within the meaning of s 98G of the Arbitration </w:t>
      </w:r>
      <w:r w:rsidRPr="000C79DC">
        <w:rPr>
          <w:sz w:val="18"/>
          <w:szCs w:val="18"/>
          <w:lang w:eastAsia="zh-HK"/>
        </w:rPr>
        <w:tab/>
        <w:t xml:space="preserve">Ordinance, ie: </w:t>
      </w:r>
    </w:p>
    <w:p w14:paraId="503C044B" w14:textId="77777777" w:rsidR="00A241F5" w:rsidRPr="000C79DC" w:rsidRDefault="00A241F5" w:rsidP="001053EA">
      <w:pPr>
        <w:snapToGrid/>
        <w:ind w:leftChars="295" w:left="708"/>
        <w:contextualSpacing/>
        <w:rPr>
          <w:sz w:val="18"/>
          <w:szCs w:val="18"/>
          <w:lang w:eastAsia="zh-HK"/>
        </w:rPr>
      </w:pPr>
      <w:r w:rsidRPr="000C79DC">
        <w:rPr>
          <w:sz w:val="18"/>
          <w:szCs w:val="18"/>
          <w:lang w:eastAsia="zh-HK"/>
        </w:rPr>
        <w:t xml:space="preserve">(a)  </w:t>
      </w:r>
      <w:r w:rsidRPr="000C79DC">
        <w:rPr>
          <w:sz w:val="18"/>
          <w:szCs w:val="18"/>
          <w:lang w:eastAsia="zh-HK"/>
        </w:rPr>
        <w:tab/>
        <w:t>under a funding agreement;</w:t>
      </w:r>
    </w:p>
    <w:p w14:paraId="297D999F" w14:textId="77777777" w:rsidR="00A241F5" w:rsidRPr="000C79DC" w:rsidRDefault="00A241F5" w:rsidP="001053EA">
      <w:pPr>
        <w:snapToGrid/>
        <w:ind w:leftChars="295" w:left="708"/>
        <w:contextualSpacing/>
        <w:rPr>
          <w:sz w:val="18"/>
          <w:szCs w:val="18"/>
          <w:lang w:eastAsia="zh-HK"/>
        </w:rPr>
      </w:pPr>
      <w:r w:rsidRPr="000C79DC">
        <w:rPr>
          <w:sz w:val="18"/>
          <w:szCs w:val="18"/>
          <w:lang w:eastAsia="zh-HK"/>
        </w:rPr>
        <w:t xml:space="preserve">(b)  </w:t>
      </w:r>
      <w:r w:rsidRPr="000C79DC">
        <w:rPr>
          <w:sz w:val="18"/>
          <w:szCs w:val="18"/>
          <w:lang w:eastAsia="zh-HK"/>
        </w:rPr>
        <w:tab/>
        <w:t>to a funded party;</w:t>
      </w:r>
    </w:p>
    <w:p w14:paraId="527B4393" w14:textId="77777777" w:rsidR="00A241F5" w:rsidRPr="000C79DC" w:rsidRDefault="00A241F5" w:rsidP="001053EA">
      <w:pPr>
        <w:snapToGrid/>
        <w:ind w:leftChars="295" w:left="708"/>
        <w:contextualSpacing/>
        <w:rPr>
          <w:sz w:val="18"/>
          <w:szCs w:val="18"/>
          <w:lang w:eastAsia="zh-HK"/>
        </w:rPr>
      </w:pPr>
      <w:r w:rsidRPr="000C79DC">
        <w:rPr>
          <w:sz w:val="18"/>
          <w:szCs w:val="18"/>
          <w:lang w:eastAsia="zh-HK"/>
        </w:rPr>
        <w:t xml:space="preserve">(c)  </w:t>
      </w:r>
      <w:r w:rsidRPr="000C79DC">
        <w:rPr>
          <w:sz w:val="18"/>
          <w:szCs w:val="18"/>
          <w:lang w:eastAsia="zh-HK"/>
        </w:rPr>
        <w:tab/>
        <w:t>by a Third Party Funder; and</w:t>
      </w:r>
    </w:p>
    <w:p w14:paraId="5DDC3DEF" w14:textId="77777777" w:rsidR="00A241F5" w:rsidRPr="000C79DC" w:rsidRDefault="00A241F5" w:rsidP="001053EA">
      <w:pPr>
        <w:pStyle w:val="FootnoteText"/>
        <w:snapToGrid/>
        <w:ind w:leftChars="295" w:left="1428"/>
        <w:contextualSpacing/>
        <w:rPr>
          <w:rFonts w:eastAsia="DengXian"/>
          <w:lang w:eastAsia="zh-CN"/>
        </w:rPr>
      </w:pPr>
      <w:r w:rsidRPr="000C79DC">
        <w:rPr>
          <w:lang w:eastAsia="zh-HK"/>
        </w:rPr>
        <w:t xml:space="preserve">(d) </w:t>
      </w:r>
      <w:r w:rsidRPr="000C79DC">
        <w:rPr>
          <w:lang w:eastAsia="zh-HK"/>
        </w:rPr>
        <w:tab/>
        <w:t>in return for the Third Party Funder receiving a financial benefit only if the Arbitration is successful within the meaning of the funding agreement in circumstances where the Third Party Funder has no other interest in the Arbitration.</w:t>
      </w:r>
    </w:p>
  </w:footnote>
  <w:footnote w:id="53">
    <w:p w14:paraId="6540EA5D" w14:textId="77777777" w:rsidR="00A241F5" w:rsidRPr="000C79DC" w:rsidRDefault="00A241F5" w:rsidP="001053EA">
      <w:pPr>
        <w:pStyle w:val="FootnoteText"/>
      </w:pPr>
      <w:r w:rsidRPr="000C79DC">
        <w:rPr>
          <w:rStyle w:val="FootnoteReference"/>
        </w:rPr>
        <w:footnoteRef/>
      </w:r>
      <w:r w:rsidRPr="000C79DC">
        <w:t xml:space="preserve"> </w:t>
      </w:r>
      <w:r w:rsidRPr="000C79DC">
        <w:tab/>
      </w:r>
      <w:r w:rsidRPr="000C79DC">
        <w:rPr>
          <w:rFonts w:hint="eastAsia"/>
        </w:rPr>
        <w:t xml:space="preserve">See </w:t>
      </w:r>
      <w:r w:rsidRPr="000C79DC">
        <w:rPr>
          <w:lang w:val="en-US"/>
        </w:rPr>
        <w:t>Consultation Paper, at para 5.49</w:t>
      </w:r>
      <w:r w:rsidRPr="000C79DC">
        <w:rPr>
          <w:rFonts w:hint="eastAsia"/>
          <w:lang w:val="en-US"/>
        </w:rPr>
        <w:t>.</w:t>
      </w:r>
    </w:p>
    <w:p w14:paraId="066BEB3F" w14:textId="77777777" w:rsidR="00A241F5" w:rsidRPr="000C79DC" w:rsidRDefault="00A241F5" w:rsidP="001053EA">
      <w:pPr>
        <w:pStyle w:val="FootnoteText"/>
      </w:pPr>
    </w:p>
  </w:footnote>
  <w:footnote w:id="54">
    <w:p w14:paraId="752C9438" w14:textId="4D05CD46" w:rsidR="00A241F5" w:rsidRPr="000C79DC" w:rsidRDefault="00A241F5" w:rsidP="001053EA">
      <w:pPr>
        <w:pStyle w:val="FootnoteText"/>
      </w:pPr>
      <w:r w:rsidRPr="000C79DC">
        <w:rPr>
          <w:rStyle w:val="FootnoteReference"/>
        </w:rPr>
        <w:footnoteRef/>
      </w:r>
      <w:r w:rsidRPr="000C79DC">
        <w:t xml:space="preserve"> </w:t>
      </w:r>
      <w:r w:rsidRPr="000C79DC">
        <w:tab/>
        <w:t xml:space="preserve">In our view, there may be limited, exceptional circumstances in which it is justified for a Tribunal to order a losing respondent to bear some of its opponent's costs under an ORFS for Arbitration or Legal Expense Insurance premium.  See discussion in Chapters 3 and 6. </w:t>
      </w:r>
    </w:p>
  </w:footnote>
  <w:footnote w:id="55">
    <w:p w14:paraId="4A3F1B5C" w14:textId="77777777" w:rsidR="00A241F5" w:rsidRPr="000C79DC" w:rsidRDefault="00A241F5" w:rsidP="001053EA">
      <w:pPr>
        <w:pStyle w:val="FootnoteText"/>
      </w:pPr>
      <w:r w:rsidRPr="000C79DC">
        <w:rPr>
          <w:rStyle w:val="FootnoteReference"/>
        </w:rPr>
        <w:footnoteRef/>
      </w:r>
      <w:r w:rsidRPr="000C79DC">
        <w:t xml:space="preserve"> </w:t>
      </w:r>
      <w:r w:rsidRPr="000C79DC">
        <w:tab/>
        <w:t>See Consultation Paper, at para 5.50.</w:t>
      </w:r>
    </w:p>
  </w:footnote>
  <w:footnote w:id="56">
    <w:p w14:paraId="72096B5D" w14:textId="77777777" w:rsidR="00A241F5" w:rsidRPr="000C79DC" w:rsidRDefault="00A241F5" w:rsidP="001053EA">
      <w:pPr>
        <w:pStyle w:val="FootnoteText"/>
      </w:pPr>
      <w:r w:rsidRPr="000C79DC">
        <w:rPr>
          <w:rStyle w:val="FootnoteReference"/>
        </w:rPr>
        <w:footnoteRef/>
      </w:r>
      <w:r w:rsidRPr="000C79DC">
        <w:t xml:space="preserve"> </w:t>
      </w:r>
      <w:r w:rsidRPr="000C79DC">
        <w:tab/>
      </w:r>
      <w:r w:rsidRPr="000C79DC">
        <w:rPr>
          <w:rFonts w:hint="eastAsia"/>
        </w:rPr>
        <w:t xml:space="preserve">See </w:t>
      </w:r>
      <w:r w:rsidRPr="000C79DC">
        <w:rPr>
          <w:lang w:val="en-US"/>
        </w:rPr>
        <w:t xml:space="preserve">Consultation Paper, at paras 5.53 </w:t>
      </w:r>
      <w:r w:rsidRPr="000C79DC">
        <w:t>to</w:t>
      </w:r>
      <w:r w:rsidRPr="000C79DC">
        <w:rPr>
          <w:lang w:val="en-US"/>
        </w:rPr>
        <w:t xml:space="preserve"> 5.55</w:t>
      </w:r>
      <w:r w:rsidRPr="000C79DC">
        <w:rPr>
          <w:rFonts w:hint="eastAsia"/>
          <w:lang w:val="en-US"/>
        </w:rPr>
        <w:t>.</w:t>
      </w:r>
    </w:p>
  </w:footnote>
  <w:footnote w:id="57">
    <w:p w14:paraId="6E68D1E8" w14:textId="77777777" w:rsidR="00A241F5" w:rsidRPr="000C79DC" w:rsidRDefault="00A241F5" w:rsidP="001053EA">
      <w:pPr>
        <w:pStyle w:val="FootnoteText"/>
      </w:pPr>
      <w:r w:rsidRPr="000C79DC">
        <w:rPr>
          <w:rStyle w:val="FootnoteReference"/>
        </w:rPr>
        <w:footnoteRef/>
      </w:r>
      <w:r w:rsidRPr="000C79DC">
        <w:t xml:space="preserve"> </w:t>
      </w:r>
      <w:r w:rsidRPr="000C79DC">
        <w:tab/>
        <w:t>See Consultation Paper, at para 5.54.</w:t>
      </w:r>
    </w:p>
  </w:footnote>
  <w:footnote w:id="58">
    <w:p w14:paraId="4649ACB0" w14:textId="0EDC9F7F" w:rsidR="00A241F5" w:rsidRPr="000C79DC" w:rsidRDefault="00A241F5" w:rsidP="001053EA">
      <w:pPr>
        <w:pStyle w:val="FootnoteText"/>
        <w:rPr>
          <w:lang w:val="en-US"/>
        </w:rPr>
      </w:pPr>
      <w:r w:rsidRPr="000C79DC">
        <w:rPr>
          <w:rStyle w:val="FootnoteReference"/>
        </w:rPr>
        <w:footnoteRef/>
      </w:r>
      <w:r w:rsidRPr="000C79DC">
        <w:t xml:space="preserve"> </w:t>
      </w:r>
      <w:r w:rsidRPr="000C79DC">
        <w:tab/>
      </w:r>
      <w:r w:rsidRPr="000C79DC">
        <w:rPr>
          <w:lang w:val="en-US"/>
        </w:rPr>
        <w:t xml:space="preserve">Under the 2019 DBA Reform Project, a lawyer could charge the client fees as he goes, under a </w:t>
      </w:r>
      <w:r w:rsidRPr="000C79DC">
        <w:t>discounted retainer.  However, in the event that no financial benefit or compensation is obtained, there will normally be no recoverable representative's costs.  There will only be irrecoverable representative's costs, and the lawyer can retain only 30% of those costs.</w:t>
      </w:r>
      <w:r w:rsidRPr="000C79DC">
        <w:rPr>
          <w:lang w:val="en-US"/>
        </w:rPr>
        <w:t xml:space="preserve">  </w:t>
      </w:r>
    </w:p>
  </w:footnote>
  <w:footnote w:id="59">
    <w:p w14:paraId="1372BC13" w14:textId="77777777" w:rsidR="00A241F5" w:rsidRPr="000C79DC" w:rsidRDefault="00A241F5" w:rsidP="001053EA">
      <w:pPr>
        <w:pStyle w:val="FootnoteText"/>
        <w:rPr>
          <w:lang w:val="en-US"/>
        </w:rPr>
      </w:pPr>
      <w:r w:rsidRPr="000C79DC">
        <w:rPr>
          <w:rStyle w:val="FootnoteReference"/>
        </w:rPr>
        <w:footnoteRef/>
      </w:r>
      <w:r w:rsidRPr="000C79DC">
        <w:t xml:space="preserve"> </w:t>
      </w:r>
      <w:r w:rsidRPr="000C79DC">
        <w:rPr>
          <w:lang w:val="en-US"/>
        </w:rPr>
        <w:tab/>
        <w:t xml:space="preserve">See Consultation Paper, at paras 5.56 </w:t>
      </w:r>
      <w:r w:rsidRPr="000C79DC">
        <w:t>to</w:t>
      </w:r>
      <w:r w:rsidRPr="000C79DC">
        <w:rPr>
          <w:lang w:val="en-US"/>
        </w:rPr>
        <w:t xml:space="preserve"> 5.57.</w:t>
      </w:r>
    </w:p>
  </w:footnote>
  <w:footnote w:id="60">
    <w:p w14:paraId="33A5DA1A" w14:textId="5B963D5A" w:rsidR="00A241F5" w:rsidRPr="000C79DC" w:rsidRDefault="00A241F5" w:rsidP="001053EA">
      <w:pPr>
        <w:pStyle w:val="FootnoteText"/>
      </w:pPr>
      <w:r w:rsidRPr="000C79DC">
        <w:rPr>
          <w:rStyle w:val="FootnoteReference"/>
        </w:rPr>
        <w:footnoteRef/>
      </w:r>
      <w:r w:rsidRPr="000C79DC">
        <w:t xml:space="preserve"> </w:t>
      </w:r>
      <w:r w:rsidRPr="000C79DC">
        <w:tab/>
        <w:t xml:space="preserve">Bar Standards Board of England and Wales, </w:t>
      </w:r>
      <w:r w:rsidRPr="000C79DC">
        <w:rPr>
          <w:i/>
        </w:rPr>
        <w:t>The Bar Standards Board Handbook</w:t>
      </w:r>
      <w:r w:rsidRPr="000C79DC">
        <w:t xml:space="preserve"> (2021), version 4.6, at Guidance gC91.</w:t>
      </w:r>
    </w:p>
  </w:footnote>
  <w:footnote w:id="61">
    <w:p w14:paraId="3790D6DC" w14:textId="7CC99E79" w:rsidR="00A241F5" w:rsidRPr="000C79DC" w:rsidRDefault="00A241F5">
      <w:pPr>
        <w:pStyle w:val="FootnoteText"/>
      </w:pPr>
      <w:r w:rsidRPr="000C79DC">
        <w:rPr>
          <w:rStyle w:val="FootnoteReference"/>
        </w:rPr>
        <w:footnoteRef/>
      </w:r>
      <w:r w:rsidRPr="000C79DC">
        <w:t xml:space="preserve"> </w:t>
      </w:r>
      <w:r w:rsidRPr="000C79DC">
        <w:tab/>
        <w:t>See ss 98H, 98OA, 98Z and 98ZA(3) of the draft amendments to the Arbitration Ordinance in Annex 1 to this Report.</w:t>
      </w:r>
    </w:p>
  </w:footnote>
  <w:footnote w:id="62">
    <w:p w14:paraId="7369F9DC" w14:textId="09252105" w:rsidR="00A241F5" w:rsidRPr="000C79DC" w:rsidRDefault="00A241F5">
      <w:pPr>
        <w:pStyle w:val="FootnoteText"/>
      </w:pPr>
      <w:r w:rsidRPr="000C79DC">
        <w:rPr>
          <w:rStyle w:val="FootnoteReference"/>
        </w:rPr>
        <w:footnoteRef/>
      </w:r>
      <w:r w:rsidRPr="000C79DC">
        <w:t xml:space="preserve"> </w:t>
      </w:r>
      <w:r w:rsidRPr="000C79DC">
        <w:tab/>
        <w:t>See ss 98ZE and 98ZF of the draft amendments to the Arbitration Ordinance in Annex 1 to this Report.</w:t>
      </w:r>
    </w:p>
  </w:footnote>
  <w:footnote w:id="63">
    <w:p w14:paraId="7CACEFEF" w14:textId="77777777" w:rsidR="00A241F5" w:rsidRPr="000C79DC" w:rsidRDefault="00A241F5" w:rsidP="001053EA">
      <w:pPr>
        <w:pStyle w:val="FootnoteText"/>
      </w:pPr>
      <w:r w:rsidRPr="000C79DC">
        <w:rPr>
          <w:rStyle w:val="FootnoteReference"/>
          <w:rFonts w:cs="Arial"/>
        </w:rPr>
        <w:footnoteRef/>
      </w:r>
      <w:r w:rsidRPr="000C79DC">
        <w:t xml:space="preserve"> </w:t>
      </w:r>
      <w:r w:rsidRPr="000C79DC">
        <w:tab/>
        <w:t xml:space="preserve">HKBA, </w:t>
      </w:r>
      <w:r w:rsidRPr="000C79DC">
        <w:rPr>
          <w:i/>
        </w:rPr>
        <w:t>Code of Conduct</w:t>
      </w:r>
      <w:r w:rsidRPr="000C79DC">
        <w:t>, at para 6.1.</w:t>
      </w:r>
    </w:p>
  </w:footnote>
  <w:footnote w:id="64">
    <w:p w14:paraId="7FEC3ADE" w14:textId="3139AF6A" w:rsidR="00A241F5" w:rsidRPr="000C79DC" w:rsidRDefault="00A241F5">
      <w:pPr>
        <w:pStyle w:val="FootnoteText"/>
      </w:pPr>
      <w:r w:rsidRPr="000C79DC">
        <w:rPr>
          <w:rStyle w:val="FootnoteReference"/>
        </w:rPr>
        <w:footnoteRef/>
      </w:r>
      <w:r w:rsidRPr="000C79DC">
        <w:t xml:space="preserve"> </w:t>
      </w:r>
      <w:r w:rsidRPr="000C79DC">
        <w:tab/>
        <w:t>Peter Kunzlik, "Conditional Fees: The Ethical and Organisational Impact on the Bar" (1999) 62 MLR 850, at 862.</w:t>
      </w:r>
    </w:p>
  </w:footnote>
  <w:footnote w:id="65">
    <w:p w14:paraId="117D9186" w14:textId="015DF5DB" w:rsidR="00A241F5" w:rsidRPr="000C79DC" w:rsidRDefault="00A241F5" w:rsidP="001053EA">
      <w:pPr>
        <w:pStyle w:val="FootnoteText"/>
      </w:pPr>
      <w:r w:rsidRPr="000C79DC">
        <w:rPr>
          <w:rStyle w:val="FootnoteReference"/>
          <w:rFonts w:cs="Arial"/>
        </w:rPr>
        <w:footnoteRef/>
      </w:r>
      <w:r w:rsidRPr="000C79DC">
        <w:t xml:space="preserve"> </w:t>
      </w:r>
      <w:r w:rsidRPr="000C79DC">
        <w:tab/>
        <w:t>Same as above.</w:t>
      </w:r>
    </w:p>
  </w:footnote>
  <w:footnote w:id="66">
    <w:p w14:paraId="1A057E84" w14:textId="10777307" w:rsidR="00A241F5" w:rsidRPr="000C79DC" w:rsidRDefault="00A241F5">
      <w:pPr>
        <w:pStyle w:val="FootnoteText"/>
      </w:pPr>
      <w:r w:rsidRPr="000C79DC">
        <w:rPr>
          <w:rStyle w:val="FootnoteReference"/>
        </w:rPr>
        <w:footnoteRef/>
      </w:r>
      <w:r w:rsidRPr="000C79DC">
        <w:t xml:space="preserve"> </w:t>
      </w:r>
      <w:r w:rsidRPr="000C79DC">
        <w:tab/>
        <w:t>See the draft amendments to the Legal Practitioners Ordinance in Annex 1 to this Report.</w:t>
      </w:r>
    </w:p>
  </w:footnote>
  <w:footnote w:id="67">
    <w:p w14:paraId="19CEDC2F" w14:textId="12738655" w:rsidR="00A241F5" w:rsidRPr="000C79DC" w:rsidRDefault="00A241F5">
      <w:pPr>
        <w:pStyle w:val="FootnoteText"/>
      </w:pPr>
      <w:r w:rsidRPr="000C79DC">
        <w:rPr>
          <w:rStyle w:val="FootnoteReference"/>
        </w:rPr>
        <w:footnoteRef/>
      </w:r>
      <w:r w:rsidRPr="000C79DC">
        <w:t xml:space="preserve"> </w:t>
      </w:r>
      <w:r w:rsidRPr="000C79DC">
        <w:tab/>
        <w:t>See ss 98ZE, 98ZF, 98ZG and 98ZH of the draft amendments to the Arbitration Ordinance in Annex 1 to this Report.</w:t>
      </w:r>
    </w:p>
  </w:footnote>
  <w:footnote w:id="68">
    <w:p w14:paraId="19447229" w14:textId="77777777" w:rsidR="00A241F5" w:rsidRPr="000C79DC" w:rsidRDefault="00A241F5" w:rsidP="001053EA">
      <w:pPr>
        <w:pStyle w:val="FootnoteText"/>
      </w:pPr>
      <w:r w:rsidRPr="000C79DC">
        <w:rPr>
          <w:rStyle w:val="FootnoteReference"/>
        </w:rPr>
        <w:footnoteRef/>
      </w:r>
      <w:r w:rsidRPr="000C79DC">
        <w:t xml:space="preserve"> </w:t>
      </w:r>
      <w:r w:rsidRPr="000C79DC">
        <w:tab/>
        <w:t xml:space="preserve">See </w:t>
      </w:r>
      <w:r w:rsidRPr="000C79DC">
        <w:rPr>
          <w:lang w:val="en-US"/>
        </w:rPr>
        <w:t xml:space="preserve">Consultation Paper, at paras 5.58 </w:t>
      </w:r>
      <w:r w:rsidRPr="000C79DC">
        <w:t>to</w:t>
      </w:r>
      <w:r w:rsidRPr="000C79DC">
        <w:rPr>
          <w:lang w:val="en-US"/>
        </w:rPr>
        <w:t xml:space="preserve"> 5.61.</w:t>
      </w:r>
    </w:p>
  </w:footnote>
  <w:footnote w:id="69">
    <w:p w14:paraId="671CB30E" w14:textId="77777777" w:rsidR="00A241F5" w:rsidRPr="000C79DC" w:rsidRDefault="00A241F5" w:rsidP="0045386A">
      <w:pPr>
        <w:pStyle w:val="FootnoteText"/>
      </w:pPr>
      <w:r w:rsidRPr="000C79DC">
        <w:rPr>
          <w:rStyle w:val="FootnoteReference"/>
        </w:rPr>
        <w:footnoteRef/>
      </w:r>
      <w:r w:rsidRPr="000C79DC">
        <w:t xml:space="preserve"> </w:t>
      </w:r>
      <w:r w:rsidRPr="000C79DC">
        <w:tab/>
      </w:r>
      <w:r w:rsidRPr="000C79DC">
        <w:rPr>
          <w:rFonts w:hint="eastAsia"/>
        </w:rPr>
        <w:t xml:space="preserve">See </w:t>
      </w:r>
      <w:r w:rsidRPr="000C79DC">
        <w:rPr>
          <w:lang w:val="en-US"/>
        </w:rPr>
        <w:t xml:space="preserve">Consultation Paper, at paras 5.64 </w:t>
      </w:r>
      <w:r w:rsidRPr="000C79DC">
        <w:t>to</w:t>
      </w:r>
      <w:r w:rsidRPr="000C79DC">
        <w:rPr>
          <w:lang w:val="en-US"/>
        </w:rPr>
        <w:t xml:space="preserve"> 5.65</w:t>
      </w:r>
      <w:r w:rsidRPr="000C79DC">
        <w:rPr>
          <w:rFonts w:hint="eastAsia"/>
          <w:lang w:val="en-US"/>
        </w:rPr>
        <w:t>.</w:t>
      </w:r>
    </w:p>
  </w:footnote>
  <w:footnote w:id="70">
    <w:p w14:paraId="08A02AB8" w14:textId="77777777" w:rsidR="00A241F5" w:rsidRPr="000C79DC" w:rsidRDefault="00A241F5" w:rsidP="00A10EC2">
      <w:pPr>
        <w:pStyle w:val="FootnoteText"/>
      </w:pPr>
      <w:r w:rsidRPr="000C79DC">
        <w:rPr>
          <w:rStyle w:val="FootnoteReference"/>
        </w:rPr>
        <w:footnoteRef/>
      </w:r>
      <w:r w:rsidRPr="000C79DC">
        <w:t xml:space="preserve"> </w:t>
      </w:r>
      <w:r w:rsidRPr="000C79DC">
        <w:tab/>
        <w:t xml:space="preserve">See Consultation Paper, at </w:t>
      </w:r>
      <w:r w:rsidRPr="000C79DC">
        <w:rPr>
          <w:rFonts w:cs="Arial"/>
        </w:rPr>
        <w:t>paras 5.64 and 5.65.</w:t>
      </w:r>
    </w:p>
  </w:footnote>
  <w:footnote w:id="71">
    <w:p w14:paraId="530E0E28" w14:textId="27F72DF6" w:rsidR="00A241F5" w:rsidRPr="000C79DC" w:rsidRDefault="00A241F5" w:rsidP="0045386A">
      <w:pPr>
        <w:pStyle w:val="FootnoteText"/>
      </w:pPr>
      <w:r w:rsidRPr="000C79DC">
        <w:rPr>
          <w:rStyle w:val="FootnoteReference"/>
        </w:rPr>
        <w:footnoteRef/>
      </w:r>
      <w:r w:rsidRPr="000C79DC">
        <w:t xml:space="preserve"> </w:t>
      </w:r>
      <w:r w:rsidRPr="000C79DC">
        <w:tab/>
        <w:t xml:space="preserve">See Consultation Paper, at </w:t>
      </w:r>
      <w:r w:rsidRPr="000C79DC">
        <w:rPr>
          <w:rFonts w:cs="Arial"/>
        </w:rPr>
        <w:t>paras 3.27, 3.47, 3.58 to 3.60, 3.82 and 3.85.</w:t>
      </w:r>
    </w:p>
  </w:footnote>
  <w:footnote w:id="72">
    <w:p w14:paraId="5D41E7DA" w14:textId="05B19624" w:rsidR="00A241F5" w:rsidRPr="000C79DC" w:rsidRDefault="00A241F5" w:rsidP="0045386A">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t>See item 1(g) of the recommended ORFS safeguards to be included in subsidiary legislation in Annex 2 to this Report.</w:t>
      </w:r>
    </w:p>
  </w:footnote>
  <w:footnote w:id="73">
    <w:p w14:paraId="44686F6F" w14:textId="317CFAE2" w:rsidR="00A241F5" w:rsidRPr="000C79DC" w:rsidRDefault="00A241F5" w:rsidP="0045386A">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t>See item 1(i) of the recommended ORFS safeguards to be included in subsidiary legislation in Annex 2 to this Report.</w:t>
      </w:r>
    </w:p>
  </w:footnote>
  <w:footnote w:id="74">
    <w:p w14:paraId="7587DBF9" w14:textId="6D892DBB" w:rsidR="00A241F5" w:rsidRPr="000C79DC" w:rsidRDefault="00A241F5" w:rsidP="0045386A">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rPr>
          <w:rFonts w:cs="Arial"/>
        </w:rPr>
        <w:t>See item 1(h) of the recommended ORFS safeguards to be included in subsidiary legislation in Annex 2 to this Report.</w:t>
      </w:r>
    </w:p>
  </w:footnote>
  <w:footnote w:id="75">
    <w:p w14:paraId="780ED9D0" w14:textId="1DF050EA" w:rsidR="00A241F5" w:rsidRPr="000C79DC" w:rsidRDefault="00A241F5" w:rsidP="0045386A">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rPr>
          <w:rFonts w:cs="Arial"/>
        </w:rPr>
        <w:t>See item 1(j) of the recommended ORFS safeguards to be included in subsidiary legislation in Annex 2 to this Report.</w:t>
      </w:r>
    </w:p>
  </w:footnote>
  <w:footnote w:id="76">
    <w:p w14:paraId="6CC6F23A" w14:textId="1B480C08" w:rsidR="00A241F5" w:rsidRPr="000C79DC" w:rsidRDefault="00A241F5" w:rsidP="0045386A">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rPr>
          <w:rFonts w:cs="Arial"/>
        </w:rPr>
        <w:t>See item 1(k) of the recommended ORFS safeguards to be included in subsidiary legislation in Annex 2 to this Report.</w:t>
      </w:r>
    </w:p>
  </w:footnote>
  <w:footnote w:id="77">
    <w:p w14:paraId="27478A0A" w14:textId="79438A32" w:rsidR="00A241F5" w:rsidRPr="000C79DC" w:rsidRDefault="00A241F5" w:rsidP="0045386A">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rPr>
          <w:rFonts w:cs="Arial"/>
        </w:rPr>
        <w:t>See items 1(i), 1(n), 1(o)</w:t>
      </w:r>
      <w:r w:rsidRPr="000C79DC">
        <w:rPr>
          <w:rFonts w:eastAsiaTheme="minorEastAsia"/>
        </w:rPr>
        <w:t>(iii) and 1(o)(iv)</w:t>
      </w:r>
      <w:r w:rsidRPr="000C79DC">
        <w:rPr>
          <w:rFonts w:cs="Arial"/>
        </w:rPr>
        <w:t xml:space="preserve"> of the recommended ORFS safeguards to be included in subsidiary legislation in Annex 2 to this Report.</w:t>
      </w:r>
    </w:p>
  </w:footnote>
  <w:footnote w:id="78">
    <w:p w14:paraId="7E877BEB" w14:textId="64A5856B" w:rsidR="00A241F5" w:rsidRPr="000C79DC" w:rsidRDefault="00A241F5" w:rsidP="0045386A">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rPr>
          <w:rFonts w:cs="Arial"/>
        </w:rPr>
        <w:t>See item 1(l) of the recommended ORFS safeguards to be included in subsidiary legislation in Annex 2 to this Report.</w:t>
      </w:r>
    </w:p>
  </w:footnote>
  <w:footnote w:id="79">
    <w:p w14:paraId="2EA9E1DB" w14:textId="0567D528" w:rsidR="00A241F5" w:rsidRPr="000C79DC" w:rsidRDefault="00A241F5" w:rsidP="0045386A">
      <w:pPr>
        <w:pStyle w:val="FootnoteText"/>
      </w:pPr>
      <w:r w:rsidRPr="000C79DC">
        <w:rPr>
          <w:rStyle w:val="FootnoteReference"/>
        </w:rPr>
        <w:footnoteRef/>
      </w:r>
      <w:r w:rsidRPr="000C79DC">
        <w:t xml:space="preserve"> </w:t>
      </w:r>
      <w:r w:rsidRPr="000C79DC">
        <w:tab/>
        <w:t xml:space="preserve">Ministry of Law of Singapore, </w:t>
      </w:r>
      <w:r w:rsidRPr="000C79DC">
        <w:rPr>
          <w:i/>
        </w:rPr>
        <w:t>Public Consultation on Conditional Fee Agreements in Singapore</w:t>
      </w:r>
      <w:r w:rsidRPr="000C79DC">
        <w:t xml:space="preserve"> (2019), at para 15. </w:t>
      </w:r>
    </w:p>
  </w:footnote>
  <w:footnote w:id="80">
    <w:p w14:paraId="72AECF3F" w14:textId="17EDE00E" w:rsidR="00A241F5" w:rsidRPr="000C79DC" w:rsidRDefault="00A241F5">
      <w:pPr>
        <w:pStyle w:val="FootnoteText"/>
      </w:pPr>
      <w:r w:rsidRPr="000C79DC">
        <w:rPr>
          <w:rStyle w:val="FootnoteReference"/>
        </w:rPr>
        <w:footnoteRef/>
      </w:r>
      <w:r w:rsidRPr="000C79DC">
        <w:t xml:space="preserve"> </w:t>
      </w:r>
      <w:r w:rsidRPr="000C79DC">
        <w:tab/>
        <w:t>See ss 98ZP and 98ZQ of the draft amendments to the Arbitration Ordinance in Annex 1 to this Report.</w:t>
      </w:r>
    </w:p>
  </w:footnote>
  <w:footnote w:id="81">
    <w:p w14:paraId="464A4F39" w14:textId="77777777" w:rsidR="00A241F5" w:rsidRPr="000C79DC" w:rsidRDefault="00A241F5" w:rsidP="0045386A">
      <w:pPr>
        <w:pStyle w:val="FootnoteText"/>
      </w:pPr>
      <w:r w:rsidRPr="000C79DC">
        <w:rPr>
          <w:rStyle w:val="FootnoteReference"/>
        </w:rPr>
        <w:footnoteRef/>
      </w:r>
      <w:r w:rsidRPr="000C79DC">
        <w:t xml:space="preserve"> </w:t>
      </w:r>
      <w:r w:rsidRPr="000C79DC">
        <w:tab/>
      </w:r>
      <w:r w:rsidRPr="000C79DC">
        <w:rPr>
          <w:rFonts w:hint="eastAsia"/>
        </w:rPr>
        <w:t xml:space="preserve">See </w:t>
      </w:r>
      <w:r w:rsidRPr="000C79DC">
        <w:rPr>
          <w:lang w:val="en-US"/>
        </w:rPr>
        <w:t xml:space="preserve">Consultation Paper, at paras 5.73 </w:t>
      </w:r>
      <w:r w:rsidRPr="000C79DC">
        <w:t>to</w:t>
      </w:r>
      <w:r w:rsidRPr="000C79DC">
        <w:rPr>
          <w:lang w:val="en-US"/>
        </w:rPr>
        <w:t xml:space="preserve"> 5.74</w:t>
      </w:r>
      <w:r w:rsidRPr="000C79DC">
        <w:rPr>
          <w:rFonts w:hint="eastAsia"/>
          <w:lang w:val="en-US"/>
        </w:rPr>
        <w:t>.</w:t>
      </w:r>
    </w:p>
  </w:footnote>
  <w:footnote w:id="82">
    <w:p w14:paraId="2BCE0E2E" w14:textId="77777777" w:rsidR="00A241F5" w:rsidRPr="000C79DC" w:rsidRDefault="00A241F5" w:rsidP="0045386A">
      <w:pPr>
        <w:pStyle w:val="FootnoteText"/>
      </w:pPr>
      <w:r w:rsidRPr="000C79DC">
        <w:rPr>
          <w:rStyle w:val="FootnoteReference"/>
        </w:rPr>
        <w:footnoteRef/>
      </w:r>
      <w:r w:rsidRPr="000C79DC">
        <w:t xml:space="preserve"> </w:t>
      </w:r>
      <w:r w:rsidRPr="000C79DC">
        <w:tab/>
        <w:t>Recommendation 13(f) and (h).</w:t>
      </w:r>
    </w:p>
  </w:footnote>
  <w:footnote w:id="83">
    <w:p w14:paraId="1B02D7B3" w14:textId="33933742" w:rsidR="00A241F5" w:rsidRPr="000C79DC" w:rsidRDefault="00A241F5" w:rsidP="0045386A">
      <w:pPr>
        <w:pStyle w:val="FootnoteText"/>
      </w:pPr>
      <w:r w:rsidRPr="000C79DC">
        <w:rPr>
          <w:rStyle w:val="FootnoteReference"/>
        </w:rPr>
        <w:footnoteRef/>
      </w:r>
      <w:r w:rsidRPr="000C79DC">
        <w:t xml:space="preserve"> </w:t>
      </w:r>
      <w:r w:rsidRPr="000C79DC">
        <w:tab/>
        <w:t>This is known as a "no win, no fee" agreement.</w:t>
      </w:r>
    </w:p>
  </w:footnote>
  <w:footnote w:id="84">
    <w:p w14:paraId="5719B176" w14:textId="17A95859" w:rsidR="00A241F5" w:rsidRPr="000C79DC" w:rsidRDefault="00A241F5" w:rsidP="0045386A">
      <w:pPr>
        <w:pStyle w:val="FootnoteText"/>
      </w:pPr>
      <w:r w:rsidRPr="000C79DC">
        <w:rPr>
          <w:rStyle w:val="FootnoteReference"/>
        </w:rPr>
        <w:footnoteRef/>
      </w:r>
      <w:r w:rsidRPr="000C79DC">
        <w:t xml:space="preserve"> </w:t>
      </w:r>
      <w:r w:rsidRPr="000C79DC">
        <w:tab/>
        <w:t>This is known as a "no win, low fee" agreement.</w:t>
      </w:r>
    </w:p>
  </w:footnote>
  <w:footnote w:id="85">
    <w:p w14:paraId="0FB9E7FE" w14:textId="21BB2920" w:rsidR="00A241F5" w:rsidRPr="000C79DC" w:rsidRDefault="00A241F5" w:rsidP="0045386A">
      <w:pPr>
        <w:pStyle w:val="FootnoteText"/>
      </w:pPr>
      <w:r w:rsidRPr="000C79DC">
        <w:rPr>
          <w:rStyle w:val="FootnoteReference"/>
        </w:rPr>
        <w:footnoteRef/>
      </w:r>
      <w:r w:rsidRPr="000C79DC">
        <w:t xml:space="preserve"> </w:t>
      </w:r>
      <w:r w:rsidRPr="000C79DC">
        <w:tab/>
        <w:t>See</w:t>
      </w:r>
      <w:r w:rsidRPr="000C79DC">
        <w:rPr>
          <w:rFonts w:cs="Arial"/>
        </w:rPr>
        <w:t xml:space="preserve"> Consultation Paper, at 4. </w:t>
      </w:r>
    </w:p>
  </w:footnote>
  <w:footnote w:id="86">
    <w:p w14:paraId="1A84551F" w14:textId="08BA3A1A" w:rsidR="00A241F5" w:rsidRPr="000C79DC" w:rsidRDefault="00A241F5">
      <w:pPr>
        <w:pStyle w:val="FootnoteText"/>
      </w:pPr>
      <w:r w:rsidRPr="000C79DC">
        <w:rPr>
          <w:rStyle w:val="FootnoteReference"/>
        </w:rPr>
        <w:footnoteRef/>
      </w:r>
      <w:r w:rsidRPr="000C79DC">
        <w:t xml:space="preserve"> </w:t>
      </w:r>
      <w:r w:rsidRPr="000C79DC">
        <w:tab/>
        <w:t>See s 98ZB of the draft amendments to the Arbitration Ordinance in Annex 1 to this Report.</w:t>
      </w:r>
    </w:p>
  </w:footnote>
  <w:footnote w:id="87">
    <w:p w14:paraId="6A05B2DE" w14:textId="3E016E7D" w:rsidR="00A241F5" w:rsidRPr="000C79DC" w:rsidRDefault="00A241F5" w:rsidP="0045386A">
      <w:pPr>
        <w:pStyle w:val="FootnoteText"/>
      </w:pPr>
      <w:r w:rsidRPr="000C79DC">
        <w:rPr>
          <w:rStyle w:val="FootnoteReference"/>
        </w:rPr>
        <w:footnoteRef/>
      </w:r>
      <w:r w:rsidRPr="000C79DC">
        <w:t xml:space="preserve"> </w:t>
      </w:r>
      <w:r w:rsidRPr="000C79DC">
        <w:tab/>
        <w:t>See para 14.32 of this Report.</w:t>
      </w:r>
    </w:p>
  </w:footnote>
  <w:footnote w:id="88">
    <w:p w14:paraId="5E12BE4F" w14:textId="12956C1B" w:rsidR="00A241F5" w:rsidRPr="000C79DC" w:rsidRDefault="00A241F5">
      <w:pPr>
        <w:pStyle w:val="FootnoteText"/>
      </w:pPr>
      <w:r w:rsidRPr="000C79DC">
        <w:rPr>
          <w:rStyle w:val="FootnoteReference"/>
        </w:rPr>
        <w:footnoteRef/>
      </w:r>
      <w:r w:rsidRPr="000C79DC">
        <w:t xml:space="preserve"> </w:t>
      </w:r>
      <w:r w:rsidRPr="000C79DC">
        <w:tab/>
        <w:t>See ss 98ZC and 98ZD of the draft amendments to the Arbitration Ordinance in Annex 1 to this Report.</w:t>
      </w:r>
    </w:p>
  </w:footnote>
  <w:footnote w:id="89">
    <w:p w14:paraId="1C60D784" w14:textId="7A635BC6" w:rsidR="00A241F5" w:rsidRPr="000C79DC" w:rsidRDefault="00A241F5">
      <w:pPr>
        <w:pStyle w:val="FootnoteText"/>
      </w:pPr>
      <w:r w:rsidRPr="000C79DC">
        <w:rPr>
          <w:rStyle w:val="FootnoteReference"/>
        </w:rPr>
        <w:footnoteRef/>
      </w:r>
      <w:r w:rsidRPr="000C79DC">
        <w:t xml:space="preserve"> </w:t>
      </w:r>
      <w:r w:rsidRPr="000C79DC">
        <w:tab/>
        <w:t>See s 98ZA(1) of the draft amendments to the Arbitration Ordinance in Annex 1 to this Report.</w:t>
      </w:r>
    </w:p>
  </w:footnote>
  <w:footnote w:id="90">
    <w:p w14:paraId="02B7AAAB" w14:textId="7D8F26F0" w:rsidR="00A241F5" w:rsidRPr="000C79DC" w:rsidRDefault="00A241F5">
      <w:pPr>
        <w:pStyle w:val="FootnoteText"/>
      </w:pPr>
      <w:r w:rsidRPr="000C79DC">
        <w:rPr>
          <w:rStyle w:val="FootnoteReference"/>
        </w:rPr>
        <w:footnoteRef/>
      </w:r>
      <w:r w:rsidRPr="000C79DC">
        <w:t xml:space="preserve"> </w:t>
      </w:r>
      <w:r w:rsidRPr="000C79DC">
        <w:tab/>
      </w:r>
      <w:r w:rsidRPr="000C79DC">
        <w:rPr>
          <w:rFonts w:eastAsia="DengXian"/>
          <w:lang w:eastAsia="zh-CN"/>
        </w:rPr>
        <w:t>See item 1(o)(v) of the recommended ORFS safeguards to be included in subsidiary legislation in Annex 2 to this Report.</w:t>
      </w:r>
    </w:p>
  </w:footnote>
  <w:footnote w:id="91">
    <w:p w14:paraId="074635B4" w14:textId="4B4D9C81" w:rsidR="00A241F5" w:rsidRPr="000C79DC" w:rsidRDefault="00A241F5">
      <w:pPr>
        <w:pStyle w:val="FootnoteText"/>
      </w:pPr>
      <w:r w:rsidRPr="000C79DC">
        <w:rPr>
          <w:rStyle w:val="FootnoteReference"/>
        </w:rPr>
        <w:footnoteRef/>
      </w:r>
      <w:r w:rsidRPr="000C79DC">
        <w:t xml:space="preserve"> </w:t>
      </w:r>
      <w:r w:rsidRPr="000C79DC">
        <w:tab/>
      </w:r>
      <w:r w:rsidRPr="000C79DC">
        <w:rPr>
          <w:rFonts w:eastAsia="DengXian"/>
          <w:lang w:eastAsia="zh-CN"/>
        </w:rPr>
        <w:t>See item 1(o)(vi) of the recommended ORFS safeguards to be included in subsidiary legislation in Annex 2 to this Report.</w:t>
      </w:r>
    </w:p>
  </w:footnote>
  <w:footnote w:id="92">
    <w:p w14:paraId="2545D131" w14:textId="7A67DC85" w:rsidR="00A241F5" w:rsidRPr="000C79DC" w:rsidRDefault="00A241F5">
      <w:pPr>
        <w:pStyle w:val="FootnoteText"/>
      </w:pPr>
      <w:r w:rsidRPr="000C79DC">
        <w:rPr>
          <w:rStyle w:val="FootnoteReference"/>
        </w:rPr>
        <w:footnoteRef/>
      </w:r>
      <w:r w:rsidRPr="000C79DC">
        <w:t xml:space="preserve"> </w:t>
      </w:r>
      <w:r w:rsidRPr="000C79DC">
        <w:tab/>
      </w:r>
      <w:r w:rsidRPr="000C79DC">
        <w:rPr>
          <w:rFonts w:eastAsia="DengXian"/>
          <w:lang w:eastAsia="zh-CN"/>
        </w:rPr>
        <w:t>See item 1(o)(vii) of the recommended ORFS safeguards to be included in subsidiary legislation in Annex 2 to this Report.</w:t>
      </w:r>
    </w:p>
  </w:footnote>
  <w:footnote w:id="93">
    <w:p w14:paraId="77ABE64E" w14:textId="77777777" w:rsidR="00A241F5" w:rsidRPr="000C79DC" w:rsidRDefault="00A241F5" w:rsidP="0045386A">
      <w:pPr>
        <w:pStyle w:val="FootnoteText"/>
      </w:pPr>
      <w:r w:rsidRPr="000C79DC">
        <w:rPr>
          <w:rStyle w:val="FootnoteReference"/>
        </w:rPr>
        <w:footnoteRef/>
      </w:r>
      <w:r w:rsidRPr="000C79DC">
        <w:t xml:space="preserve"> </w:t>
      </w:r>
      <w:r w:rsidRPr="000C79DC">
        <w:tab/>
      </w:r>
      <w:r w:rsidRPr="000C79DC">
        <w:rPr>
          <w:rFonts w:hint="eastAsia"/>
        </w:rPr>
        <w:t xml:space="preserve">See </w:t>
      </w:r>
      <w:r w:rsidRPr="000C79DC">
        <w:rPr>
          <w:lang w:val="en-US"/>
        </w:rPr>
        <w:t xml:space="preserve">Consultation Paper, at paras 5.66 </w:t>
      </w:r>
      <w:r w:rsidRPr="000C79DC">
        <w:t>to</w:t>
      </w:r>
      <w:r w:rsidRPr="000C79DC">
        <w:rPr>
          <w:lang w:val="en-US"/>
        </w:rPr>
        <w:t xml:space="preserve"> 5.72</w:t>
      </w:r>
      <w:r w:rsidRPr="000C79DC">
        <w:rPr>
          <w:rFonts w:hint="eastAsia"/>
          <w:lang w:val="en-US"/>
        </w:rPr>
        <w:t>.</w:t>
      </w:r>
    </w:p>
  </w:footnote>
  <w:footnote w:id="94">
    <w:p w14:paraId="18AF419D" w14:textId="77777777" w:rsidR="00A241F5" w:rsidRPr="000C79DC" w:rsidRDefault="00A241F5" w:rsidP="0045386A">
      <w:pPr>
        <w:pStyle w:val="FootnoteText"/>
      </w:pPr>
      <w:r w:rsidRPr="000C79DC">
        <w:rPr>
          <w:rStyle w:val="FootnoteReference"/>
        </w:rPr>
        <w:footnoteRef/>
      </w:r>
      <w:r w:rsidRPr="000C79DC">
        <w:t xml:space="preserve"> </w:t>
      </w:r>
      <w:r w:rsidRPr="000C79DC">
        <w:tab/>
        <w:t xml:space="preserve">See Consultation Paper, at paras 5.67 to 5.69. </w:t>
      </w:r>
    </w:p>
  </w:footnote>
  <w:footnote w:id="95">
    <w:p w14:paraId="097A6C05" w14:textId="090E1491" w:rsidR="00A241F5" w:rsidRPr="000C79DC" w:rsidRDefault="00A241F5">
      <w:pPr>
        <w:pStyle w:val="FootnoteText"/>
        <w:rPr>
          <w:lang w:val="en-US"/>
        </w:rPr>
      </w:pPr>
      <w:r w:rsidRPr="000C79DC">
        <w:rPr>
          <w:rStyle w:val="FootnoteReference"/>
        </w:rPr>
        <w:footnoteRef/>
      </w:r>
      <w:r w:rsidRPr="000C79DC">
        <w:t xml:space="preserve"> </w:t>
      </w:r>
      <w:r w:rsidRPr="000C79DC">
        <w:rPr>
          <w:lang w:val="en-US"/>
        </w:rPr>
        <w:tab/>
        <w:t>See s 98ZK of the draft amendments to the Arbitration Ordinance in Annex 1 to this Report.</w:t>
      </w:r>
    </w:p>
  </w:footnote>
  <w:footnote w:id="96">
    <w:p w14:paraId="1674E081" w14:textId="77777777" w:rsidR="00A241F5" w:rsidRPr="000C79DC" w:rsidRDefault="00A241F5" w:rsidP="0045386A">
      <w:pPr>
        <w:pStyle w:val="FootnoteText"/>
      </w:pPr>
      <w:r w:rsidRPr="000C79DC">
        <w:rPr>
          <w:rStyle w:val="FootnoteReference"/>
        </w:rPr>
        <w:footnoteRef/>
      </w:r>
      <w:r w:rsidRPr="000C79DC">
        <w:t xml:space="preserve"> </w:t>
      </w:r>
      <w:r w:rsidRPr="000C79DC">
        <w:tab/>
        <w:t>Arbitration Ordinance, s 2(1).</w:t>
      </w:r>
      <w:r w:rsidRPr="000C79DC">
        <w:tab/>
      </w:r>
    </w:p>
  </w:footnote>
  <w:footnote w:id="97">
    <w:p w14:paraId="6E69510A" w14:textId="5CD7863E" w:rsidR="00A241F5" w:rsidRPr="000C79DC" w:rsidRDefault="00A241F5">
      <w:pPr>
        <w:pStyle w:val="FootnoteText"/>
      </w:pPr>
      <w:r w:rsidRPr="000C79DC">
        <w:rPr>
          <w:rStyle w:val="FootnoteReference"/>
        </w:rPr>
        <w:footnoteRef/>
      </w:r>
      <w:r w:rsidRPr="000C79DC">
        <w:t xml:space="preserve"> </w:t>
      </w:r>
      <w:r w:rsidRPr="000C79DC">
        <w:tab/>
        <w:t>See item 1(g) of the recommended ORFS safeguards to be included in subsidiary legislation in Annex 2 to this Report.</w:t>
      </w:r>
    </w:p>
  </w:footnote>
  <w:footnote w:id="98">
    <w:p w14:paraId="3F855547" w14:textId="1399CFF6" w:rsidR="00A241F5" w:rsidRPr="000C79DC" w:rsidRDefault="00A241F5">
      <w:pPr>
        <w:pStyle w:val="FootnoteText"/>
      </w:pPr>
      <w:r w:rsidRPr="000C79DC">
        <w:rPr>
          <w:rStyle w:val="FootnoteReference"/>
        </w:rPr>
        <w:footnoteRef/>
      </w:r>
      <w:r w:rsidRPr="000C79DC">
        <w:t xml:space="preserve"> </w:t>
      </w:r>
      <w:r w:rsidRPr="000C79DC">
        <w:tab/>
      </w:r>
      <w:r w:rsidRPr="000C79DC">
        <w:rPr>
          <w:rFonts w:cs="Arial"/>
        </w:rPr>
        <w:t>See item 1(h) of the recommended ORFS safeguards to be included in subsidiary legislation in Annex 2 to this Report.</w:t>
      </w:r>
    </w:p>
  </w:footnote>
  <w:footnote w:id="99">
    <w:p w14:paraId="2557839D" w14:textId="5406D451" w:rsidR="00A241F5" w:rsidRPr="000C79DC" w:rsidRDefault="00A241F5">
      <w:pPr>
        <w:pStyle w:val="FootnoteText"/>
      </w:pPr>
      <w:r w:rsidRPr="000C79DC">
        <w:rPr>
          <w:rStyle w:val="FootnoteReference"/>
        </w:rPr>
        <w:footnoteRef/>
      </w:r>
      <w:r w:rsidRPr="000C79DC">
        <w:t xml:space="preserve"> </w:t>
      </w:r>
      <w:r w:rsidRPr="000C79DC">
        <w:tab/>
        <w:t>See item 1(j) of the recommended ORFS safeguards to be included in subsidiary legislation in Annex 2 to this Report.</w:t>
      </w:r>
    </w:p>
  </w:footnote>
  <w:footnote w:id="100">
    <w:p w14:paraId="5A5F3A0C" w14:textId="6844C678" w:rsidR="00A241F5" w:rsidRPr="000C79DC" w:rsidRDefault="00A241F5">
      <w:pPr>
        <w:pStyle w:val="FootnoteText"/>
      </w:pPr>
      <w:r w:rsidRPr="000C79DC">
        <w:rPr>
          <w:rStyle w:val="FootnoteReference"/>
        </w:rPr>
        <w:footnoteRef/>
      </w:r>
      <w:r w:rsidRPr="000C79DC">
        <w:t xml:space="preserve"> </w:t>
      </w:r>
      <w:r w:rsidRPr="000C79DC">
        <w:tab/>
        <w:t>See item 1(k) of the recommended ORFS safeguards to be included in subsidiary legislation in Annex 2 to this Report.</w:t>
      </w:r>
    </w:p>
  </w:footnote>
  <w:footnote w:id="101">
    <w:p w14:paraId="1642E103" w14:textId="44C8F359" w:rsidR="00A241F5" w:rsidRPr="000C79DC" w:rsidRDefault="00A241F5">
      <w:pPr>
        <w:pStyle w:val="FootnoteText"/>
      </w:pPr>
      <w:r w:rsidRPr="000C79DC">
        <w:rPr>
          <w:rStyle w:val="FootnoteReference"/>
        </w:rPr>
        <w:footnoteRef/>
      </w:r>
      <w:r w:rsidRPr="000C79DC">
        <w:t xml:space="preserve"> </w:t>
      </w:r>
      <w:r w:rsidRPr="000C79DC">
        <w:tab/>
        <w:t>See item 1(i) of the recommended ORFS safeguards to be included in subsidiary legislation in Annex 2 to this Report.</w:t>
      </w:r>
    </w:p>
  </w:footnote>
  <w:footnote w:id="102">
    <w:p w14:paraId="1CD57EBF" w14:textId="7A198E94" w:rsidR="00A241F5" w:rsidRPr="000C79DC" w:rsidRDefault="00A241F5" w:rsidP="0045386A">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t xml:space="preserve">See </w:t>
      </w:r>
      <w:r w:rsidRPr="000C79DC">
        <w:rPr>
          <w:rFonts w:eastAsiaTheme="minorEastAsia"/>
        </w:rPr>
        <w:t>paras 9.12 to 9.19 of, and items 1(i), 1(n), 1(o)(iii) and 1(o)(iv) of the recommended ORFS safeguards to be included in subsidiary legislation in Annex 2 to this Report.</w:t>
      </w:r>
    </w:p>
  </w:footnote>
  <w:footnote w:id="103">
    <w:p w14:paraId="456C1C9C" w14:textId="40C1F763" w:rsidR="00A241F5" w:rsidRPr="000C79DC" w:rsidRDefault="00A241F5" w:rsidP="0045386A">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t>See paras 10</w:t>
      </w:r>
      <w:r w:rsidRPr="000C79DC">
        <w:rPr>
          <w:rFonts w:eastAsiaTheme="minorEastAsia"/>
        </w:rPr>
        <w:t>.9 to 10.11 of, and item 1(l) of the recommended ORFS safeguards to be included in subsidiary legislation in Annex 2 to this Report.</w:t>
      </w:r>
    </w:p>
  </w:footnote>
  <w:footnote w:id="104">
    <w:p w14:paraId="78A49FB7" w14:textId="33F313E1" w:rsidR="00A241F5" w:rsidRPr="000C79DC" w:rsidRDefault="00A241F5">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t>See item 1(o)(v) of the recommended ORFS safeguards to be included in subsidiary legislation in Annex 2 to this Report.</w:t>
      </w:r>
    </w:p>
  </w:footnote>
  <w:footnote w:id="105">
    <w:p w14:paraId="28C1C17F" w14:textId="0F750573" w:rsidR="00A241F5" w:rsidRPr="000C79DC" w:rsidRDefault="00A241F5">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t>See item 1(o)(vi) of the recommended ORFS safeguards to be included in subsidiary legislation in Annex 2 to this Report.</w:t>
      </w:r>
    </w:p>
  </w:footnote>
  <w:footnote w:id="106">
    <w:p w14:paraId="0DADDBC5" w14:textId="455FD0D6" w:rsidR="00A241F5" w:rsidRPr="000C79DC" w:rsidRDefault="00A241F5">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t>See item 1(o)(vii) of the recommended ORFS safeguards to be included in subsidiary legislation in Annex 2 to this Report.</w:t>
      </w:r>
    </w:p>
  </w:footnote>
  <w:footnote w:id="107">
    <w:p w14:paraId="24D4706C" w14:textId="316EF6D1" w:rsidR="00A241F5" w:rsidRPr="000C79DC" w:rsidRDefault="00A241F5">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t>See s 98ZB(2) of the draft amendments to the Arbitration Ordinance in Annex 1 to this Report.</w:t>
      </w:r>
    </w:p>
  </w:footnote>
  <w:footnote w:id="108">
    <w:p w14:paraId="62F0F9D0" w14:textId="287FECE5" w:rsidR="00A241F5" w:rsidRPr="000C79DC" w:rsidRDefault="00A241F5">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t>See ss 98ZC and 98ZD of the draft amendments to the Arbitration Ordinance in Annex 1 to this Report.</w:t>
      </w:r>
    </w:p>
  </w:footnote>
  <w:footnote w:id="109">
    <w:p w14:paraId="409C8106" w14:textId="0022CFF5" w:rsidR="00A241F5" w:rsidRPr="000C79DC" w:rsidRDefault="00A241F5">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t>See s 98ZA(1) of the draft amendments to the Arbitration Ordinance in Annex 1 to this Report.</w:t>
      </w:r>
    </w:p>
  </w:footnote>
  <w:footnote w:id="110">
    <w:p w14:paraId="09F1D178" w14:textId="745B1956" w:rsidR="00A241F5" w:rsidRPr="000C79DC" w:rsidRDefault="00A241F5">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t>Same as above.</w:t>
      </w:r>
    </w:p>
  </w:footnote>
  <w:footnote w:id="111">
    <w:p w14:paraId="46CCDA9B" w14:textId="38FA478F" w:rsidR="00A241F5" w:rsidRPr="000C79DC" w:rsidRDefault="00A241F5">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t>Same as above.</w:t>
      </w:r>
    </w:p>
  </w:footnote>
  <w:footnote w:id="112">
    <w:p w14:paraId="1BAF94B2" w14:textId="3BAE6E85" w:rsidR="00A241F5" w:rsidRPr="000C79DC" w:rsidRDefault="00A241F5">
      <w:pPr>
        <w:pStyle w:val="FootnoteText"/>
      </w:pPr>
      <w:r w:rsidRPr="000C79DC">
        <w:rPr>
          <w:rStyle w:val="FootnoteReference"/>
        </w:rPr>
        <w:footnoteRef/>
      </w:r>
      <w:r w:rsidRPr="000C79DC">
        <w:t xml:space="preserve"> </w:t>
      </w:r>
      <w:r w:rsidRPr="000C79DC">
        <w:tab/>
        <w:t>See s 98ZK of the draft amendments to the Arbitration Ordinance in Annex 1 to this Report.</w:t>
      </w:r>
    </w:p>
  </w:footnote>
  <w:footnote w:id="113">
    <w:p w14:paraId="5F92617D" w14:textId="77777777" w:rsidR="00A241F5" w:rsidRPr="000C79DC" w:rsidRDefault="00A241F5" w:rsidP="0045386A">
      <w:pPr>
        <w:pStyle w:val="FootnoteText"/>
      </w:pPr>
      <w:r w:rsidRPr="000C79DC">
        <w:rPr>
          <w:rStyle w:val="FootnoteReference"/>
        </w:rPr>
        <w:footnoteRef/>
      </w:r>
      <w:r w:rsidRPr="000C79DC">
        <w:t xml:space="preserve"> </w:t>
      </w:r>
      <w:r w:rsidRPr="000C79DC">
        <w:tab/>
      </w:r>
      <w:r w:rsidRPr="000C79DC">
        <w:rPr>
          <w:rFonts w:hint="eastAsia"/>
        </w:rPr>
        <w:t xml:space="preserve">See </w:t>
      </w:r>
      <w:r w:rsidRPr="000C79DC">
        <w:rPr>
          <w:lang w:val="en-US"/>
        </w:rPr>
        <w:t>Consultation Paper, at para 5.75</w:t>
      </w:r>
      <w:r w:rsidRPr="000C79DC">
        <w:rPr>
          <w:rFonts w:hint="eastAsia"/>
          <w:lang w:val="en-US"/>
        </w:rPr>
        <w:t>.</w:t>
      </w:r>
    </w:p>
  </w:footnote>
  <w:footnote w:id="114">
    <w:p w14:paraId="17E96FFD" w14:textId="12996809" w:rsidR="00A241F5" w:rsidRPr="000C79DC" w:rsidRDefault="00A241F5" w:rsidP="00A42048">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r>
      <w:r w:rsidRPr="000C79DC">
        <w:rPr>
          <w:rFonts w:cs="Arial"/>
        </w:rPr>
        <w:t>See item 1(o)(i) of the recommended ORFS safeguards to be included in subsidiary legislation in Annex 2 to this Report.</w:t>
      </w:r>
    </w:p>
  </w:footnote>
  <w:footnote w:id="115">
    <w:p w14:paraId="1DC625EF" w14:textId="731B208C" w:rsidR="00A241F5" w:rsidRPr="001236D6" w:rsidRDefault="00A241F5" w:rsidP="00A42048">
      <w:pPr>
        <w:pStyle w:val="FootnoteText"/>
        <w:rPr>
          <w:rFonts w:eastAsia="DengXian"/>
          <w:lang w:eastAsia="zh-CN"/>
        </w:rPr>
      </w:pPr>
      <w:r w:rsidRPr="000C79DC">
        <w:rPr>
          <w:rStyle w:val="FootnoteReference"/>
        </w:rPr>
        <w:footnoteRef/>
      </w:r>
      <w:r w:rsidRPr="000C79DC">
        <w:t xml:space="preserve"> </w:t>
      </w:r>
      <w:r w:rsidRPr="000C79DC">
        <w:rPr>
          <w:rFonts w:eastAsia="DengXian"/>
          <w:lang w:eastAsia="zh-CN"/>
        </w:rPr>
        <w:tab/>
        <w:t>S</w:t>
      </w:r>
      <w:r w:rsidRPr="000C79DC">
        <w:rPr>
          <w:rFonts w:cs="Arial"/>
        </w:rPr>
        <w:t>ee item 1(o)(ii) of the recommended ORFS safeguards to be included in subsidiary legislation in Annex 2 to this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269B3" w14:textId="22D5BE62" w:rsidR="00A241F5" w:rsidRPr="00333E73" w:rsidRDefault="00A241F5" w:rsidP="00333E73">
    <w:pPr>
      <w:pStyle w:val="Header"/>
      <w:wordWrap w:val="0"/>
      <w:jc w:val="right"/>
      <w:rPr>
        <w:rFonts w:eastAsia="DengXian"/>
        <w:i/>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1E573" w14:textId="77777777" w:rsidR="00A241F5" w:rsidRDefault="00A241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5BFA7" w14:textId="77777777" w:rsidR="00A241F5" w:rsidRPr="00C6286D" w:rsidRDefault="00A241F5" w:rsidP="00C628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E6884" w14:textId="77777777" w:rsidR="00A241F5" w:rsidRDefault="00A241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534BB" w14:textId="77777777" w:rsidR="00A241F5" w:rsidRDefault="00A241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8BCF8" w14:textId="77777777" w:rsidR="00A241F5" w:rsidRDefault="00A241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79258F" w14:textId="584C8C15" w:rsidR="00A241F5" w:rsidRPr="002125E0" w:rsidRDefault="00A241F5" w:rsidP="00212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0C9AF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5F2250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FAD66F2A"/>
    <w:lvl w:ilvl="0">
      <w:start w:val="1"/>
      <w:numFmt w:val="bullet"/>
      <w:pStyle w:val="ListBullet"/>
      <w:lvlText w:val=""/>
      <w:lvlJc w:val="left"/>
      <w:pPr>
        <w:tabs>
          <w:tab w:val="num" w:pos="1440"/>
        </w:tabs>
        <w:ind w:left="1440" w:hanging="720"/>
      </w:pPr>
      <w:rPr>
        <w:rFonts w:ascii="Symbol" w:hAnsi="Symbol" w:hint="default"/>
      </w:rPr>
    </w:lvl>
  </w:abstractNum>
  <w:abstractNum w:abstractNumId="3" w15:restartNumberingAfterBreak="0">
    <w:nsid w:val="09C328FF"/>
    <w:multiLevelType w:val="hybridMultilevel"/>
    <w:tmpl w:val="4E52F89E"/>
    <w:lvl w:ilvl="0" w:tplc="594E9D40">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606216"/>
    <w:multiLevelType w:val="hybridMultilevel"/>
    <w:tmpl w:val="DB4230C8"/>
    <w:lvl w:ilvl="0" w:tplc="C854E698">
      <w:start w:val="1"/>
      <w:numFmt w:val="lowerLetter"/>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FF41E9D"/>
    <w:multiLevelType w:val="multilevel"/>
    <w:tmpl w:val="A4364218"/>
    <w:lvl w:ilvl="0">
      <w:start w:val="1"/>
      <w:numFmt w:val="upperLetter"/>
      <w:pStyle w:val="AlphaBrackets"/>
      <w:lvlText w:val="(%1)"/>
      <w:lvlJc w:val="left"/>
      <w:pPr>
        <w:tabs>
          <w:tab w:val="num" w:pos="709"/>
        </w:tabs>
        <w:ind w:left="709" w:hanging="709"/>
      </w:pPr>
      <w:rPr>
        <w:rFonts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7EC3EB2"/>
    <w:multiLevelType w:val="hybridMultilevel"/>
    <w:tmpl w:val="3AFC527C"/>
    <w:lvl w:ilvl="0" w:tplc="52D4FF42">
      <w:start w:val="1"/>
      <w:numFmt w:val="lowerRoman"/>
      <w:lvlText w:val="(%1)"/>
      <w:lvlJc w:val="left"/>
      <w:pPr>
        <w:ind w:left="2160" w:hanging="720"/>
      </w:pPr>
      <w:rPr>
        <w:rFonts w:eastAsiaTheme="minorEastAsia"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2C2415F1"/>
    <w:multiLevelType w:val="hybridMultilevel"/>
    <w:tmpl w:val="3AF64498"/>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2DC8048B"/>
    <w:multiLevelType w:val="hybridMultilevel"/>
    <w:tmpl w:val="FFCCBCD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917E87"/>
    <w:multiLevelType w:val="hybridMultilevel"/>
    <w:tmpl w:val="0B2C1A60"/>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0" w15:restartNumberingAfterBreak="0">
    <w:nsid w:val="30E043F1"/>
    <w:multiLevelType w:val="hybridMultilevel"/>
    <w:tmpl w:val="970407C8"/>
    <w:lvl w:ilvl="0" w:tplc="E51AD95C">
      <w:start w:val="1"/>
      <w:numFmt w:val="lowerLetter"/>
      <w:pStyle w:val="Subtitle2"/>
      <w:lvlText w:val="(%1)"/>
      <w:lvlJc w:val="left"/>
      <w:pPr>
        <w:ind w:left="480" w:hanging="480"/>
      </w:pPr>
      <w:rPr>
        <w:rFonts w:ascii="Times New Roman" w:hAnsi="Times New Roman" w:hint="default"/>
        <w:b/>
        <w:i w:val="0"/>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5332ADC"/>
    <w:multiLevelType w:val="singleLevel"/>
    <w:tmpl w:val="C3DC4FF4"/>
    <w:lvl w:ilvl="0">
      <w:start w:val="1"/>
      <w:numFmt w:val="lowerLetter"/>
      <w:pStyle w:val="NumberedList"/>
      <w:lvlText w:val="(%1)"/>
      <w:lvlJc w:val="left"/>
      <w:pPr>
        <w:tabs>
          <w:tab w:val="num" w:pos="720"/>
        </w:tabs>
        <w:ind w:left="720" w:hanging="720"/>
      </w:pPr>
      <w:rPr>
        <w:rFonts w:hint="default"/>
      </w:rPr>
    </w:lvl>
  </w:abstractNum>
  <w:abstractNum w:abstractNumId="12" w15:restartNumberingAfterBreak="0">
    <w:nsid w:val="36703717"/>
    <w:multiLevelType w:val="hybridMultilevel"/>
    <w:tmpl w:val="2624BD64"/>
    <w:lvl w:ilvl="0" w:tplc="FFFFFFFF">
      <w:start w:val="1"/>
      <w:numFmt w:val="lowerLetter"/>
      <w:lvlText w:val="(%1)"/>
      <w:lvlJc w:val="left"/>
      <w:pPr>
        <w:ind w:left="1425" w:hanging="705"/>
      </w:pPr>
      <w:rPr>
        <w:rFonts w:hint="default"/>
      </w:rPr>
    </w:lvl>
    <w:lvl w:ilvl="1" w:tplc="FFFFFFFF">
      <w:start w:val="1"/>
      <w:numFmt w:val="lowerRoman"/>
      <w:lvlText w:val="(%2)"/>
      <w:lvlJc w:val="left"/>
      <w:pPr>
        <w:ind w:left="1800" w:hanging="360"/>
      </w:pPr>
      <w:rPr>
        <w:rFonts w:hint="default"/>
        <w:sz w:val="24"/>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7BD0CB4"/>
    <w:multiLevelType w:val="hybridMultilevel"/>
    <w:tmpl w:val="04A2F85A"/>
    <w:lvl w:ilvl="0" w:tplc="B81A5F82">
      <w:start w:val="1"/>
      <w:numFmt w:val="bullet"/>
      <w:pStyle w:val="a"/>
      <w:lvlText w:val=""/>
      <w:lvlJc w:val="left"/>
      <w:pPr>
        <w:tabs>
          <w:tab w:val="num" w:pos="660"/>
        </w:tabs>
        <w:ind w:left="660" w:hanging="480"/>
      </w:pPr>
      <w:rPr>
        <w:rFonts w:ascii="Wingdings" w:hAnsi="Wingdings" w:hint="default"/>
        <w:color w:val="FF0000"/>
        <w:sz w:val="22"/>
        <w:szCs w:val="22"/>
      </w:rPr>
    </w:lvl>
    <w:lvl w:ilvl="1" w:tplc="8FDEA926">
      <w:start w:val="1"/>
      <w:numFmt w:val="bullet"/>
      <w:lvlText w:val=""/>
      <w:lvlJc w:val="left"/>
      <w:pPr>
        <w:tabs>
          <w:tab w:val="num" w:pos="1200"/>
        </w:tabs>
        <w:ind w:left="1200" w:hanging="720"/>
      </w:pPr>
      <w:rPr>
        <w:rFonts w:ascii="Symbol" w:hAnsi="Symbol" w:hint="default"/>
      </w:rPr>
    </w:lvl>
    <w:lvl w:ilvl="2" w:tplc="A63CEA4C">
      <w:start w:val="6"/>
      <w:numFmt w:val="bullet"/>
      <w:lvlText w:val="–"/>
      <w:lvlJc w:val="left"/>
      <w:pPr>
        <w:tabs>
          <w:tab w:val="num" w:pos="1320"/>
        </w:tabs>
        <w:ind w:left="1320" w:hanging="360"/>
      </w:pPr>
      <w:rPr>
        <w:rFonts w:ascii="Arial" w:eastAsia="Arial" w:hAnsi="Arial" w:cs="Arial" w:hint="default"/>
      </w:rPr>
    </w:lvl>
    <w:lvl w:ilvl="3" w:tplc="03F62DB6" w:tentative="1">
      <w:start w:val="1"/>
      <w:numFmt w:val="bullet"/>
      <w:lvlText w:val=""/>
      <w:lvlJc w:val="left"/>
      <w:pPr>
        <w:tabs>
          <w:tab w:val="num" w:pos="1920"/>
        </w:tabs>
        <w:ind w:left="1920" w:hanging="480"/>
      </w:pPr>
      <w:rPr>
        <w:rFonts w:ascii="Wingdings" w:hAnsi="Wingdings" w:hint="default"/>
      </w:rPr>
    </w:lvl>
    <w:lvl w:ilvl="4" w:tplc="0D7C88AE" w:tentative="1">
      <w:start w:val="1"/>
      <w:numFmt w:val="bullet"/>
      <w:lvlText w:val=""/>
      <w:lvlJc w:val="left"/>
      <w:pPr>
        <w:tabs>
          <w:tab w:val="num" w:pos="2400"/>
        </w:tabs>
        <w:ind w:left="2400" w:hanging="480"/>
      </w:pPr>
      <w:rPr>
        <w:rFonts w:ascii="Wingdings" w:hAnsi="Wingdings" w:hint="default"/>
      </w:rPr>
    </w:lvl>
    <w:lvl w:ilvl="5" w:tplc="DFE88C40" w:tentative="1">
      <w:start w:val="1"/>
      <w:numFmt w:val="bullet"/>
      <w:lvlText w:val=""/>
      <w:lvlJc w:val="left"/>
      <w:pPr>
        <w:tabs>
          <w:tab w:val="num" w:pos="2880"/>
        </w:tabs>
        <w:ind w:left="2880" w:hanging="480"/>
      </w:pPr>
      <w:rPr>
        <w:rFonts w:ascii="Wingdings" w:hAnsi="Wingdings" w:hint="default"/>
      </w:rPr>
    </w:lvl>
    <w:lvl w:ilvl="6" w:tplc="FAE26316" w:tentative="1">
      <w:start w:val="1"/>
      <w:numFmt w:val="bullet"/>
      <w:lvlText w:val=""/>
      <w:lvlJc w:val="left"/>
      <w:pPr>
        <w:tabs>
          <w:tab w:val="num" w:pos="3360"/>
        </w:tabs>
        <w:ind w:left="3360" w:hanging="480"/>
      </w:pPr>
      <w:rPr>
        <w:rFonts w:ascii="Wingdings" w:hAnsi="Wingdings" w:hint="default"/>
      </w:rPr>
    </w:lvl>
    <w:lvl w:ilvl="7" w:tplc="DE1422D6" w:tentative="1">
      <w:start w:val="1"/>
      <w:numFmt w:val="bullet"/>
      <w:lvlText w:val=""/>
      <w:lvlJc w:val="left"/>
      <w:pPr>
        <w:tabs>
          <w:tab w:val="num" w:pos="3840"/>
        </w:tabs>
        <w:ind w:left="3840" w:hanging="480"/>
      </w:pPr>
      <w:rPr>
        <w:rFonts w:ascii="Wingdings" w:hAnsi="Wingdings" w:hint="default"/>
      </w:rPr>
    </w:lvl>
    <w:lvl w:ilvl="8" w:tplc="B810B3D8"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9D26DF4"/>
    <w:multiLevelType w:val="hybridMultilevel"/>
    <w:tmpl w:val="E21E55D8"/>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224A15"/>
    <w:multiLevelType w:val="hybridMultilevel"/>
    <w:tmpl w:val="9F701FA4"/>
    <w:lvl w:ilvl="0" w:tplc="AF38A386">
      <w:start w:val="1"/>
      <w:numFmt w:val="lowerLetter"/>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15:restartNumberingAfterBreak="0">
    <w:nsid w:val="406F1157"/>
    <w:multiLevelType w:val="singleLevel"/>
    <w:tmpl w:val="9214A48E"/>
    <w:lvl w:ilvl="0">
      <w:start w:val="1"/>
      <w:numFmt w:val="decimal"/>
      <w:pStyle w:val="List"/>
      <w:lvlText w:val="%1."/>
      <w:lvlJc w:val="left"/>
      <w:pPr>
        <w:tabs>
          <w:tab w:val="num" w:pos="1440"/>
        </w:tabs>
        <w:ind w:left="1440" w:hanging="720"/>
      </w:pPr>
      <w:rPr>
        <w:rFonts w:ascii="Arial" w:hAnsi="Arial" w:hint="default"/>
        <w:sz w:val="24"/>
      </w:rPr>
    </w:lvl>
  </w:abstractNum>
  <w:abstractNum w:abstractNumId="17" w15:restartNumberingAfterBreak="0">
    <w:nsid w:val="40D85C24"/>
    <w:multiLevelType w:val="hybridMultilevel"/>
    <w:tmpl w:val="0D64FC36"/>
    <w:lvl w:ilvl="0" w:tplc="27D2FAA4">
      <w:start w:val="1"/>
      <w:numFmt w:val="lowerLetter"/>
      <w:lvlText w:val="(%1)"/>
      <w:lvlJc w:val="left"/>
      <w:pPr>
        <w:ind w:left="1132" w:hanging="446"/>
      </w:pPr>
      <w:rPr>
        <w:rFonts w:hint="default"/>
      </w:r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0F" w:tentative="1">
      <w:start w:val="1"/>
      <w:numFmt w:val="decimal"/>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18" w15:restartNumberingAfterBreak="0">
    <w:nsid w:val="4168707E"/>
    <w:multiLevelType w:val="hybridMultilevel"/>
    <w:tmpl w:val="3580DEE0"/>
    <w:lvl w:ilvl="0" w:tplc="180AA430">
      <w:start w:val="1"/>
      <w:numFmt w:val="lowerLetter"/>
      <w:lvlText w:val="(%1)"/>
      <w:lvlJc w:val="left"/>
      <w:pPr>
        <w:ind w:left="1164" w:hanging="44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7CB6C18"/>
    <w:multiLevelType w:val="hybridMultilevel"/>
    <w:tmpl w:val="3AF64498"/>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0" w15:restartNumberingAfterBreak="0">
    <w:nsid w:val="51D81270"/>
    <w:multiLevelType w:val="hybridMultilevel"/>
    <w:tmpl w:val="14A67436"/>
    <w:lvl w:ilvl="0" w:tplc="FFFFFFFF">
      <w:start w:val="2"/>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9745D2"/>
    <w:multiLevelType w:val="hybridMultilevel"/>
    <w:tmpl w:val="9EF2176E"/>
    <w:lvl w:ilvl="0" w:tplc="FFFFFFFF">
      <w:start w:val="1"/>
      <w:numFmt w:val="lowerLetter"/>
      <w:lvlText w:val="(%1)"/>
      <w:lvlJc w:val="left"/>
      <w:pPr>
        <w:ind w:left="2204" w:hanging="720"/>
      </w:pPr>
      <w:rPr>
        <w:rFonts w:hint="default"/>
      </w:rPr>
    </w:lvl>
    <w:lvl w:ilvl="1" w:tplc="FFFFFFFF" w:tentative="1">
      <w:start w:val="1"/>
      <w:numFmt w:val="lowerLetter"/>
      <w:lvlText w:val="%2."/>
      <w:lvlJc w:val="left"/>
      <w:pPr>
        <w:ind w:left="1484" w:hanging="360"/>
      </w:pPr>
    </w:lvl>
    <w:lvl w:ilvl="2" w:tplc="FFFFFFFF" w:tentative="1">
      <w:start w:val="1"/>
      <w:numFmt w:val="lowerRoman"/>
      <w:lvlText w:val="%3."/>
      <w:lvlJc w:val="right"/>
      <w:pPr>
        <w:ind w:left="2204" w:hanging="180"/>
      </w:pPr>
    </w:lvl>
    <w:lvl w:ilvl="3" w:tplc="FFFFFFFF" w:tentative="1">
      <w:start w:val="1"/>
      <w:numFmt w:val="decimal"/>
      <w:lvlText w:val="%4."/>
      <w:lvlJc w:val="left"/>
      <w:pPr>
        <w:ind w:left="2924" w:hanging="360"/>
      </w:pPr>
    </w:lvl>
    <w:lvl w:ilvl="4" w:tplc="FFFFFFFF" w:tentative="1">
      <w:start w:val="1"/>
      <w:numFmt w:val="lowerLetter"/>
      <w:lvlText w:val="%5."/>
      <w:lvlJc w:val="left"/>
      <w:pPr>
        <w:ind w:left="3644" w:hanging="360"/>
      </w:pPr>
    </w:lvl>
    <w:lvl w:ilvl="5" w:tplc="FFFFFFFF" w:tentative="1">
      <w:start w:val="1"/>
      <w:numFmt w:val="lowerRoman"/>
      <w:lvlText w:val="%6."/>
      <w:lvlJc w:val="right"/>
      <w:pPr>
        <w:ind w:left="4364" w:hanging="180"/>
      </w:pPr>
    </w:lvl>
    <w:lvl w:ilvl="6" w:tplc="FFFFFFFF" w:tentative="1">
      <w:start w:val="1"/>
      <w:numFmt w:val="decimal"/>
      <w:lvlText w:val="%7."/>
      <w:lvlJc w:val="left"/>
      <w:pPr>
        <w:ind w:left="5084" w:hanging="360"/>
      </w:pPr>
    </w:lvl>
    <w:lvl w:ilvl="7" w:tplc="FFFFFFFF" w:tentative="1">
      <w:start w:val="1"/>
      <w:numFmt w:val="lowerLetter"/>
      <w:lvlText w:val="%8."/>
      <w:lvlJc w:val="left"/>
      <w:pPr>
        <w:ind w:left="5804" w:hanging="360"/>
      </w:pPr>
    </w:lvl>
    <w:lvl w:ilvl="8" w:tplc="FFFFFFFF" w:tentative="1">
      <w:start w:val="1"/>
      <w:numFmt w:val="lowerRoman"/>
      <w:lvlText w:val="%9."/>
      <w:lvlJc w:val="right"/>
      <w:pPr>
        <w:ind w:left="6524" w:hanging="180"/>
      </w:pPr>
    </w:lvl>
  </w:abstractNum>
  <w:abstractNum w:abstractNumId="22" w15:restartNumberingAfterBreak="0">
    <w:nsid w:val="58700244"/>
    <w:multiLevelType w:val="hybridMultilevel"/>
    <w:tmpl w:val="3AF64498"/>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3" w15:restartNumberingAfterBreak="0">
    <w:nsid w:val="5AAF2DA6"/>
    <w:multiLevelType w:val="hybridMultilevel"/>
    <w:tmpl w:val="3FCA76F6"/>
    <w:lvl w:ilvl="0" w:tplc="FFFFFFFF">
      <w:start w:val="1"/>
      <w:numFmt w:val="lowerRoman"/>
      <w:lvlText w:val="(%1)"/>
      <w:lvlJc w:val="left"/>
      <w:pPr>
        <w:ind w:left="216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5C0F082C"/>
    <w:multiLevelType w:val="hybridMultilevel"/>
    <w:tmpl w:val="7458AEB6"/>
    <w:lvl w:ilvl="0" w:tplc="CDEEA5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1F07E4E"/>
    <w:multiLevelType w:val="hybridMultilevel"/>
    <w:tmpl w:val="05BE9E5E"/>
    <w:lvl w:ilvl="0" w:tplc="422CE4FA">
      <w:start w:val="1"/>
      <w:numFmt w:val="lowerLetter"/>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15:restartNumberingAfterBreak="0">
    <w:nsid w:val="68B81A32"/>
    <w:multiLevelType w:val="hybridMultilevel"/>
    <w:tmpl w:val="239693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40F2623"/>
    <w:multiLevelType w:val="hybridMultilevel"/>
    <w:tmpl w:val="8F423D70"/>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986933"/>
    <w:multiLevelType w:val="hybridMultilevel"/>
    <w:tmpl w:val="25A6CE12"/>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4A1EC7"/>
    <w:multiLevelType w:val="hybridMultilevel"/>
    <w:tmpl w:val="B0F6429C"/>
    <w:lvl w:ilvl="0" w:tplc="982A2700">
      <w:start w:val="3"/>
      <w:numFmt w:val="bullet"/>
      <w:lvlText w:val="-"/>
      <w:lvlJc w:val="left"/>
      <w:pPr>
        <w:ind w:left="360" w:hanging="360"/>
      </w:pPr>
      <w:rPr>
        <w:rFonts w:ascii="Calibri" w:eastAsia="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11"/>
  </w:num>
  <w:num w:numId="4">
    <w:abstractNumId w:val="13"/>
  </w:num>
  <w:num w:numId="5">
    <w:abstractNumId w:val="10"/>
  </w:num>
  <w:num w:numId="6">
    <w:abstractNumId w:val="8"/>
  </w:num>
  <w:num w:numId="7">
    <w:abstractNumId w:val="3"/>
  </w:num>
  <w:num w:numId="8">
    <w:abstractNumId w:val="5"/>
  </w:num>
  <w:num w:numId="9">
    <w:abstractNumId w:val="15"/>
  </w:num>
  <w:num w:numId="10">
    <w:abstractNumId w:val="4"/>
  </w:num>
  <w:num w:numId="11">
    <w:abstractNumId w:val="26"/>
  </w:num>
  <w:num w:numId="12">
    <w:abstractNumId w:val="21"/>
  </w:num>
  <w:num w:numId="13">
    <w:abstractNumId w:val="12"/>
  </w:num>
  <w:num w:numId="14">
    <w:abstractNumId w:val="14"/>
  </w:num>
  <w:num w:numId="15">
    <w:abstractNumId w:val="27"/>
  </w:num>
  <w:num w:numId="16">
    <w:abstractNumId w:val="28"/>
  </w:num>
  <w:num w:numId="17">
    <w:abstractNumId w:val="9"/>
  </w:num>
  <w:num w:numId="18">
    <w:abstractNumId w:val="19"/>
  </w:num>
  <w:num w:numId="19">
    <w:abstractNumId w:val="7"/>
  </w:num>
  <w:num w:numId="20">
    <w:abstractNumId w:val="22"/>
  </w:num>
  <w:num w:numId="21">
    <w:abstractNumId w:val="29"/>
  </w:num>
  <w:num w:numId="22">
    <w:abstractNumId w:val="17"/>
  </w:num>
  <w:num w:numId="23">
    <w:abstractNumId w:val="24"/>
  </w:num>
  <w:num w:numId="24">
    <w:abstractNumId w:val="16"/>
  </w:num>
  <w:num w:numId="25">
    <w:abstractNumId w:val="2"/>
  </w:num>
  <w:num w:numId="26">
    <w:abstractNumId w:val="20"/>
  </w:num>
  <w:num w:numId="27">
    <w:abstractNumId w:val="18"/>
  </w:num>
  <w:num w:numId="28">
    <w:abstractNumId w:val="23"/>
  </w:num>
  <w:num w:numId="29">
    <w:abstractNumId w:val="25"/>
  </w:num>
  <w:num w:numId="3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2"/>
  <w:characterSpacingControl w:val="compressPunctuation"/>
  <w:hdrShapeDefaults>
    <o:shapedefaults v:ext="edit" spidmax="378881">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1DD0A30-A4B9-4419-894D-53CAA91EDC17}"/>
    <w:docVar w:name="dgnword-eventsink" w:val="322071328"/>
    <w:docVar w:name="dgnword-lastRevisionsView" w:val="0"/>
  </w:docVars>
  <w:rsids>
    <w:rsidRoot w:val="00DE1C6C"/>
    <w:rsid w:val="00000B55"/>
    <w:rsid w:val="00001326"/>
    <w:rsid w:val="00001340"/>
    <w:rsid w:val="0000182C"/>
    <w:rsid w:val="00001DA5"/>
    <w:rsid w:val="00005078"/>
    <w:rsid w:val="0000552E"/>
    <w:rsid w:val="0000596B"/>
    <w:rsid w:val="0000640E"/>
    <w:rsid w:val="00006DF4"/>
    <w:rsid w:val="00006E58"/>
    <w:rsid w:val="000078FD"/>
    <w:rsid w:val="000103E0"/>
    <w:rsid w:val="00010825"/>
    <w:rsid w:val="000114B5"/>
    <w:rsid w:val="00011724"/>
    <w:rsid w:val="00011A7D"/>
    <w:rsid w:val="00011B32"/>
    <w:rsid w:val="00011C4F"/>
    <w:rsid w:val="00011E84"/>
    <w:rsid w:val="0001240C"/>
    <w:rsid w:val="00012F4D"/>
    <w:rsid w:val="00013104"/>
    <w:rsid w:val="000136FB"/>
    <w:rsid w:val="00013EBF"/>
    <w:rsid w:val="000156B9"/>
    <w:rsid w:val="00015CA6"/>
    <w:rsid w:val="00016011"/>
    <w:rsid w:val="00017606"/>
    <w:rsid w:val="00017659"/>
    <w:rsid w:val="00017AED"/>
    <w:rsid w:val="00017D35"/>
    <w:rsid w:val="00020187"/>
    <w:rsid w:val="00020824"/>
    <w:rsid w:val="00021636"/>
    <w:rsid w:val="00021B0C"/>
    <w:rsid w:val="0002249C"/>
    <w:rsid w:val="00022BC8"/>
    <w:rsid w:val="00022D28"/>
    <w:rsid w:val="00023194"/>
    <w:rsid w:val="000247E9"/>
    <w:rsid w:val="00025829"/>
    <w:rsid w:val="000261BD"/>
    <w:rsid w:val="00026EB1"/>
    <w:rsid w:val="00026EB5"/>
    <w:rsid w:val="00027865"/>
    <w:rsid w:val="00027F0A"/>
    <w:rsid w:val="00027F1A"/>
    <w:rsid w:val="00030E0F"/>
    <w:rsid w:val="00031072"/>
    <w:rsid w:val="0003184D"/>
    <w:rsid w:val="00031DA5"/>
    <w:rsid w:val="00032C12"/>
    <w:rsid w:val="00032DD6"/>
    <w:rsid w:val="00032F4D"/>
    <w:rsid w:val="0003345C"/>
    <w:rsid w:val="00033640"/>
    <w:rsid w:val="000346AA"/>
    <w:rsid w:val="00035C7E"/>
    <w:rsid w:val="00036450"/>
    <w:rsid w:val="00036BFC"/>
    <w:rsid w:val="0003764A"/>
    <w:rsid w:val="00040A38"/>
    <w:rsid w:val="0004162C"/>
    <w:rsid w:val="00041CAC"/>
    <w:rsid w:val="00042089"/>
    <w:rsid w:val="00042586"/>
    <w:rsid w:val="000426B6"/>
    <w:rsid w:val="00043930"/>
    <w:rsid w:val="00043A0F"/>
    <w:rsid w:val="00043E55"/>
    <w:rsid w:val="0004409B"/>
    <w:rsid w:val="0004440C"/>
    <w:rsid w:val="000453E5"/>
    <w:rsid w:val="00045449"/>
    <w:rsid w:val="000465D7"/>
    <w:rsid w:val="00046A07"/>
    <w:rsid w:val="00047213"/>
    <w:rsid w:val="000478D5"/>
    <w:rsid w:val="00050068"/>
    <w:rsid w:val="0005012E"/>
    <w:rsid w:val="000501D9"/>
    <w:rsid w:val="0005060D"/>
    <w:rsid w:val="000509F1"/>
    <w:rsid w:val="00050BD4"/>
    <w:rsid w:val="000514B7"/>
    <w:rsid w:val="00051751"/>
    <w:rsid w:val="00051CAB"/>
    <w:rsid w:val="0005206E"/>
    <w:rsid w:val="000521AC"/>
    <w:rsid w:val="00052B6B"/>
    <w:rsid w:val="0005302F"/>
    <w:rsid w:val="0005365A"/>
    <w:rsid w:val="00053782"/>
    <w:rsid w:val="00054CC3"/>
    <w:rsid w:val="00054CDD"/>
    <w:rsid w:val="000556E3"/>
    <w:rsid w:val="00055B35"/>
    <w:rsid w:val="00055BAE"/>
    <w:rsid w:val="000568DC"/>
    <w:rsid w:val="00056AFA"/>
    <w:rsid w:val="00056E21"/>
    <w:rsid w:val="000578D8"/>
    <w:rsid w:val="00057CE3"/>
    <w:rsid w:val="00057E1E"/>
    <w:rsid w:val="000603D3"/>
    <w:rsid w:val="00060BEF"/>
    <w:rsid w:val="000622F1"/>
    <w:rsid w:val="000627DE"/>
    <w:rsid w:val="00062ACC"/>
    <w:rsid w:val="00063449"/>
    <w:rsid w:val="000653A3"/>
    <w:rsid w:val="00065509"/>
    <w:rsid w:val="0006612A"/>
    <w:rsid w:val="00066590"/>
    <w:rsid w:val="00066B6C"/>
    <w:rsid w:val="00066FD2"/>
    <w:rsid w:val="00067CD8"/>
    <w:rsid w:val="00067ECB"/>
    <w:rsid w:val="00070C53"/>
    <w:rsid w:val="00070F27"/>
    <w:rsid w:val="00071EB0"/>
    <w:rsid w:val="00072002"/>
    <w:rsid w:val="0007253C"/>
    <w:rsid w:val="00072614"/>
    <w:rsid w:val="000734DF"/>
    <w:rsid w:val="000744D7"/>
    <w:rsid w:val="00075432"/>
    <w:rsid w:val="00076110"/>
    <w:rsid w:val="00077B42"/>
    <w:rsid w:val="00077E10"/>
    <w:rsid w:val="0008059E"/>
    <w:rsid w:val="00080995"/>
    <w:rsid w:val="00080FA3"/>
    <w:rsid w:val="0008149E"/>
    <w:rsid w:val="00081A81"/>
    <w:rsid w:val="00081BEE"/>
    <w:rsid w:val="0008218A"/>
    <w:rsid w:val="0008236B"/>
    <w:rsid w:val="000823DF"/>
    <w:rsid w:val="000826AA"/>
    <w:rsid w:val="00082BA3"/>
    <w:rsid w:val="000830C6"/>
    <w:rsid w:val="000832BA"/>
    <w:rsid w:val="000832F9"/>
    <w:rsid w:val="000838D4"/>
    <w:rsid w:val="00083B6E"/>
    <w:rsid w:val="00083CD7"/>
    <w:rsid w:val="00084796"/>
    <w:rsid w:val="00084A35"/>
    <w:rsid w:val="000851BB"/>
    <w:rsid w:val="000852C1"/>
    <w:rsid w:val="000859E1"/>
    <w:rsid w:val="00085B00"/>
    <w:rsid w:val="00085D00"/>
    <w:rsid w:val="000865F2"/>
    <w:rsid w:val="00086E1C"/>
    <w:rsid w:val="00090B7D"/>
    <w:rsid w:val="00090C0D"/>
    <w:rsid w:val="00090D8F"/>
    <w:rsid w:val="000910C2"/>
    <w:rsid w:val="0009171A"/>
    <w:rsid w:val="00091EAC"/>
    <w:rsid w:val="0009284F"/>
    <w:rsid w:val="00092B3A"/>
    <w:rsid w:val="00093553"/>
    <w:rsid w:val="00094229"/>
    <w:rsid w:val="00096528"/>
    <w:rsid w:val="00097186"/>
    <w:rsid w:val="00097D3E"/>
    <w:rsid w:val="000A005F"/>
    <w:rsid w:val="000A0938"/>
    <w:rsid w:val="000A0EEA"/>
    <w:rsid w:val="000A1C4C"/>
    <w:rsid w:val="000A205C"/>
    <w:rsid w:val="000A24B8"/>
    <w:rsid w:val="000A24F2"/>
    <w:rsid w:val="000A2B24"/>
    <w:rsid w:val="000A2EAF"/>
    <w:rsid w:val="000A5B04"/>
    <w:rsid w:val="000A6489"/>
    <w:rsid w:val="000A67C5"/>
    <w:rsid w:val="000A6B0C"/>
    <w:rsid w:val="000A7266"/>
    <w:rsid w:val="000A75A0"/>
    <w:rsid w:val="000A7984"/>
    <w:rsid w:val="000B0168"/>
    <w:rsid w:val="000B04CF"/>
    <w:rsid w:val="000B04F0"/>
    <w:rsid w:val="000B1A2A"/>
    <w:rsid w:val="000B1B5D"/>
    <w:rsid w:val="000B33C2"/>
    <w:rsid w:val="000B37EA"/>
    <w:rsid w:val="000B4E7D"/>
    <w:rsid w:val="000B5AE8"/>
    <w:rsid w:val="000B62A2"/>
    <w:rsid w:val="000B665C"/>
    <w:rsid w:val="000B763F"/>
    <w:rsid w:val="000B7730"/>
    <w:rsid w:val="000C13A8"/>
    <w:rsid w:val="000C19B7"/>
    <w:rsid w:val="000C330C"/>
    <w:rsid w:val="000C36EE"/>
    <w:rsid w:val="000C48E8"/>
    <w:rsid w:val="000C4FCC"/>
    <w:rsid w:val="000C57FE"/>
    <w:rsid w:val="000C60B3"/>
    <w:rsid w:val="000C62AF"/>
    <w:rsid w:val="000C646F"/>
    <w:rsid w:val="000C77CA"/>
    <w:rsid w:val="000C77DC"/>
    <w:rsid w:val="000C79DC"/>
    <w:rsid w:val="000D0CA6"/>
    <w:rsid w:val="000D1328"/>
    <w:rsid w:val="000D1D8B"/>
    <w:rsid w:val="000D26D7"/>
    <w:rsid w:val="000D277D"/>
    <w:rsid w:val="000D328D"/>
    <w:rsid w:val="000D3636"/>
    <w:rsid w:val="000D418A"/>
    <w:rsid w:val="000D4379"/>
    <w:rsid w:val="000D4839"/>
    <w:rsid w:val="000D4BF5"/>
    <w:rsid w:val="000D4E84"/>
    <w:rsid w:val="000D5842"/>
    <w:rsid w:val="000D5CF4"/>
    <w:rsid w:val="000D5E11"/>
    <w:rsid w:val="000D6FFE"/>
    <w:rsid w:val="000D7C6A"/>
    <w:rsid w:val="000E143F"/>
    <w:rsid w:val="000E3A31"/>
    <w:rsid w:val="000E3C38"/>
    <w:rsid w:val="000E3CC1"/>
    <w:rsid w:val="000E3CD2"/>
    <w:rsid w:val="000E482C"/>
    <w:rsid w:val="000E4E4F"/>
    <w:rsid w:val="000E500C"/>
    <w:rsid w:val="000E5523"/>
    <w:rsid w:val="000E5F05"/>
    <w:rsid w:val="000E634C"/>
    <w:rsid w:val="000E69DB"/>
    <w:rsid w:val="000E7451"/>
    <w:rsid w:val="000E754B"/>
    <w:rsid w:val="000E7579"/>
    <w:rsid w:val="000F0D6C"/>
    <w:rsid w:val="000F17E5"/>
    <w:rsid w:val="000F3883"/>
    <w:rsid w:val="000F3F7A"/>
    <w:rsid w:val="000F3FEE"/>
    <w:rsid w:val="000F4CEF"/>
    <w:rsid w:val="000F5040"/>
    <w:rsid w:val="000F6260"/>
    <w:rsid w:val="000F6777"/>
    <w:rsid w:val="000F6A40"/>
    <w:rsid w:val="000F767C"/>
    <w:rsid w:val="000F78C5"/>
    <w:rsid w:val="001008C1"/>
    <w:rsid w:val="0010093A"/>
    <w:rsid w:val="00100FDF"/>
    <w:rsid w:val="001010AC"/>
    <w:rsid w:val="00101A26"/>
    <w:rsid w:val="00101B6C"/>
    <w:rsid w:val="001033F6"/>
    <w:rsid w:val="00103431"/>
    <w:rsid w:val="001037D8"/>
    <w:rsid w:val="00103C45"/>
    <w:rsid w:val="001053EA"/>
    <w:rsid w:val="00105519"/>
    <w:rsid w:val="0010685E"/>
    <w:rsid w:val="00106889"/>
    <w:rsid w:val="001074F0"/>
    <w:rsid w:val="00110013"/>
    <w:rsid w:val="001101B6"/>
    <w:rsid w:val="001105BD"/>
    <w:rsid w:val="00110756"/>
    <w:rsid w:val="00110A12"/>
    <w:rsid w:val="001117EF"/>
    <w:rsid w:val="00113993"/>
    <w:rsid w:val="0011413D"/>
    <w:rsid w:val="0011509B"/>
    <w:rsid w:val="00115DB8"/>
    <w:rsid w:val="00116F0D"/>
    <w:rsid w:val="00116F89"/>
    <w:rsid w:val="001172D7"/>
    <w:rsid w:val="00117C71"/>
    <w:rsid w:val="00117EC8"/>
    <w:rsid w:val="00120421"/>
    <w:rsid w:val="001212EC"/>
    <w:rsid w:val="00121360"/>
    <w:rsid w:val="00121ADB"/>
    <w:rsid w:val="00121B8B"/>
    <w:rsid w:val="0012296C"/>
    <w:rsid w:val="001230C3"/>
    <w:rsid w:val="001236D6"/>
    <w:rsid w:val="00123784"/>
    <w:rsid w:val="0012381D"/>
    <w:rsid w:val="001238F2"/>
    <w:rsid w:val="001239EE"/>
    <w:rsid w:val="00124018"/>
    <w:rsid w:val="00124ADD"/>
    <w:rsid w:val="00124C4C"/>
    <w:rsid w:val="0012564F"/>
    <w:rsid w:val="0012641D"/>
    <w:rsid w:val="0012678F"/>
    <w:rsid w:val="001267FA"/>
    <w:rsid w:val="001268E0"/>
    <w:rsid w:val="00127686"/>
    <w:rsid w:val="00131774"/>
    <w:rsid w:val="00131999"/>
    <w:rsid w:val="00131AB5"/>
    <w:rsid w:val="001328C4"/>
    <w:rsid w:val="00132CAA"/>
    <w:rsid w:val="00133155"/>
    <w:rsid w:val="001336F0"/>
    <w:rsid w:val="0013371F"/>
    <w:rsid w:val="00133D85"/>
    <w:rsid w:val="00133E79"/>
    <w:rsid w:val="00134306"/>
    <w:rsid w:val="0013499C"/>
    <w:rsid w:val="001359E8"/>
    <w:rsid w:val="00135C95"/>
    <w:rsid w:val="00136BBA"/>
    <w:rsid w:val="0014045A"/>
    <w:rsid w:val="00141171"/>
    <w:rsid w:val="00142DE0"/>
    <w:rsid w:val="0014352C"/>
    <w:rsid w:val="00143A55"/>
    <w:rsid w:val="00143D28"/>
    <w:rsid w:val="00143D36"/>
    <w:rsid w:val="001441DF"/>
    <w:rsid w:val="00144C90"/>
    <w:rsid w:val="00144E45"/>
    <w:rsid w:val="001451D2"/>
    <w:rsid w:val="001454D9"/>
    <w:rsid w:val="00146AEF"/>
    <w:rsid w:val="00146B7A"/>
    <w:rsid w:val="00146FFF"/>
    <w:rsid w:val="00147E88"/>
    <w:rsid w:val="00150D6A"/>
    <w:rsid w:val="0015214B"/>
    <w:rsid w:val="00153BD8"/>
    <w:rsid w:val="001542F0"/>
    <w:rsid w:val="001551FB"/>
    <w:rsid w:val="001552BE"/>
    <w:rsid w:val="001564A4"/>
    <w:rsid w:val="0015680F"/>
    <w:rsid w:val="00156FF4"/>
    <w:rsid w:val="00157380"/>
    <w:rsid w:val="00157415"/>
    <w:rsid w:val="00161845"/>
    <w:rsid w:val="00161D07"/>
    <w:rsid w:val="001620BE"/>
    <w:rsid w:val="00162536"/>
    <w:rsid w:val="00162ABD"/>
    <w:rsid w:val="00162BAD"/>
    <w:rsid w:val="00162D14"/>
    <w:rsid w:val="00163900"/>
    <w:rsid w:val="00164FC3"/>
    <w:rsid w:val="00165ECE"/>
    <w:rsid w:val="0016628E"/>
    <w:rsid w:val="001666BD"/>
    <w:rsid w:val="001668C5"/>
    <w:rsid w:val="00166905"/>
    <w:rsid w:val="00167500"/>
    <w:rsid w:val="00167E9F"/>
    <w:rsid w:val="001705F7"/>
    <w:rsid w:val="00170F93"/>
    <w:rsid w:val="001710D2"/>
    <w:rsid w:val="001713E6"/>
    <w:rsid w:val="001723A6"/>
    <w:rsid w:val="001728C5"/>
    <w:rsid w:val="001737A9"/>
    <w:rsid w:val="001749F1"/>
    <w:rsid w:val="00174D4C"/>
    <w:rsid w:val="001750A8"/>
    <w:rsid w:val="00175648"/>
    <w:rsid w:val="00175CFB"/>
    <w:rsid w:val="00176D30"/>
    <w:rsid w:val="00176E29"/>
    <w:rsid w:val="00177A52"/>
    <w:rsid w:val="00177BE4"/>
    <w:rsid w:val="00177E54"/>
    <w:rsid w:val="00180105"/>
    <w:rsid w:val="0018025F"/>
    <w:rsid w:val="001806D0"/>
    <w:rsid w:val="001806E6"/>
    <w:rsid w:val="0018160F"/>
    <w:rsid w:val="00183022"/>
    <w:rsid w:val="00183367"/>
    <w:rsid w:val="00183396"/>
    <w:rsid w:val="00183497"/>
    <w:rsid w:val="00183653"/>
    <w:rsid w:val="00183999"/>
    <w:rsid w:val="00183CB7"/>
    <w:rsid w:val="00183ED0"/>
    <w:rsid w:val="00183F91"/>
    <w:rsid w:val="001841F9"/>
    <w:rsid w:val="0018482F"/>
    <w:rsid w:val="00184992"/>
    <w:rsid w:val="00184A31"/>
    <w:rsid w:val="001850AE"/>
    <w:rsid w:val="00185CF0"/>
    <w:rsid w:val="00186759"/>
    <w:rsid w:val="0018711E"/>
    <w:rsid w:val="00187500"/>
    <w:rsid w:val="00190526"/>
    <w:rsid w:val="0019085D"/>
    <w:rsid w:val="00190FD2"/>
    <w:rsid w:val="001910ED"/>
    <w:rsid w:val="00191C85"/>
    <w:rsid w:val="00192007"/>
    <w:rsid w:val="001923A1"/>
    <w:rsid w:val="001923BF"/>
    <w:rsid w:val="00192CDF"/>
    <w:rsid w:val="00194F15"/>
    <w:rsid w:val="0019648A"/>
    <w:rsid w:val="001973F8"/>
    <w:rsid w:val="001975A7"/>
    <w:rsid w:val="0019776E"/>
    <w:rsid w:val="001A016D"/>
    <w:rsid w:val="001A02CB"/>
    <w:rsid w:val="001A081B"/>
    <w:rsid w:val="001A13EC"/>
    <w:rsid w:val="001A199A"/>
    <w:rsid w:val="001A1FFA"/>
    <w:rsid w:val="001A2AE5"/>
    <w:rsid w:val="001A2CA6"/>
    <w:rsid w:val="001A3234"/>
    <w:rsid w:val="001A344C"/>
    <w:rsid w:val="001A3E90"/>
    <w:rsid w:val="001A4012"/>
    <w:rsid w:val="001A4277"/>
    <w:rsid w:val="001A43C4"/>
    <w:rsid w:val="001A43D6"/>
    <w:rsid w:val="001A4530"/>
    <w:rsid w:val="001A48E5"/>
    <w:rsid w:val="001A4D76"/>
    <w:rsid w:val="001A5317"/>
    <w:rsid w:val="001A551C"/>
    <w:rsid w:val="001A6680"/>
    <w:rsid w:val="001A6CA3"/>
    <w:rsid w:val="001A6D1B"/>
    <w:rsid w:val="001A72AC"/>
    <w:rsid w:val="001A79F9"/>
    <w:rsid w:val="001B0289"/>
    <w:rsid w:val="001B05DC"/>
    <w:rsid w:val="001B0678"/>
    <w:rsid w:val="001B09ED"/>
    <w:rsid w:val="001B1088"/>
    <w:rsid w:val="001B127B"/>
    <w:rsid w:val="001B12C9"/>
    <w:rsid w:val="001B251F"/>
    <w:rsid w:val="001B289D"/>
    <w:rsid w:val="001B3670"/>
    <w:rsid w:val="001B4D7A"/>
    <w:rsid w:val="001B52BC"/>
    <w:rsid w:val="001B531B"/>
    <w:rsid w:val="001B5E53"/>
    <w:rsid w:val="001B6AD9"/>
    <w:rsid w:val="001B6E00"/>
    <w:rsid w:val="001B6EEC"/>
    <w:rsid w:val="001B75AB"/>
    <w:rsid w:val="001B7797"/>
    <w:rsid w:val="001B7A00"/>
    <w:rsid w:val="001B7A14"/>
    <w:rsid w:val="001C03F4"/>
    <w:rsid w:val="001C07B2"/>
    <w:rsid w:val="001C0F49"/>
    <w:rsid w:val="001C1539"/>
    <w:rsid w:val="001C27DC"/>
    <w:rsid w:val="001C2C1A"/>
    <w:rsid w:val="001C33BE"/>
    <w:rsid w:val="001C3AAA"/>
    <w:rsid w:val="001C443B"/>
    <w:rsid w:val="001C4520"/>
    <w:rsid w:val="001C47F6"/>
    <w:rsid w:val="001C5857"/>
    <w:rsid w:val="001C586A"/>
    <w:rsid w:val="001C5C7C"/>
    <w:rsid w:val="001D089A"/>
    <w:rsid w:val="001D0D31"/>
    <w:rsid w:val="001D0FB5"/>
    <w:rsid w:val="001D182E"/>
    <w:rsid w:val="001D1908"/>
    <w:rsid w:val="001D2805"/>
    <w:rsid w:val="001D28B8"/>
    <w:rsid w:val="001D2940"/>
    <w:rsid w:val="001D3412"/>
    <w:rsid w:val="001D43C9"/>
    <w:rsid w:val="001D44E9"/>
    <w:rsid w:val="001D493B"/>
    <w:rsid w:val="001D510C"/>
    <w:rsid w:val="001D5ACF"/>
    <w:rsid w:val="001D5D40"/>
    <w:rsid w:val="001D5E1E"/>
    <w:rsid w:val="001D69C6"/>
    <w:rsid w:val="001D6F88"/>
    <w:rsid w:val="001D73DC"/>
    <w:rsid w:val="001D7DCE"/>
    <w:rsid w:val="001E0016"/>
    <w:rsid w:val="001E0701"/>
    <w:rsid w:val="001E1C37"/>
    <w:rsid w:val="001E1CB6"/>
    <w:rsid w:val="001E2B8B"/>
    <w:rsid w:val="001E2BC2"/>
    <w:rsid w:val="001E30BB"/>
    <w:rsid w:val="001E35EC"/>
    <w:rsid w:val="001E38FD"/>
    <w:rsid w:val="001E3F76"/>
    <w:rsid w:val="001E4147"/>
    <w:rsid w:val="001E532F"/>
    <w:rsid w:val="001E550D"/>
    <w:rsid w:val="001E5EE5"/>
    <w:rsid w:val="001E60DC"/>
    <w:rsid w:val="001E6302"/>
    <w:rsid w:val="001F0AC5"/>
    <w:rsid w:val="001F118E"/>
    <w:rsid w:val="001F3861"/>
    <w:rsid w:val="001F39EB"/>
    <w:rsid w:val="001F4250"/>
    <w:rsid w:val="001F45C9"/>
    <w:rsid w:val="001F5D32"/>
    <w:rsid w:val="001F7636"/>
    <w:rsid w:val="00200BAF"/>
    <w:rsid w:val="00200D50"/>
    <w:rsid w:val="00201A7D"/>
    <w:rsid w:val="002021DD"/>
    <w:rsid w:val="00202313"/>
    <w:rsid w:val="00202E1D"/>
    <w:rsid w:val="00202F75"/>
    <w:rsid w:val="002030E1"/>
    <w:rsid w:val="00203681"/>
    <w:rsid w:val="00203792"/>
    <w:rsid w:val="002043F1"/>
    <w:rsid w:val="0020498D"/>
    <w:rsid w:val="00205121"/>
    <w:rsid w:val="002058D1"/>
    <w:rsid w:val="00205DAC"/>
    <w:rsid w:val="00205F07"/>
    <w:rsid w:val="00207092"/>
    <w:rsid w:val="0020774A"/>
    <w:rsid w:val="00207DBE"/>
    <w:rsid w:val="00207F81"/>
    <w:rsid w:val="00210880"/>
    <w:rsid w:val="00211210"/>
    <w:rsid w:val="002113A8"/>
    <w:rsid w:val="00211AD5"/>
    <w:rsid w:val="002125E0"/>
    <w:rsid w:val="00212B4E"/>
    <w:rsid w:val="00212CB5"/>
    <w:rsid w:val="00213107"/>
    <w:rsid w:val="00213701"/>
    <w:rsid w:val="0021389D"/>
    <w:rsid w:val="00213F37"/>
    <w:rsid w:val="002141FB"/>
    <w:rsid w:val="00214D0D"/>
    <w:rsid w:val="00214F5F"/>
    <w:rsid w:val="00215838"/>
    <w:rsid w:val="002158A9"/>
    <w:rsid w:val="0021608D"/>
    <w:rsid w:val="00216210"/>
    <w:rsid w:val="002162C5"/>
    <w:rsid w:val="00216500"/>
    <w:rsid w:val="00217745"/>
    <w:rsid w:val="00217850"/>
    <w:rsid w:val="00220338"/>
    <w:rsid w:val="00220B81"/>
    <w:rsid w:val="00220C14"/>
    <w:rsid w:val="00223FBD"/>
    <w:rsid w:val="00224006"/>
    <w:rsid w:val="00225B37"/>
    <w:rsid w:val="00226575"/>
    <w:rsid w:val="00226A91"/>
    <w:rsid w:val="00226C07"/>
    <w:rsid w:val="00226DD9"/>
    <w:rsid w:val="002279C9"/>
    <w:rsid w:val="002307E0"/>
    <w:rsid w:val="00230957"/>
    <w:rsid w:val="00230AF5"/>
    <w:rsid w:val="00230B92"/>
    <w:rsid w:val="00230FA9"/>
    <w:rsid w:val="00231DE7"/>
    <w:rsid w:val="0023269B"/>
    <w:rsid w:val="00232C27"/>
    <w:rsid w:val="00232D48"/>
    <w:rsid w:val="0023314C"/>
    <w:rsid w:val="002333A5"/>
    <w:rsid w:val="00233901"/>
    <w:rsid w:val="00234163"/>
    <w:rsid w:val="00234CC9"/>
    <w:rsid w:val="00235350"/>
    <w:rsid w:val="00235503"/>
    <w:rsid w:val="002359BA"/>
    <w:rsid w:val="00236199"/>
    <w:rsid w:val="002366E9"/>
    <w:rsid w:val="002369C3"/>
    <w:rsid w:val="00237E44"/>
    <w:rsid w:val="00240319"/>
    <w:rsid w:val="002403BF"/>
    <w:rsid w:val="00240BA7"/>
    <w:rsid w:val="00241E39"/>
    <w:rsid w:val="0024358B"/>
    <w:rsid w:val="00243842"/>
    <w:rsid w:val="002438C2"/>
    <w:rsid w:val="00243EA5"/>
    <w:rsid w:val="0024413C"/>
    <w:rsid w:val="002446FF"/>
    <w:rsid w:val="002452DA"/>
    <w:rsid w:val="002453A2"/>
    <w:rsid w:val="00245949"/>
    <w:rsid w:val="00245A97"/>
    <w:rsid w:val="00245D98"/>
    <w:rsid w:val="00246484"/>
    <w:rsid w:val="00246FD0"/>
    <w:rsid w:val="00250368"/>
    <w:rsid w:val="00250673"/>
    <w:rsid w:val="00250D62"/>
    <w:rsid w:val="00251CAB"/>
    <w:rsid w:val="00251D03"/>
    <w:rsid w:val="00251DA4"/>
    <w:rsid w:val="00251F49"/>
    <w:rsid w:val="00252DDD"/>
    <w:rsid w:val="00253585"/>
    <w:rsid w:val="002544FF"/>
    <w:rsid w:val="002547BC"/>
    <w:rsid w:val="002549E1"/>
    <w:rsid w:val="00254A6F"/>
    <w:rsid w:val="00255651"/>
    <w:rsid w:val="00256920"/>
    <w:rsid w:val="00257100"/>
    <w:rsid w:val="00257140"/>
    <w:rsid w:val="002575D7"/>
    <w:rsid w:val="002578F2"/>
    <w:rsid w:val="00260252"/>
    <w:rsid w:val="00260395"/>
    <w:rsid w:val="002608E6"/>
    <w:rsid w:val="00261111"/>
    <w:rsid w:val="00262036"/>
    <w:rsid w:val="002634D8"/>
    <w:rsid w:val="00263ABE"/>
    <w:rsid w:val="00263F3D"/>
    <w:rsid w:val="00264318"/>
    <w:rsid w:val="00265022"/>
    <w:rsid w:val="00265F7A"/>
    <w:rsid w:val="0026627E"/>
    <w:rsid w:val="0026629C"/>
    <w:rsid w:val="00266A47"/>
    <w:rsid w:val="00267F28"/>
    <w:rsid w:val="00272AC9"/>
    <w:rsid w:val="0027318C"/>
    <w:rsid w:val="002734A5"/>
    <w:rsid w:val="00273912"/>
    <w:rsid w:val="00274445"/>
    <w:rsid w:val="00274B6C"/>
    <w:rsid w:val="002751B0"/>
    <w:rsid w:val="002755AD"/>
    <w:rsid w:val="00276733"/>
    <w:rsid w:val="00276CD6"/>
    <w:rsid w:val="002770C8"/>
    <w:rsid w:val="00277736"/>
    <w:rsid w:val="00277852"/>
    <w:rsid w:val="00277903"/>
    <w:rsid w:val="00277A65"/>
    <w:rsid w:val="0028047D"/>
    <w:rsid w:val="00281266"/>
    <w:rsid w:val="002813BC"/>
    <w:rsid w:val="002827FA"/>
    <w:rsid w:val="002832AC"/>
    <w:rsid w:val="002836B3"/>
    <w:rsid w:val="0028376E"/>
    <w:rsid w:val="002839A0"/>
    <w:rsid w:val="00283BF1"/>
    <w:rsid w:val="002843B3"/>
    <w:rsid w:val="002845DB"/>
    <w:rsid w:val="002852C9"/>
    <w:rsid w:val="00285C9F"/>
    <w:rsid w:val="00285D69"/>
    <w:rsid w:val="002866D3"/>
    <w:rsid w:val="00286E13"/>
    <w:rsid w:val="0028786F"/>
    <w:rsid w:val="002878CF"/>
    <w:rsid w:val="002879AF"/>
    <w:rsid w:val="00287DD2"/>
    <w:rsid w:val="002903B0"/>
    <w:rsid w:val="00290EFA"/>
    <w:rsid w:val="00291041"/>
    <w:rsid w:val="002919C3"/>
    <w:rsid w:val="00291D91"/>
    <w:rsid w:val="00291E8D"/>
    <w:rsid w:val="002923DE"/>
    <w:rsid w:val="002924EF"/>
    <w:rsid w:val="002929E7"/>
    <w:rsid w:val="00294FF0"/>
    <w:rsid w:val="002953FD"/>
    <w:rsid w:val="0029544A"/>
    <w:rsid w:val="00295CC9"/>
    <w:rsid w:val="0029646A"/>
    <w:rsid w:val="00296CFB"/>
    <w:rsid w:val="002970FA"/>
    <w:rsid w:val="0029780F"/>
    <w:rsid w:val="00297BB4"/>
    <w:rsid w:val="002A0AAB"/>
    <w:rsid w:val="002A3E5A"/>
    <w:rsid w:val="002A431C"/>
    <w:rsid w:val="002A5CFE"/>
    <w:rsid w:val="002A6AB1"/>
    <w:rsid w:val="002B06E6"/>
    <w:rsid w:val="002B1378"/>
    <w:rsid w:val="002B18A5"/>
    <w:rsid w:val="002B1F44"/>
    <w:rsid w:val="002B27CF"/>
    <w:rsid w:val="002B2827"/>
    <w:rsid w:val="002B290E"/>
    <w:rsid w:val="002B2A76"/>
    <w:rsid w:val="002B2B42"/>
    <w:rsid w:val="002B470D"/>
    <w:rsid w:val="002B4712"/>
    <w:rsid w:val="002B61B5"/>
    <w:rsid w:val="002B631E"/>
    <w:rsid w:val="002B68A8"/>
    <w:rsid w:val="002B6B8F"/>
    <w:rsid w:val="002B6BBA"/>
    <w:rsid w:val="002B6D7E"/>
    <w:rsid w:val="002B73C6"/>
    <w:rsid w:val="002B7897"/>
    <w:rsid w:val="002C067C"/>
    <w:rsid w:val="002C10D8"/>
    <w:rsid w:val="002C115D"/>
    <w:rsid w:val="002C223A"/>
    <w:rsid w:val="002C24CB"/>
    <w:rsid w:val="002C26CC"/>
    <w:rsid w:val="002C2845"/>
    <w:rsid w:val="002C2EDC"/>
    <w:rsid w:val="002C3195"/>
    <w:rsid w:val="002C411B"/>
    <w:rsid w:val="002C4350"/>
    <w:rsid w:val="002C445F"/>
    <w:rsid w:val="002C4F16"/>
    <w:rsid w:val="002C57CD"/>
    <w:rsid w:val="002C5875"/>
    <w:rsid w:val="002C5B8E"/>
    <w:rsid w:val="002C66E6"/>
    <w:rsid w:val="002C67A2"/>
    <w:rsid w:val="002C6C3F"/>
    <w:rsid w:val="002D021A"/>
    <w:rsid w:val="002D0446"/>
    <w:rsid w:val="002D0854"/>
    <w:rsid w:val="002D2201"/>
    <w:rsid w:val="002D2C2E"/>
    <w:rsid w:val="002D2E08"/>
    <w:rsid w:val="002D36AB"/>
    <w:rsid w:val="002D4766"/>
    <w:rsid w:val="002D4853"/>
    <w:rsid w:val="002D4902"/>
    <w:rsid w:val="002D4B5F"/>
    <w:rsid w:val="002D55B2"/>
    <w:rsid w:val="002D5A46"/>
    <w:rsid w:val="002D5A75"/>
    <w:rsid w:val="002D61B6"/>
    <w:rsid w:val="002D6ADE"/>
    <w:rsid w:val="002D775B"/>
    <w:rsid w:val="002E1306"/>
    <w:rsid w:val="002E1E6D"/>
    <w:rsid w:val="002E2457"/>
    <w:rsid w:val="002E2A33"/>
    <w:rsid w:val="002E2E61"/>
    <w:rsid w:val="002E36D5"/>
    <w:rsid w:val="002E3D09"/>
    <w:rsid w:val="002E4918"/>
    <w:rsid w:val="002E4F7C"/>
    <w:rsid w:val="002E5647"/>
    <w:rsid w:val="002E638D"/>
    <w:rsid w:val="002E692E"/>
    <w:rsid w:val="002E6CA4"/>
    <w:rsid w:val="002E6D3B"/>
    <w:rsid w:val="002E703E"/>
    <w:rsid w:val="002E70CB"/>
    <w:rsid w:val="002E7F90"/>
    <w:rsid w:val="002F02E5"/>
    <w:rsid w:val="002F05FF"/>
    <w:rsid w:val="002F084E"/>
    <w:rsid w:val="002F141A"/>
    <w:rsid w:val="002F26FE"/>
    <w:rsid w:val="002F28E6"/>
    <w:rsid w:val="002F29AA"/>
    <w:rsid w:val="002F4D0F"/>
    <w:rsid w:val="002F50EC"/>
    <w:rsid w:val="002F66A9"/>
    <w:rsid w:val="002F682F"/>
    <w:rsid w:val="002F6BCC"/>
    <w:rsid w:val="002F7496"/>
    <w:rsid w:val="002F75DC"/>
    <w:rsid w:val="00300C56"/>
    <w:rsid w:val="003018A0"/>
    <w:rsid w:val="00302430"/>
    <w:rsid w:val="003026FF"/>
    <w:rsid w:val="00302B11"/>
    <w:rsid w:val="00302C45"/>
    <w:rsid w:val="00302CFF"/>
    <w:rsid w:val="00303CFD"/>
    <w:rsid w:val="00303EC7"/>
    <w:rsid w:val="00303FB0"/>
    <w:rsid w:val="00304152"/>
    <w:rsid w:val="0030511C"/>
    <w:rsid w:val="00306592"/>
    <w:rsid w:val="00306CBC"/>
    <w:rsid w:val="00306D54"/>
    <w:rsid w:val="00307B38"/>
    <w:rsid w:val="003100F2"/>
    <w:rsid w:val="003101A1"/>
    <w:rsid w:val="003103F2"/>
    <w:rsid w:val="003104AC"/>
    <w:rsid w:val="003105E6"/>
    <w:rsid w:val="00310754"/>
    <w:rsid w:val="00310B20"/>
    <w:rsid w:val="00311054"/>
    <w:rsid w:val="003119D4"/>
    <w:rsid w:val="00311FBC"/>
    <w:rsid w:val="00313724"/>
    <w:rsid w:val="003138D5"/>
    <w:rsid w:val="00313DCA"/>
    <w:rsid w:val="003144B4"/>
    <w:rsid w:val="00314876"/>
    <w:rsid w:val="00314879"/>
    <w:rsid w:val="00314BC6"/>
    <w:rsid w:val="00315E10"/>
    <w:rsid w:val="003163D4"/>
    <w:rsid w:val="003163D8"/>
    <w:rsid w:val="00316516"/>
    <w:rsid w:val="00317A09"/>
    <w:rsid w:val="00317D48"/>
    <w:rsid w:val="00317DAF"/>
    <w:rsid w:val="00317DD8"/>
    <w:rsid w:val="003203E0"/>
    <w:rsid w:val="0032042D"/>
    <w:rsid w:val="00320849"/>
    <w:rsid w:val="0032084E"/>
    <w:rsid w:val="00320BA1"/>
    <w:rsid w:val="00321E47"/>
    <w:rsid w:val="00321ECA"/>
    <w:rsid w:val="003220D3"/>
    <w:rsid w:val="0032292E"/>
    <w:rsid w:val="00322D4A"/>
    <w:rsid w:val="00322E10"/>
    <w:rsid w:val="00323236"/>
    <w:rsid w:val="00323522"/>
    <w:rsid w:val="00323A3C"/>
    <w:rsid w:val="00323F79"/>
    <w:rsid w:val="003246E1"/>
    <w:rsid w:val="00324936"/>
    <w:rsid w:val="003266D5"/>
    <w:rsid w:val="00327BDB"/>
    <w:rsid w:val="00330779"/>
    <w:rsid w:val="003312F4"/>
    <w:rsid w:val="00331AA3"/>
    <w:rsid w:val="0033230F"/>
    <w:rsid w:val="003324CB"/>
    <w:rsid w:val="0033346B"/>
    <w:rsid w:val="00333C0E"/>
    <w:rsid w:val="00333E73"/>
    <w:rsid w:val="00334519"/>
    <w:rsid w:val="003348BD"/>
    <w:rsid w:val="00334FD3"/>
    <w:rsid w:val="00335277"/>
    <w:rsid w:val="0033557B"/>
    <w:rsid w:val="00336613"/>
    <w:rsid w:val="0033680C"/>
    <w:rsid w:val="00340245"/>
    <w:rsid w:val="003409EE"/>
    <w:rsid w:val="00341F81"/>
    <w:rsid w:val="00342259"/>
    <w:rsid w:val="003423E4"/>
    <w:rsid w:val="00342432"/>
    <w:rsid w:val="00343076"/>
    <w:rsid w:val="0034314C"/>
    <w:rsid w:val="00343671"/>
    <w:rsid w:val="00343D09"/>
    <w:rsid w:val="00343E58"/>
    <w:rsid w:val="00345500"/>
    <w:rsid w:val="003459B3"/>
    <w:rsid w:val="00345E65"/>
    <w:rsid w:val="00345E9C"/>
    <w:rsid w:val="00346127"/>
    <w:rsid w:val="00346909"/>
    <w:rsid w:val="00346D94"/>
    <w:rsid w:val="00347A1C"/>
    <w:rsid w:val="00347A7A"/>
    <w:rsid w:val="00347F3B"/>
    <w:rsid w:val="003508B3"/>
    <w:rsid w:val="00350B5C"/>
    <w:rsid w:val="00350DA6"/>
    <w:rsid w:val="00350E3D"/>
    <w:rsid w:val="003513B3"/>
    <w:rsid w:val="00351DBA"/>
    <w:rsid w:val="0035250E"/>
    <w:rsid w:val="003528A7"/>
    <w:rsid w:val="003529B7"/>
    <w:rsid w:val="00352B16"/>
    <w:rsid w:val="00352C5C"/>
    <w:rsid w:val="00353891"/>
    <w:rsid w:val="0035530F"/>
    <w:rsid w:val="003553A9"/>
    <w:rsid w:val="00356E6F"/>
    <w:rsid w:val="003578A5"/>
    <w:rsid w:val="003578A6"/>
    <w:rsid w:val="00357968"/>
    <w:rsid w:val="00360185"/>
    <w:rsid w:val="00360D0E"/>
    <w:rsid w:val="003610BB"/>
    <w:rsid w:val="00361510"/>
    <w:rsid w:val="00362B68"/>
    <w:rsid w:val="00362DA2"/>
    <w:rsid w:val="003634A7"/>
    <w:rsid w:val="00363E05"/>
    <w:rsid w:val="003643FB"/>
    <w:rsid w:val="00364B1B"/>
    <w:rsid w:val="0036514C"/>
    <w:rsid w:val="00365811"/>
    <w:rsid w:val="00366CB7"/>
    <w:rsid w:val="00366EA9"/>
    <w:rsid w:val="00366F39"/>
    <w:rsid w:val="00367554"/>
    <w:rsid w:val="003700D8"/>
    <w:rsid w:val="00371584"/>
    <w:rsid w:val="003717F3"/>
    <w:rsid w:val="00372534"/>
    <w:rsid w:val="00372616"/>
    <w:rsid w:val="00372F81"/>
    <w:rsid w:val="0037345B"/>
    <w:rsid w:val="00373B29"/>
    <w:rsid w:val="00373EC2"/>
    <w:rsid w:val="00375598"/>
    <w:rsid w:val="00375CC1"/>
    <w:rsid w:val="0037629A"/>
    <w:rsid w:val="0037636D"/>
    <w:rsid w:val="003763D2"/>
    <w:rsid w:val="00376C0A"/>
    <w:rsid w:val="00376EA4"/>
    <w:rsid w:val="00377B55"/>
    <w:rsid w:val="00377E66"/>
    <w:rsid w:val="0038203E"/>
    <w:rsid w:val="003831A5"/>
    <w:rsid w:val="0038334D"/>
    <w:rsid w:val="00383350"/>
    <w:rsid w:val="00383421"/>
    <w:rsid w:val="003836E8"/>
    <w:rsid w:val="0038425E"/>
    <w:rsid w:val="00385A53"/>
    <w:rsid w:val="00385AF5"/>
    <w:rsid w:val="00385D2D"/>
    <w:rsid w:val="00385D61"/>
    <w:rsid w:val="00385E3A"/>
    <w:rsid w:val="0038610A"/>
    <w:rsid w:val="0038740A"/>
    <w:rsid w:val="003875F5"/>
    <w:rsid w:val="003879A1"/>
    <w:rsid w:val="003906C5"/>
    <w:rsid w:val="00390A28"/>
    <w:rsid w:val="00390D37"/>
    <w:rsid w:val="0039103F"/>
    <w:rsid w:val="003915C2"/>
    <w:rsid w:val="003919E5"/>
    <w:rsid w:val="00391F01"/>
    <w:rsid w:val="003920F8"/>
    <w:rsid w:val="003924FC"/>
    <w:rsid w:val="00392697"/>
    <w:rsid w:val="003935C2"/>
    <w:rsid w:val="003937FE"/>
    <w:rsid w:val="00393CE7"/>
    <w:rsid w:val="00394673"/>
    <w:rsid w:val="00394C65"/>
    <w:rsid w:val="00394D8D"/>
    <w:rsid w:val="00395026"/>
    <w:rsid w:val="00395209"/>
    <w:rsid w:val="00395226"/>
    <w:rsid w:val="0039630D"/>
    <w:rsid w:val="00396467"/>
    <w:rsid w:val="003975AB"/>
    <w:rsid w:val="00397CF9"/>
    <w:rsid w:val="003A01DD"/>
    <w:rsid w:val="003A20CB"/>
    <w:rsid w:val="003A27CC"/>
    <w:rsid w:val="003A2A41"/>
    <w:rsid w:val="003A409A"/>
    <w:rsid w:val="003A4CBD"/>
    <w:rsid w:val="003A4F0B"/>
    <w:rsid w:val="003A5271"/>
    <w:rsid w:val="003A5AE5"/>
    <w:rsid w:val="003A5EE7"/>
    <w:rsid w:val="003A6D3A"/>
    <w:rsid w:val="003B075C"/>
    <w:rsid w:val="003B0BEA"/>
    <w:rsid w:val="003B17D7"/>
    <w:rsid w:val="003B1A82"/>
    <w:rsid w:val="003B1CE9"/>
    <w:rsid w:val="003B29E5"/>
    <w:rsid w:val="003B2B77"/>
    <w:rsid w:val="003B2EEB"/>
    <w:rsid w:val="003B3400"/>
    <w:rsid w:val="003B4450"/>
    <w:rsid w:val="003B458C"/>
    <w:rsid w:val="003B46DC"/>
    <w:rsid w:val="003B58BA"/>
    <w:rsid w:val="003B5C17"/>
    <w:rsid w:val="003B7019"/>
    <w:rsid w:val="003B7E65"/>
    <w:rsid w:val="003C0A7D"/>
    <w:rsid w:val="003C0E78"/>
    <w:rsid w:val="003C0FF4"/>
    <w:rsid w:val="003C1EE0"/>
    <w:rsid w:val="003C3746"/>
    <w:rsid w:val="003C3A44"/>
    <w:rsid w:val="003C45F9"/>
    <w:rsid w:val="003C548A"/>
    <w:rsid w:val="003C5873"/>
    <w:rsid w:val="003C599A"/>
    <w:rsid w:val="003C685D"/>
    <w:rsid w:val="003C7276"/>
    <w:rsid w:val="003C7650"/>
    <w:rsid w:val="003C79C9"/>
    <w:rsid w:val="003C79FF"/>
    <w:rsid w:val="003D2707"/>
    <w:rsid w:val="003D2910"/>
    <w:rsid w:val="003D2947"/>
    <w:rsid w:val="003D389D"/>
    <w:rsid w:val="003D3E27"/>
    <w:rsid w:val="003D3F3D"/>
    <w:rsid w:val="003D487B"/>
    <w:rsid w:val="003D5EE8"/>
    <w:rsid w:val="003D5FC5"/>
    <w:rsid w:val="003D6273"/>
    <w:rsid w:val="003D6D21"/>
    <w:rsid w:val="003D7A5C"/>
    <w:rsid w:val="003E0522"/>
    <w:rsid w:val="003E12CE"/>
    <w:rsid w:val="003E1F3C"/>
    <w:rsid w:val="003E1FB2"/>
    <w:rsid w:val="003E305E"/>
    <w:rsid w:val="003E3923"/>
    <w:rsid w:val="003E3C2D"/>
    <w:rsid w:val="003E3C97"/>
    <w:rsid w:val="003E3F2D"/>
    <w:rsid w:val="003E3FCA"/>
    <w:rsid w:val="003E45E5"/>
    <w:rsid w:val="003E4E14"/>
    <w:rsid w:val="003E5C82"/>
    <w:rsid w:val="003E5EF6"/>
    <w:rsid w:val="003E6B3B"/>
    <w:rsid w:val="003E6F19"/>
    <w:rsid w:val="003E75E3"/>
    <w:rsid w:val="003E7791"/>
    <w:rsid w:val="003E7A96"/>
    <w:rsid w:val="003E7BFC"/>
    <w:rsid w:val="003E7D4A"/>
    <w:rsid w:val="003F01F2"/>
    <w:rsid w:val="003F097B"/>
    <w:rsid w:val="003F11AA"/>
    <w:rsid w:val="003F1EE1"/>
    <w:rsid w:val="003F208D"/>
    <w:rsid w:val="003F21EB"/>
    <w:rsid w:val="003F2342"/>
    <w:rsid w:val="003F2E5B"/>
    <w:rsid w:val="003F39C3"/>
    <w:rsid w:val="003F4787"/>
    <w:rsid w:val="003F4C1C"/>
    <w:rsid w:val="003F4C86"/>
    <w:rsid w:val="003F51A9"/>
    <w:rsid w:val="003F57D3"/>
    <w:rsid w:val="003F58A7"/>
    <w:rsid w:val="003F5B4D"/>
    <w:rsid w:val="003F63AF"/>
    <w:rsid w:val="003F6A4C"/>
    <w:rsid w:val="003F6E80"/>
    <w:rsid w:val="003F72FD"/>
    <w:rsid w:val="003F7CB0"/>
    <w:rsid w:val="003F7DC2"/>
    <w:rsid w:val="0040076C"/>
    <w:rsid w:val="00400816"/>
    <w:rsid w:val="00400882"/>
    <w:rsid w:val="004014E3"/>
    <w:rsid w:val="00401E15"/>
    <w:rsid w:val="004038D2"/>
    <w:rsid w:val="00404CC9"/>
    <w:rsid w:val="00404E35"/>
    <w:rsid w:val="00405189"/>
    <w:rsid w:val="00405414"/>
    <w:rsid w:val="0040647A"/>
    <w:rsid w:val="00406D07"/>
    <w:rsid w:val="00406F01"/>
    <w:rsid w:val="00407367"/>
    <w:rsid w:val="004074E7"/>
    <w:rsid w:val="00407EFF"/>
    <w:rsid w:val="00410698"/>
    <w:rsid w:val="00410920"/>
    <w:rsid w:val="0041165B"/>
    <w:rsid w:val="00412166"/>
    <w:rsid w:val="00412770"/>
    <w:rsid w:val="004131E8"/>
    <w:rsid w:val="00414DAC"/>
    <w:rsid w:val="00415122"/>
    <w:rsid w:val="00415420"/>
    <w:rsid w:val="00415FE3"/>
    <w:rsid w:val="0041647E"/>
    <w:rsid w:val="00417BE3"/>
    <w:rsid w:val="0042007F"/>
    <w:rsid w:val="0042042D"/>
    <w:rsid w:val="00420D9C"/>
    <w:rsid w:val="0042115F"/>
    <w:rsid w:val="004214BF"/>
    <w:rsid w:val="00421F84"/>
    <w:rsid w:val="004220A5"/>
    <w:rsid w:val="00422B45"/>
    <w:rsid w:val="00423933"/>
    <w:rsid w:val="00424BC9"/>
    <w:rsid w:val="0042588E"/>
    <w:rsid w:val="00425A6E"/>
    <w:rsid w:val="00426EB9"/>
    <w:rsid w:val="00427E60"/>
    <w:rsid w:val="0043029D"/>
    <w:rsid w:val="00430644"/>
    <w:rsid w:val="004308A9"/>
    <w:rsid w:val="00431374"/>
    <w:rsid w:val="004319D4"/>
    <w:rsid w:val="00431A0C"/>
    <w:rsid w:val="00431A91"/>
    <w:rsid w:val="00431B91"/>
    <w:rsid w:val="00432DEA"/>
    <w:rsid w:val="00433058"/>
    <w:rsid w:val="00434C98"/>
    <w:rsid w:val="00434F14"/>
    <w:rsid w:val="0043547B"/>
    <w:rsid w:val="0043578F"/>
    <w:rsid w:val="00435801"/>
    <w:rsid w:val="004358A1"/>
    <w:rsid w:val="00436232"/>
    <w:rsid w:val="00437361"/>
    <w:rsid w:val="00437ECC"/>
    <w:rsid w:val="0044072D"/>
    <w:rsid w:val="0044150E"/>
    <w:rsid w:val="00441C44"/>
    <w:rsid w:val="00441E59"/>
    <w:rsid w:val="00442B42"/>
    <w:rsid w:val="004433D7"/>
    <w:rsid w:val="00443C78"/>
    <w:rsid w:val="00443DB3"/>
    <w:rsid w:val="0044477A"/>
    <w:rsid w:val="00445525"/>
    <w:rsid w:val="00445A2E"/>
    <w:rsid w:val="0044683F"/>
    <w:rsid w:val="00447049"/>
    <w:rsid w:val="00447E4A"/>
    <w:rsid w:val="004502AE"/>
    <w:rsid w:val="00450869"/>
    <w:rsid w:val="00451238"/>
    <w:rsid w:val="00451C4D"/>
    <w:rsid w:val="00452FE2"/>
    <w:rsid w:val="0045386A"/>
    <w:rsid w:val="004547E2"/>
    <w:rsid w:val="0045489B"/>
    <w:rsid w:val="004548EF"/>
    <w:rsid w:val="00454A38"/>
    <w:rsid w:val="004560D8"/>
    <w:rsid w:val="00456299"/>
    <w:rsid w:val="00456447"/>
    <w:rsid w:val="00456612"/>
    <w:rsid w:val="004566C8"/>
    <w:rsid w:val="00457404"/>
    <w:rsid w:val="0045755D"/>
    <w:rsid w:val="00457A95"/>
    <w:rsid w:val="0046075E"/>
    <w:rsid w:val="00460A92"/>
    <w:rsid w:val="00461611"/>
    <w:rsid w:val="00462966"/>
    <w:rsid w:val="00462A0A"/>
    <w:rsid w:val="004633C4"/>
    <w:rsid w:val="00464702"/>
    <w:rsid w:val="00465232"/>
    <w:rsid w:val="00465515"/>
    <w:rsid w:val="00467451"/>
    <w:rsid w:val="004679C4"/>
    <w:rsid w:val="0047011D"/>
    <w:rsid w:val="00470170"/>
    <w:rsid w:val="00470404"/>
    <w:rsid w:val="00470FD6"/>
    <w:rsid w:val="004713B0"/>
    <w:rsid w:val="00472B51"/>
    <w:rsid w:val="00473ACB"/>
    <w:rsid w:val="00473C11"/>
    <w:rsid w:val="00473F61"/>
    <w:rsid w:val="0047438D"/>
    <w:rsid w:val="00475500"/>
    <w:rsid w:val="00476439"/>
    <w:rsid w:val="00476441"/>
    <w:rsid w:val="0047665A"/>
    <w:rsid w:val="00476986"/>
    <w:rsid w:val="0047706D"/>
    <w:rsid w:val="00477A90"/>
    <w:rsid w:val="00477C94"/>
    <w:rsid w:val="00480764"/>
    <w:rsid w:val="00480BD9"/>
    <w:rsid w:val="00482099"/>
    <w:rsid w:val="00482663"/>
    <w:rsid w:val="00482CA4"/>
    <w:rsid w:val="004839DA"/>
    <w:rsid w:val="004845A1"/>
    <w:rsid w:val="00484719"/>
    <w:rsid w:val="00484789"/>
    <w:rsid w:val="004847D5"/>
    <w:rsid w:val="00484B09"/>
    <w:rsid w:val="0048583A"/>
    <w:rsid w:val="004864B4"/>
    <w:rsid w:val="00486E13"/>
    <w:rsid w:val="004917C8"/>
    <w:rsid w:val="00491F45"/>
    <w:rsid w:val="004920F3"/>
    <w:rsid w:val="004923C7"/>
    <w:rsid w:val="00493B67"/>
    <w:rsid w:val="00493D27"/>
    <w:rsid w:val="00494529"/>
    <w:rsid w:val="0049472C"/>
    <w:rsid w:val="00495E90"/>
    <w:rsid w:val="00496C21"/>
    <w:rsid w:val="004971B8"/>
    <w:rsid w:val="004978D9"/>
    <w:rsid w:val="00497C70"/>
    <w:rsid w:val="004A00F9"/>
    <w:rsid w:val="004A08A4"/>
    <w:rsid w:val="004A0C6A"/>
    <w:rsid w:val="004A10CB"/>
    <w:rsid w:val="004A12FD"/>
    <w:rsid w:val="004A1C11"/>
    <w:rsid w:val="004A21CD"/>
    <w:rsid w:val="004A23D1"/>
    <w:rsid w:val="004A261E"/>
    <w:rsid w:val="004A34FD"/>
    <w:rsid w:val="004A3C2F"/>
    <w:rsid w:val="004A4A18"/>
    <w:rsid w:val="004A4CDE"/>
    <w:rsid w:val="004A4DC2"/>
    <w:rsid w:val="004A5586"/>
    <w:rsid w:val="004A57DC"/>
    <w:rsid w:val="004A5DB3"/>
    <w:rsid w:val="004A5DBD"/>
    <w:rsid w:val="004A5EE4"/>
    <w:rsid w:val="004A7044"/>
    <w:rsid w:val="004A719D"/>
    <w:rsid w:val="004A78F2"/>
    <w:rsid w:val="004A7B46"/>
    <w:rsid w:val="004A7DEE"/>
    <w:rsid w:val="004B07C5"/>
    <w:rsid w:val="004B09E8"/>
    <w:rsid w:val="004B0A6E"/>
    <w:rsid w:val="004B15FC"/>
    <w:rsid w:val="004B1663"/>
    <w:rsid w:val="004B3E61"/>
    <w:rsid w:val="004B4F0F"/>
    <w:rsid w:val="004B50F2"/>
    <w:rsid w:val="004B566F"/>
    <w:rsid w:val="004B5B09"/>
    <w:rsid w:val="004B5CF4"/>
    <w:rsid w:val="004B682D"/>
    <w:rsid w:val="004B6D48"/>
    <w:rsid w:val="004B70C1"/>
    <w:rsid w:val="004B71A3"/>
    <w:rsid w:val="004B7537"/>
    <w:rsid w:val="004B76B2"/>
    <w:rsid w:val="004C015E"/>
    <w:rsid w:val="004C03CC"/>
    <w:rsid w:val="004C0625"/>
    <w:rsid w:val="004C08D0"/>
    <w:rsid w:val="004C0E69"/>
    <w:rsid w:val="004C116C"/>
    <w:rsid w:val="004C1511"/>
    <w:rsid w:val="004C165D"/>
    <w:rsid w:val="004C237B"/>
    <w:rsid w:val="004C27D9"/>
    <w:rsid w:val="004C290A"/>
    <w:rsid w:val="004C2E4F"/>
    <w:rsid w:val="004C2FCD"/>
    <w:rsid w:val="004C3434"/>
    <w:rsid w:val="004C38E6"/>
    <w:rsid w:val="004C45CE"/>
    <w:rsid w:val="004C45F1"/>
    <w:rsid w:val="004C4A7E"/>
    <w:rsid w:val="004C4C43"/>
    <w:rsid w:val="004C50EB"/>
    <w:rsid w:val="004C5B75"/>
    <w:rsid w:val="004C63AA"/>
    <w:rsid w:val="004C69F7"/>
    <w:rsid w:val="004C713A"/>
    <w:rsid w:val="004C7A28"/>
    <w:rsid w:val="004C7FA9"/>
    <w:rsid w:val="004D038E"/>
    <w:rsid w:val="004D0D01"/>
    <w:rsid w:val="004D0D2B"/>
    <w:rsid w:val="004D1208"/>
    <w:rsid w:val="004D2021"/>
    <w:rsid w:val="004D24FE"/>
    <w:rsid w:val="004D30CA"/>
    <w:rsid w:val="004D326A"/>
    <w:rsid w:val="004D3443"/>
    <w:rsid w:val="004D38E2"/>
    <w:rsid w:val="004D4E77"/>
    <w:rsid w:val="004D5359"/>
    <w:rsid w:val="004D5FE9"/>
    <w:rsid w:val="004D6202"/>
    <w:rsid w:val="004D6587"/>
    <w:rsid w:val="004D76EE"/>
    <w:rsid w:val="004E0E66"/>
    <w:rsid w:val="004E1176"/>
    <w:rsid w:val="004E12BA"/>
    <w:rsid w:val="004E13D5"/>
    <w:rsid w:val="004E1F24"/>
    <w:rsid w:val="004E25AD"/>
    <w:rsid w:val="004E26E5"/>
    <w:rsid w:val="004E2D40"/>
    <w:rsid w:val="004E3A4A"/>
    <w:rsid w:val="004E4101"/>
    <w:rsid w:val="004E416A"/>
    <w:rsid w:val="004E4559"/>
    <w:rsid w:val="004E4C27"/>
    <w:rsid w:val="004E51C5"/>
    <w:rsid w:val="004E5BAE"/>
    <w:rsid w:val="004E5C51"/>
    <w:rsid w:val="004E7670"/>
    <w:rsid w:val="004E77A5"/>
    <w:rsid w:val="004E7915"/>
    <w:rsid w:val="004F149A"/>
    <w:rsid w:val="004F14BF"/>
    <w:rsid w:val="004F1870"/>
    <w:rsid w:val="004F2AAE"/>
    <w:rsid w:val="004F2B86"/>
    <w:rsid w:val="004F2D34"/>
    <w:rsid w:val="004F4009"/>
    <w:rsid w:val="004F431A"/>
    <w:rsid w:val="004F51D2"/>
    <w:rsid w:val="004F5872"/>
    <w:rsid w:val="004F5E92"/>
    <w:rsid w:val="004F68A5"/>
    <w:rsid w:val="004F7CF1"/>
    <w:rsid w:val="0050082B"/>
    <w:rsid w:val="00500C31"/>
    <w:rsid w:val="00502713"/>
    <w:rsid w:val="005028FA"/>
    <w:rsid w:val="00502EB3"/>
    <w:rsid w:val="0050333B"/>
    <w:rsid w:val="00503C2C"/>
    <w:rsid w:val="005049BD"/>
    <w:rsid w:val="00504A1B"/>
    <w:rsid w:val="005053C4"/>
    <w:rsid w:val="00505716"/>
    <w:rsid w:val="005057FC"/>
    <w:rsid w:val="00506324"/>
    <w:rsid w:val="005065C9"/>
    <w:rsid w:val="005068DA"/>
    <w:rsid w:val="00507737"/>
    <w:rsid w:val="005108D5"/>
    <w:rsid w:val="00511F76"/>
    <w:rsid w:val="0051282C"/>
    <w:rsid w:val="00513F9C"/>
    <w:rsid w:val="0051509A"/>
    <w:rsid w:val="005160E9"/>
    <w:rsid w:val="00517328"/>
    <w:rsid w:val="00517360"/>
    <w:rsid w:val="00517D15"/>
    <w:rsid w:val="00520509"/>
    <w:rsid w:val="0052072D"/>
    <w:rsid w:val="00522BB3"/>
    <w:rsid w:val="00523A0F"/>
    <w:rsid w:val="00523C02"/>
    <w:rsid w:val="00524B66"/>
    <w:rsid w:val="005252F0"/>
    <w:rsid w:val="00525D52"/>
    <w:rsid w:val="00526471"/>
    <w:rsid w:val="005264D0"/>
    <w:rsid w:val="00526C82"/>
    <w:rsid w:val="0052779F"/>
    <w:rsid w:val="00527930"/>
    <w:rsid w:val="00530EFB"/>
    <w:rsid w:val="005313CA"/>
    <w:rsid w:val="00531669"/>
    <w:rsid w:val="005317EC"/>
    <w:rsid w:val="0053191C"/>
    <w:rsid w:val="00531E47"/>
    <w:rsid w:val="00532BCD"/>
    <w:rsid w:val="005331F2"/>
    <w:rsid w:val="00534264"/>
    <w:rsid w:val="00534C38"/>
    <w:rsid w:val="005363F5"/>
    <w:rsid w:val="005373E5"/>
    <w:rsid w:val="00537B14"/>
    <w:rsid w:val="00537F0D"/>
    <w:rsid w:val="00540615"/>
    <w:rsid w:val="0054077F"/>
    <w:rsid w:val="005408B7"/>
    <w:rsid w:val="0054165B"/>
    <w:rsid w:val="00541FE5"/>
    <w:rsid w:val="00542A8B"/>
    <w:rsid w:val="00542BB0"/>
    <w:rsid w:val="00542CE4"/>
    <w:rsid w:val="00544E1A"/>
    <w:rsid w:val="00544FF6"/>
    <w:rsid w:val="005457FA"/>
    <w:rsid w:val="00546682"/>
    <w:rsid w:val="00546F72"/>
    <w:rsid w:val="00547472"/>
    <w:rsid w:val="00550544"/>
    <w:rsid w:val="00550567"/>
    <w:rsid w:val="005506F2"/>
    <w:rsid w:val="00550845"/>
    <w:rsid w:val="005511B9"/>
    <w:rsid w:val="005514CA"/>
    <w:rsid w:val="005517CD"/>
    <w:rsid w:val="00551A55"/>
    <w:rsid w:val="00551BF1"/>
    <w:rsid w:val="005521FA"/>
    <w:rsid w:val="00552ABC"/>
    <w:rsid w:val="00552D92"/>
    <w:rsid w:val="00552F57"/>
    <w:rsid w:val="00553048"/>
    <w:rsid w:val="0055361D"/>
    <w:rsid w:val="00554308"/>
    <w:rsid w:val="005548BA"/>
    <w:rsid w:val="00556027"/>
    <w:rsid w:val="0055747E"/>
    <w:rsid w:val="00560C71"/>
    <w:rsid w:val="00561091"/>
    <w:rsid w:val="0056174A"/>
    <w:rsid w:val="00561D3F"/>
    <w:rsid w:val="00562248"/>
    <w:rsid w:val="00562771"/>
    <w:rsid w:val="005641E6"/>
    <w:rsid w:val="0056431F"/>
    <w:rsid w:val="00564A42"/>
    <w:rsid w:val="00565401"/>
    <w:rsid w:val="00565958"/>
    <w:rsid w:val="005659AF"/>
    <w:rsid w:val="00565EF6"/>
    <w:rsid w:val="00565F68"/>
    <w:rsid w:val="00566110"/>
    <w:rsid w:val="005668E6"/>
    <w:rsid w:val="00566B0E"/>
    <w:rsid w:val="00566D58"/>
    <w:rsid w:val="005670C7"/>
    <w:rsid w:val="00567192"/>
    <w:rsid w:val="0056722E"/>
    <w:rsid w:val="00567520"/>
    <w:rsid w:val="005703E4"/>
    <w:rsid w:val="00570945"/>
    <w:rsid w:val="00570F24"/>
    <w:rsid w:val="005712F7"/>
    <w:rsid w:val="005713C5"/>
    <w:rsid w:val="00571918"/>
    <w:rsid w:val="005719E0"/>
    <w:rsid w:val="00571A34"/>
    <w:rsid w:val="00571AD8"/>
    <w:rsid w:val="00572C72"/>
    <w:rsid w:val="00573724"/>
    <w:rsid w:val="00574B86"/>
    <w:rsid w:val="00574FD2"/>
    <w:rsid w:val="0057555D"/>
    <w:rsid w:val="00575A37"/>
    <w:rsid w:val="00576AC9"/>
    <w:rsid w:val="00580438"/>
    <w:rsid w:val="00580ABD"/>
    <w:rsid w:val="005811E3"/>
    <w:rsid w:val="00581348"/>
    <w:rsid w:val="00582296"/>
    <w:rsid w:val="005829A4"/>
    <w:rsid w:val="005837F5"/>
    <w:rsid w:val="00583827"/>
    <w:rsid w:val="00583C4F"/>
    <w:rsid w:val="00583D1E"/>
    <w:rsid w:val="00583DB7"/>
    <w:rsid w:val="00583F72"/>
    <w:rsid w:val="005841F7"/>
    <w:rsid w:val="00584B30"/>
    <w:rsid w:val="00585997"/>
    <w:rsid w:val="005869A0"/>
    <w:rsid w:val="00587870"/>
    <w:rsid w:val="00590977"/>
    <w:rsid w:val="00592157"/>
    <w:rsid w:val="00592B9F"/>
    <w:rsid w:val="00593156"/>
    <w:rsid w:val="005933A4"/>
    <w:rsid w:val="00593665"/>
    <w:rsid w:val="0059368B"/>
    <w:rsid w:val="005936F2"/>
    <w:rsid w:val="005956EE"/>
    <w:rsid w:val="00595EE2"/>
    <w:rsid w:val="00596543"/>
    <w:rsid w:val="00596671"/>
    <w:rsid w:val="005969DC"/>
    <w:rsid w:val="00597100"/>
    <w:rsid w:val="005971E1"/>
    <w:rsid w:val="005977B0"/>
    <w:rsid w:val="0059796D"/>
    <w:rsid w:val="005A0470"/>
    <w:rsid w:val="005A11C9"/>
    <w:rsid w:val="005A214C"/>
    <w:rsid w:val="005A284B"/>
    <w:rsid w:val="005A2885"/>
    <w:rsid w:val="005A2DC0"/>
    <w:rsid w:val="005A3675"/>
    <w:rsid w:val="005A444A"/>
    <w:rsid w:val="005A4867"/>
    <w:rsid w:val="005A5649"/>
    <w:rsid w:val="005A6B65"/>
    <w:rsid w:val="005A7052"/>
    <w:rsid w:val="005A7F49"/>
    <w:rsid w:val="005B00D4"/>
    <w:rsid w:val="005B072B"/>
    <w:rsid w:val="005B12FA"/>
    <w:rsid w:val="005B3964"/>
    <w:rsid w:val="005B3A6F"/>
    <w:rsid w:val="005B46DC"/>
    <w:rsid w:val="005B482F"/>
    <w:rsid w:val="005B4909"/>
    <w:rsid w:val="005B498E"/>
    <w:rsid w:val="005B4BBC"/>
    <w:rsid w:val="005B5967"/>
    <w:rsid w:val="005B733F"/>
    <w:rsid w:val="005B7AAF"/>
    <w:rsid w:val="005B7F69"/>
    <w:rsid w:val="005C15E9"/>
    <w:rsid w:val="005C1ACD"/>
    <w:rsid w:val="005C20A8"/>
    <w:rsid w:val="005C2865"/>
    <w:rsid w:val="005C2D0A"/>
    <w:rsid w:val="005C2D15"/>
    <w:rsid w:val="005C3B6E"/>
    <w:rsid w:val="005C4544"/>
    <w:rsid w:val="005C486E"/>
    <w:rsid w:val="005C4C77"/>
    <w:rsid w:val="005C57BB"/>
    <w:rsid w:val="005C584D"/>
    <w:rsid w:val="005C618F"/>
    <w:rsid w:val="005C634F"/>
    <w:rsid w:val="005C66DB"/>
    <w:rsid w:val="005C66EF"/>
    <w:rsid w:val="005C7893"/>
    <w:rsid w:val="005D06A9"/>
    <w:rsid w:val="005D09F7"/>
    <w:rsid w:val="005D0F7A"/>
    <w:rsid w:val="005D1569"/>
    <w:rsid w:val="005D1D64"/>
    <w:rsid w:val="005D2BC1"/>
    <w:rsid w:val="005D3784"/>
    <w:rsid w:val="005D3839"/>
    <w:rsid w:val="005D386E"/>
    <w:rsid w:val="005D39BE"/>
    <w:rsid w:val="005D415C"/>
    <w:rsid w:val="005D4D88"/>
    <w:rsid w:val="005D55E8"/>
    <w:rsid w:val="005D57BA"/>
    <w:rsid w:val="005D5D24"/>
    <w:rsid w:val="005D6623"/>
    <w:rsid w:val="005D734B"/>
    <w:rsid w:val="005E041E"/>
    <w:rsid w:val="005E053C"/>
    <w:rsid w:val="005E0FD9"/>
    <w:rsid w:val="005E118F"/>
    <w:rsid w:val="005E14EF"/>
    <w:rsid w:val="005E15A6"/>
    <w:rsid w:val="005E1810"/>
    <w:rsid w:val="005E1DBD"/>
    <w:rsid w:val="005E2242"/>
    <w:rsid w:val="005E2461"/>
    <w:rsid w:val="005E298B"/>
    <w:rsid w:val="005E2F3D"/>
    <w:rsid w:val="005E35C6"/>
    <w:rsid w:val="005E38E2"/>
    <w:rsid w:val="005E3CA3"/>
    <w:rsid w:val="005E4E51"/>
    <w:rsid w:val="005E60C8"/>
    <w:rsid w:val="005E64B1"/>
    <w:rsid w:val="005E7CD6"/>
    <w:rsid w:val="005E7E44"/>
    <w:rsid w:val="005F0BA6"/>
    <w:rsid w:val="005F1505"/>
    <w:rsid w:val="005F1DEE"/>
    <w:rsid w:val="005F2AC2"/>
    <w:rsid w:val="005F31FF"/>
    <w:rsid w:val="005F440E"/>
    <w:rsid w:val="005F4B05"/>
    <w:rsid w:val="005F4B9A"/>
    <w:rsid w:val="005F4CDE"/>
    <w:rsid w:val="005F52CC"/>
    <w:rsid w:val="005F5E0B"/>
    <w:rsid w:val="005F6B5B"/>
    <w:rsid w:val="005F7FC5"/>
    <w:rsid w:val="0060019D"/>
    <w:rsid w:val="0060174F"/>
    <w:rsid w:val="00601DD0"/>
    <w:rsid w:val="00602083"/>
    <w:rsid w:val="0060219D"/>
    <w:rsid w:val="00602BFB"/>
    <w:rsid w:val="00603A45"/>
    <w:rsid w:val="00604595"/>
    <w:rsid w:val="00604961"/>
    <w:rsid w:val="00604D82"/>
    <w:rsid w:val="00605123"/>
    <w:rsid w:val="0060520F"/>
    <w:rsid w:val="00605C16"/>
    <w:rsid w:val="00606D55"/>
    <w:rsid w:val="00607E64"/>
    <w:rsid w:val="00610C5F"/>
    <w:rsid w:val="00611503"/>
    <w:rsid w:val="006122F6"/>
    <w:rsid w:val="00612570"/>
    <w:rsid w:val="006127B0"/>
    <w:rsid w:val="0061312F"/>
    <w:rsid w:val="00613578"/>
    <w:rsid w:val="00613BEC"/>
    <w:rsid w:val="00614E5B"/>
    <w:rsid w:val="006171F7"/>
    <w:rsid w:val="00617C3D"/>
    <w:rsid w:val="00617D3E"/>
    <w:rsid w:val="00620C97"/>
    <w:rsid w:val="00621CAB"/>
    <w:rsid w:val="00622094"/>
    <w:rsid w:val="00622644"/>
    <w:rsid w:val="006227C5"/>
    <w:rsid w:val="00622E28"/>
    <w:rsid w:val="00622E87"/>
    <w:rsid w:val="0062399E"/>
    <w:rsid w:val="00624058"/>
    <w:rsid w:val="006243A7"/>
    <w:rsid w:val="00626418"/>
    <w:rsid w:val="00627149"/>
    <w:rsid w:val="0062750E"/>
    <w:rsid w:val="00627B99"/>
    <w:rsid w:val="0063043A"/>
    <w:rsid w:val="00630472"/>
    <w:rsid w:val="00630828"/>
    <w:rsid w:val="00632ADC"/>
    <w:rsid w:val="006339E3"/>
    <w:rsid w:val="00633A53"/>
    <w:rsid w:val="00633BBF"/>
    <w:rsid w:val="00633CB6"/>
    <w:rsid w:val="00634492"/>
    <w:rsid w:val="00635B91"/>
    <w:rsid w:val="00635F29"/>
    <w:rsid w:val="0063624F"/>
    <w:rsid w:val="0064008A"/>
    <w:rsid w:val="00640B1D"/>
    <w:rsid w:val="00641F1E"/>
    <w:rsid w:val="00643597"/>
    <w:rsid w:val="00644539"/>
    <w:rsid w:val="00644670"/>
    <w:rsid w:val="00644861"/>
    <w:rsid w:val="00644C69"/>
    <w:rsid w:val="00645A90"/>
    <w:rsid w:val="00645D88"/>
    <w:rsid w:val="0064683F"/>
    <w:rsid w:val="006469A1"/>
    <w:rsid w:val="00646B98"/>
    <w:rsid w:val="00647EC9"/>
    <w:rsid w:val="0065029D"/>
    <w:rsid w:val="006504DE"/>
    <w:rsid w:val="00650ACA"/>
    <w:rsid w:val="00650E27"/>
    <w:rsid w:val="0065191A"/>
    <w:rsid w:val="00651B4F"/>
    <w:rsid w:val="0065247E"/>
    <w:rsid w:val="0065259E"/>
    <w:rsid w:val="006525CE"/>
    <w:rsid w:val="00652C57"/>
    <w:rsid w:val="00652F5E"/>
    <w:rsid w:val="0065330F"/>
    <w:rsid w:val="006533E9"/>
    <w:rsid w:val="006537C5"/>
    <w:rsid w:val="00653C83"/>
    <w:rsid w:val="00653CB1"/>
    <w:rsid w:val="0065400A"/>
    <w:rsid w:val="00654FD2"/>
    <w:rsid w:val="00655BB4"/>
    <w:rsid w:val="00655C4D"/>
    <w:rsid w:val="00656BCF"/>
    <w:rsid w:val="00656F25"/>
    <w:rsid w:val="00657954"/>
    <w:rsid w:val="00661986"/>
    <w:rsid w:val="00662A76"/>
    <w:rsid w:val="0066411F"/>
    <w:rsid w:val="006643AA"/>
    <w:rsid w:val="00664879"/>
    <w:rsid w:val="00664CAB"/>
    <w:rsid w:val="006657C0"/>
    <w:rsid w:val="00665F2E"/>
    <w:rsid w:val="0066647E"/>
    <w:rsid w:val="0066676C"/>
    <w:rsid w:val="00666FEC"/>
    <w:rsid w:val="00670CCC"/>
    <w:rsid w:val="00670D1C"/>
    <w:rsid w:val="00672388"/>
    <w:rsid w:val="00672C78"/>
    <w:rsid w:val="00673B8E"/>
    <w:rsid w:val="00673BE5"/>
    <w:rsid w:val="0067434F"/>
    <w:rsid w:val="00674F03"/>
    <w:rsid w:val="00675374"/>
    <w:rsid w:val="0067579A"/>
    <w:rsid w:val="006759E3"/>
    <w:rsid w:val="00675B51"/>
    <w:rsid w:val="00675F4B"/>
    <w:rsid w:val="00676540"/>
    <w:rsid w:val="0067680B"/>
    <w:rsid w:val="00676E83"/>
    <w:rsid w:val="00677DED"/>
    <w:rsid w:val="00680445"/>
    <w:rsid w:val="006804C0"/>
    <w:rsid w:val="006820CA"/>
    <w:rsid w:val="00682D6A"/>
    <w:rsid w:val="00683118"/>
    <w:rsid w:val="006831A3"/>
    <w:rsid w:val="0068324A"/>
    <w:rsid w:val="00683284"/>
    <w:rsid w:val="0068408F"/>
    <w:rsid w:val="0068474A"/>
    <w:rsid w:val="00685636"/>
    <w:rsid w:val="00685AEF"/>
    <w:rsid w:val="00685D27"/>
    <w:rsid w:val="00685F5D"/>
    <w:rsid w:val="00686B04"/>
    <w:rsid w:val="00687496"/>
    <w:rsid w:val="00690477"/>
    <w:rsid w:val="006912BC"/>
    <w:rsid w:val="00691868"/>
    <w:rsid w:val="00691AC7"/>
    <w:rsid w:val="0069209D"/>
    <w:rsid w:val="006925A9"/>
    <w:rsid w:val="006928FC"/>
    <w:rsid w:val="00692B85"/>
    <w:rsid w:val="00692BD1"/>
    <w:rsid w:val="00693379"/>
    <w:rsid w:val="00693C4B"/>
    <w:rsid w:val="00694CA6"/>
    <w:rsid w:val="00694F73"/>
    <w:rsid w:val="006957FB"/>
    <w:rsid w:val="00695816"/>
    <w:rsid w:val="00695960"/>
    <w:rsid w:val="006959DA"/>
    <w:rsid w:val="00695F8B"/>
    <w:rsid w:val="00695FE9"/>
    <w:rsid w:val="00697459"/>
    <w:rsid w:val="00697D14"/>
    <w:rsid w:val="006A0332"/>
    <w:rsid w:val="006A056A"/>
    <w:rsid w:val="006A07BB"/>
    <w:rsid w:val="006A0C73"/>
    <w:rsid w:val="006A1506"/>
    <w:rsid w:val="006A1A7D"/>
    <w:rsid w:val="006A2259"/>
    <w:rsid w:val="006A2BFE"/>
    <w:rsid w:val="006A304C"/>
    <w:rsid w:val="006A323B"/>
    <w:rsid w:val="006A323F"/>
    <w:rsid w:val="006A3414"/>
    <w:rsid w:val="006A3BFD"/>
    <w:rsid w:val="006A4591"/>
    <w:rsid w:val="006A48AC"/>
    <w:rsid w:val="006A4EB1"/>
    <w:rsid w:val="006A52B4"/>
    <w:rsid w:val="006A54E7"/>
    <w:rsid w:val="006A55CF"/>
    <w:rsid w:val="006A6AAB"/>
    <w:rsid w:val="006A6F1A"/>
    <w:rsid w:val="006A7250"/>
    <w:rsid w:val="006A73E2"/>
    <w:rsid w:val="006A7622"/>
    <w:rsid w:val="006A7AE7"/>
    <w:rsid w:val="006A7C6F"/>
    <w:rsid w:val="006B02F7"/>
    <w:rsid w:val="006B03C1"/>
    <w:rsid w:val="006B03EE"/>
    <w:rsid w:val="006B074F"/>
    <w:rsid w:val="006B0919"/>
    <w:rsid w:val="006B235B"/>
    <w:rsid w:val="006B24D5"/>
    <w:rsid w:val="006B2524"/>
    <w:rsid w:val="006B2659"/>
    <w:rsid w:val="006B2F76"/>
    <w:rsid w:val="006B36AA"/>
    <w:rsid w:val="006B4969"/>
    <w:rsid w:val="006B4B84"/>
    <w:rsid w:val="006B5703"/>
    <w:rsid w:val="006B5D21"/>
    <w:rsid w:val="006B633E"/>
    <w:rsid w:val="006B6416"/>
    <w:rsid w:val="006B6EB8"/>
    <w:rsid w:val="006C0796"/>
    <w:rsid w:val="006C0AE7"/>
    <w:rsid w:val="006C1459"/>
    <w:rsid w:val="006C148E"/>
    <w:rsid w:val="006C1CBF"/>
    <w:rsid w:val="006C1E40"/>
    <w:rsid w:val="006C27FB"/>
    <w:rsid w:val="006C3266"/>
    <w:rsid w:val="006C3625"/>
    <w:rsid w:val="006C3BA7"/>
    <w:rsid w:val="006C48B3"/>
    <w:rsid w:val="006C4937"/>
    <w:rsid w:val="006C494A"/>
    <w:rsid w:val="006C4BC6"/>
    <w:rsid w:val="006C6572"/>
    <w:rsid w:val="006C687F"/>
    <w:rsid w:val="006C68DD"/>
    <w:rsid w:val="006C7114"/>
    <w:rsid w:val="006D0341"/>
    <w:rsid w:val="006D055C"/>
    <w:rsid w:val="006D0F42"/>
    <w:rsid w:val="006D1698"/>
    <w:rsid w:val="006D189A"/>
    <w:rsid w:val="006D1907"/>
    <w:rsid w:val="006D19B1"/>
    <w:rsid w:val="006D1CEE"/>
    <w:rsid w:val="006D2598"/>
    <w:rsid w:val="006D3396"/>
    <w:rsid w:val="006D3F3E"/>
    <w:rsid w:val="006D4FB2"/>
    <w:rsid w:val="006D50C5"/>
    <w:rsid w:val="006D66D0"/>
    <w:rsid w:val="006D6D1D"/>
    <w:rsid w:val="006D71DD"/>
    <w:rsid w:val="006E074D"/>
    <w:rsid w:val="006E0CFA"/>
    <w:rsid w:val="006E0FC7"/>
    <w:rsid w:val="006E1756"/>
    <w:rsid w:val="006E2D75"/>
    <w:rsid w:val="006E3023"/>
    <w:rsid w:val="006E32C8"/>
    <w:rsid w:val="006E4985"/>
    <w:rsid w:val="006E4AE3"/>
    <w:rsid w:val="006E4F20"/>
    <w:rsid w:val="006E510E"/>
    <w:rsid w:val="006E565D"/>
    <w:rsid w:val="006E5D30"/>
    <w:rsid w:val="006E6BCC"/>
    <w:rsid w:val="006E6F52"/>
    <w:rsid w:val="006E722B"/>
    <w:rsid w:val="006E74E1"/>
    <w:rsid w:val="006F0354"/>
    <w:rsid w:val="006F153E"/>
    <w:rsid w:val="006F15D3"/>
    <w:rsid w:val="006F1D10"/>
    <w:rsid w:val="006F22A0"/>
    <w:rsid w:val="006F29B2"/>
    <w:rsid w:val="006F336C"/>
    <w:rsid w:val="006F3465"/>
    <w:rsid w:val="006F39FA"/>
    <w:rsid w:val="006F3CD2"/>
    <w:rsid w:val="006F3D3E"/>
    <w:rsid w:val="006F4795"/>
    <w:rsid w:val="006F4FCA"/>
    <w:rsid w:val="006F5F19"/>
    <w:rsid w:val="006F5F28"/>
    <w:rsid w:val="006F5F90"/>
    <w:rsid w:val="006F6186"/>
    <w:rsid w:val="006F6373"/>
    <w:rsid w:val="006F7278"/>
    <w:rsid w:val="006F75CC"/>
    <w:rsid w:val="007002A9"/>
    <w:rsid w:val="00700F2D"/>
    <w:rsid w:val="0070100A"/>
    <w:rsid w:val="00701975"/>
    <w:rsid w:val="007019D1"/>
    <w:rsid w:val="007024D4"/>
    <w:rsid w:val="00703199"/>
    <w:rsid w:val="00703EFF"/>
    <w:rsid w:val="007047C1"/>
    <w:rsid w:val="00704833"/>
    <w:rsid w:val="00704E8E"/>
    <w:rsid w:val="00705E88"/>
    <w:rsid w:val="007063BB"/>
    <w:rsid w:val="00706672"/>
    <w:rsid w:val="007066D0"/>
    <w:rsid w:val="00706C9D"/>
    <w:rsid w:val="00707E35"/>
    <w:rsid w:val="00707E9C"/>
    <w:rsid w:val="00707F47"/>
    <w:rsid w:val="00710F5E"/>
    <w:rsid w:val="0071110D"/>
    <w:rsid w:val="00711C8B"/>
    <w:rsid w:val="007125DB"/>
    <w:rsid w:val="0071292F"/>
    <w:rsid w:val="00712E86"/>
    <w:rsid w:val="00712FC3"/>
    <w:rsid w:val="00713F41"/>
    <w:rsid w:val="00714B3C"/>
    <w:rsid w:val="00714C52"/>
    <w:rsid w:val="00714C7D"/>
    <w:rsid w:val="00715853"/>
    <w:rsid w:val="00716114"/>
    <w:rsid w:val="007162F5"/>
    <w:rsid w:val="00716973"/>
    <w:rsid w:val="00717512"/>
    <w:rsid w:val="00717CB2"/>
    <w:rsid w:val="00717F12"/>
    <w:rsid w:val="00720AC7"/>
    <w:rsid w:val="00721059"/>
    <w:rsid w:val="007211C8"/>
    <w:rsid w:val="00721256"/>
    <w:rsid w:val="00721332"/>
    <w:rsid w:val="007215AB"/>
    <w:rsid w:val="00721752"/>
    <w:rsid w:val="00721F12"/>
    <w:rsid w:val="00722B15"/>
    <w:rsid w:val="007232B6"/>
    <w:rsid w:val="007254CB"/>
    <w:rsid w:val="007254D7"/>
    <w:rsid w:val="007256F9"/>
    <w:rsid w:val="007260A4"/>
    <w:rsid w:val="00726AD0"/>
    <w:rsid w:val="00727C97"/>
    <w:rsid w:val="007303C0"/>
    <w:rsid w:val="0073058E"/>
    <w:rsid w:val="007305C4"/>
    <w:rsid w:val="007319D7"/>
    <w:rsid w:val="00731B87"/>
    <w:rsid w:val="00731F10"/>
    <w:rsid w:val="0073247E"/>
    <w:rsid w:val="0073253F"/>
    <w:rsid w:val="007325A2"/>
    <w:rsid w:val="00732E0D"/>
    <w:rsid w:val="00734B50"/>
    <w:rsid w:val="007364B6"/>
    <w:rsid w:val="0073690E"/>
    <w:rsid w:val="007369EE"/>
    <w:rsid w:val="00737289"/>
    <w:rsid w:val="007373BA"/>
    <w:rsid w:val="00737A63"/>
    <w:rsid w:val="0074089E"/>
    <w:rsid w:val="00740D9E"/>
    <w:rsid w:val="00740F7B"/>
    <w:rsid w:val="007417AB"/>
    <w:rsid w:val="00741CFA"/>
    <w:rsid w:val="00742413"/>
    <w:rsid w:val="0074269C"/>
    <w:rsid w:val="00742E48"/>
    <w:rsid w:val="007432CD"/>
    <w:rsid w:val="007434D1"/>
    <w:rsid w:val="00743B0E"/>
    <w:rsid w:val="00744075"/>
    <w:rsid w:val="0075000E"/>
    <w:rsid w:val="0075005C"/>
    <w:rsid w:val="007512C0"/>
    <w:rsid w:val="007520E9"/>
    <w:rsid w:val="007521CA"/>
    <w:rsid w:val="007535B4"/>
    <w:rsid w:val="00753B04"/>
    <w:rsid w:val="00754C21"/>
    <w:rsid w:val="0075567B"/>
    <w:rsid w:val="00755A16"/>
    <w:rsid w:val="007561CB"/>
    <w:rsid w:val="0075636D"/>
    <w:rsid w:val="00757A1F"/>
    <w:rsid w:val="00760166"/>
    <w:rsid w:val="00760490"/>
    <w:rsid w:val="007607F4"/>
    <w:rsid w:val="00760CC8"/>
    <w:rsid w:val="00760D2E"/>
    <w:rsid w:val="00762283"/>
    <w:rsid w:val="00762890"/>
    <w:rsid w:val="007628B7"/>
    <w:rsid w:val="00762AB9"/>
    <w:rsid w:val="00762C00"/>
    <w:rsid w:val="007632B3"/>
    <w:rsid w:val="007633DE"/>
    <w:rsid w:val="00764BB6"/>
    <w:rsid w:val="00764F49"/>
    <w:rsid w:val="00765473"/>
    <w:rsid w:val="007655BF"/>
    <w:rsid w:val="00765B40"/>
    <w:rsid w:val="00766484"/>
    <w:rsid w:val="0076667F"/>
    <w:rsid w:val="00766B07"/>
    <w:rsid w:val="0076707A"/>
    <w:rsid w:val="00767872"/>
    <w:rsid w:val="00770425"/>
    <w:rsid w:val="007705EF"/>
    <w:rsid w:val="00770768"/>
    <w:rsid w:val="00771124"/>
    <w:rsid w:val="00771504"/>
    <w:rsid w:val="007715FF"/>
    <w:rsid w:val="00771E3C"/>
    <w:rsid w:val="007720F0"/>
    <w:rsid w:val="00772EFA"/>
    <w:rsid w:val="0077330B"/>
    <w:rsid w:val="0077565A"/>
    <w:rsid w:val="0077586C"/>
    <w:rsid w:val="00776369"/>
    <w:rsid w:val="0077676B"/>
    <w:rsid w:val="007767BE"/>
    <w:rsid w:val="00776862"/>
    <w:rsid w:val="007769C2"/>
    <w:rsid w:val="00776D0D"/>
    <w:rsid w:val="00776EA5"/>
    <w:rsid w:val="0077751A"/>
    <w:rsid w:val="00777B1D"/>
    <w:rsid w:val="00780512"/>
    <w:rsid w:val="007809C9"/>
    <w:rsid w:val="00784860"/>
    <w:rsid w:val="00785214"/>
    <w:rsid w:val="0078524D"/>
    <w:rsid w:val="00785255"/>
    <w:rsid w:val="0078622E"/>
    <w:rsid w:val="00786407"/>
    <w:rsid w:val="00786712"/>
    <w:rsid w:val="00787300"/>
    <w:rsid w:val="00790257"/>
    <w:rsid w:val="007905E2"/>
    <w:rsid w:val="00791F8E"/>
    <w:rsid w:val="00792087"/>
    <w:rsid w:val="0079225C"/>
    <w:rsid w:val="0079263D"/>
    <w:rsid w:val="00792D6F"/>
    <w:rsid w:val="007931AA"/>
    <w:rsid w:val="007948BE"/>
    <w:rsid w:val="00795584"/>
    <w:rsid w:val="00795728"/>
    <w:rsid w:val="007960BF"/>
    <w:rsid w:val="007962C8"/>
    <w:rsid w:val="00796949"/>
    <w:rsid w:val="00797413"/>
    <w:rsid w:val="007979DB"/>
    <w:rsid w:val="007A00CE"/>
    <w:rsid w:val="007A0C2D"/>
    <w:rsid w:val="007A0E2A"/>
    <w:rsid w:val="007A11B7"/>
    <w:rsid w:val="007A1456"/>
    <w:rsid w:val="007A1AC1"/>
    <w:rsid w:val="007A1DB3"/>
    <w:rsid w:val="007A1EE6"/>
    <w:rsid w:val="007A25FE"/>
    <w:rsid w:val="007A3021"/>
    <w:rsid w:val="007A32E8"/>
    <w:rsid w:val="007A33A6"/>
    <w:rsid w:val="007A3761"/>
    <w:rsid w:val="007A3991"/>
    <w:rsid w:val="007A4B6B"/>
    <w:rsid w:val="007A4EA8"/>
    <w:rsid w:val="007A5010"/>
    <w:rsid w:val="007A5C07"/>
    <w:rsid w:val="007A5D97"/>
    <w:rsid w:val="007A608C"/>
    <w:rsid w:val="007A696F"/>
    <w:rsid w:val="007A6BCB"/>
    <w:rsid w:val="007A723C"/>
    <w:rsid w:val="007A7245"/>
    <w:rsid w:val="007A73AF"/>
    <w:rsid w:val="007A75A2"/>
    <w:rsid w:val="007A77A1"/>
    <w:rsid w:val="007B014B"/>
    <w:rsid w:val="007B0965"/>
    <w:rsid w:val="007B0AD8"/>
    <w:rsid w:val="007B1395"/>
    <w:rsid w:val="007B14E0"/>
    <w:rsid w:val="007B1C95"/>
    <w:rsid w:val="007B1E27"/>
    <w:rsid w:val="007B3467"/>
    <w:rsid w:val="007B3AFA"/>
    <w:rsid w:val="007B3D82"/>
    <w:rsid w:val="007B3EAF"/>
    <w:rsid w:val="007B40E8"/>
    <w:rsid w:val="007B4569"/>
    <w:rsid w:val="007B471F"/>
    <w:rsid w:val="007B49EB"/>
    <w:rsid w:val="007B4A96"/>
    <w:rsid w:val="007B4D1A"/>
    <w:rsid w:val="007B4EB6"/>
    <w:rsid w:val="007B6746"/>
    <w:rsid w:val="007B7171"/>
    <w:rsid w:val="007B71D8"/>
    <w:rsid w:val="007B7280"/>
    <w:rsid w:val="007C000D"/>
    <w:rsid w:val="007C1549"/>
    <w:rsid w:val="007C15BD"/>
    <w:rsid w:val="007C188F"/>
    <w:rsid w:val="007C22F9"/>
    <w:rsid w:val="007C2950"/>
    <w:rsid w:val="007C367F"/>
    <w:rsid w:val="007C374B"/>
    <w:rsid w:val="007C39A8"/>
    <w:rsid w:val="007C4268"/>
    <w:rsid w:val="007C4A29"/>
    <w:rsid w:val="007C4E35"/>
    <w:rsid w:val="007C53CE"/>
    <w:rsid w:val="007C547A"/>
    <w:rsid w:val="007C5C4A"/>
    <w:rsid w:val="007C5D0A"/>
    <w:rsid w:val="007C5D50"/>
    <w:rsid w:val="007C5D9E"/>
    <w:rsid w:val="007C6266"/>
    <w:rsid w:val="007C652B"/>
    <w:rsid w:val="007C68D9"/>
    <w:rsid w:val="007C6F91"/>
    <w:rsid w:val="007C75AD"/>
    <w:rsid w:val="007C7C1E"/>
    <w:rsid w:val="007C7F8A"/>
    <w:rsid w:val="007D0447"/>
    <w:rsid w:val="007D07FA"/>
    <w:rsid w:val="007D0BD6"/>
    <w:rsid w:val="007D1606"/>
    <w:rsid w:val="007D161D"/>
    <w:rsid w:val="007D1B8B"/>
    <w:rsid w:val="007D1C3A"/>
    <w:rsid w:val="007D1D68"/>
    <w:rsid w:val="007D26F9"/>
    <w:rsid w:val="007D28A2"/>
    <w:rsid w:val="007D2BE9"/>
    <w:rsid w:val="007D3210"/>
    <w:rsid w:val="007D35DC"/>
    <w:rsid w:val="007D3AA1"/>
    <w:rsid w:val="007D3E77"/>
    <w:rsid w:val="007D3FF0"/>
    <w:rsid w:val="007D54E7"/>
    <w:rsid w:val="007D5F25"/>
    <w:rsid w:val="007D6031"/>
    <w:rsid w:val="007D6837"/>
    <w:rsid w:val="007D6A0D"/>
    <w:rsid w:val="007D6CD0"/>
    <w:rsid w:val="007D6D0E"/>
    <w:rsid w:val="007D7694"/>
    <w:rsid w:val="007D7CF1"/>
    <w:rsid w:val="007E07EB"/>
    <w:rsid w:val="007E080A"/>
    <w:rsid w:val="007E0EEA"/>
    <w:rsid w:val="007E16D9"/>
    <w:rsid w:val="007E1B8B"/>
    <w:rsid w:val="007E2D48"/>
    <w:rsid w:val="007E3AD6"/>
    <w:rsid w:val="007E3B83"/>
    <w:rsid w:val="007E3E58"/>
    <w:rsid w:val="007E5277"/>
    <w:rsid w:val="007E5284"/>
    <w:rsid w:val="007E5DE7"/>
    <w:rsid w:val="007E5E14"/>
    <w:rsid w:val="007E68A7"/>
    <w:rsid w:val="007E78EF"/>
    <w:rsid w:val="007F0318"/>
    <w:rsid w:val="007F081A"/>
    <w:rsid w:val="007F0BDA"/>
    <w:rsid w:val="007F0DE0"/>
    <w:rsid w:val="007F1F69"/>
    <w:rsid w:val="007F22B3"/>
    <w:rsid w:val="007F3750"/>
    <w:rsid w:val="007F4F26"/>
    <w:rsid w:val="007F510D"/>
    <w:rsid w:val="007F5830"/>
    <w:rsid w:val="007F5976"/>
    <w:rsid w:val="007F5B7B"/>
    <w:rsid w:val="007F5C40"/>
    <w:rsid w:val="007F5F81"/>
    <w:rsid w:val="007F60EB"/>
    <w:rsid w:val="007F6548"/>
    <w:rsid w:val="007F676A"/>
    <w:rsid w:val="007F7A97"/>
    <w:rsid w:val="00800942"/>
    <w:rsid w:val="0080129D"/>
    <w:rsid w:val="00802A9F"/>
    <w:rsid w:val="00802F21"/>
    <w:rsid w:val="0080313B"/>
    <w:rsid w:val="00803A8F"/>
    <w:rsid w:val="00804A0F"/>
    <w:rsid w:val="00804A2E"/>
    <w:rsid w:val="0080528B"/>
    <w:rsid w:val="0080543D"/>
    <w:rsid w:val="0080582A"/>
    <w:rsid w:val="008058F7"/>
    <w:rsid w:val="0080609F"/>
    <w:rsid w:val="00806655"/>
    <w:rsid w:val="008066EF"/>
    <w:rsid w:val="00806CA8"/>
    <w:rsid w:val="0080700C"/>
    <w:rsid w:val="008075EF"/>
    <w:rsid w:val="00810578"/>
    <w:rsid w:val="008109E3"/>
    <w:rsid w:val="00810AA2"/>
    <w:rsid w:val="008110FD"/>
    <w:rsid w:val="008119AC"/>
    <w:rsid w:val="00811A2A"/>
    <w:rsid w:val="008124E5"/>
    <w:rsid w:val="00812773"/>
    <w:rsid w:val="00813096"/>
    <w:rsid w:val="00813440"/>
    <w:rsid w:val="008134AC"/>
    <w:rsid w:val="008134F5"/>
    <w:rsid w:val="0081392E"/>
    <w:rsid w:val="00813A60"/>
    <w:rsid w:val="008142F5"/>
    <w:rsid w:val="008146E5"/>
    <w:rsid w:val="00814B89"/>
    <w:rsid w:val="008159E6"/>
    <w:rsid w:val="0081607D"/>
    <w:rsid w:val="00816246"/>
    <w:rsid w:val="0081670D"/>
    <w:rsid w:val="00817D2C"/>
    <w:rsid w:val="00820138"/>
    <w:rsid w:val="008206D0"/>
    <w:rsid w:val="00820AD1"/>
    <w:rsid w:val="00820D0B"/>
    <w:rsid w:val="00821AFC"/>
    <w:rsid w:val="0082348A"/>
    <w:rsid w:val="00825248"/>
    <w:rsid w:val="0082629E"/>
    <w:rsid w:val="00827658"/>
    <w:rsid w:val="00827E22"/>
    <w:rsid w:val="00827EBB"/>
    <w:rsid w:val="00827F09"/>
    <w:rsid w:val="008300C4"/>
    <w:rsid w:val="00830163"/>
    <w:rsid w:val="00831E6D"/>
    <w:rsid w:val="00832A87"/>
    <w:rsid w:val="00833B27"/>
    <w:rsid w:val="00833B69"/>
    <w:rsid w:val="00833F34"/>
    <w:rsid w:val="00833FBB"/>
    <w:rsid w:val="00834ABF"/>
    <w:rsid w:val="00834B35"/>
    <w:rsid w:val="00834D8D"/>
    <w:rsid w:val="008362A9"/>
    <w:rsid w:val="008362CA"/>
    <w:rsid w:val="00836723"/>
    <w:rsid w:val="00836AB6"/>
    <w:rsid w:val="0083740C"/>
    <w:rsid w:val="0083769F"/>
    <w:rsid w:val="00837820"/>
    <w:rsid w:val="00837991"/>
    <w:rsid w:val="00841500"/>
    <w:rsid w:val="0084180E"/>
    <w:rsid w:val="00841AAE"/>
    <w:rsid w:val="008422F4"/>
    <w:rsid w:val="00842345"/>
    <w:rsid w:val="0084257D"/>
    <w:rsid w:val="00842C59"/>
    <w:rsid w:val="00843460"/>
    <w:rsid w:val="008435D1"/>
    <w:rsid w:val="008437A8"/>
    <w:rsid w:val="00844183"/>
    <w:rsid w:val="008449AC"/>
    <w:rsid w:val="00845F38"/>
    <w:rsid w:val="008461F7"/>
    <w:rsid w:val="008463B8"/>
    <w:rsid w:val="00846EA1"/>
    <w:rsid w:val="00847179"/>
    <w:rsid w:val="00847385"/>
    <w:rsid w:val="008473A6"/>
    <w:rsid w:val="00847A3E"/>
    <w:rsid w:val="00847BCB"/>
    <w:rsid w:val="00850088"/>
    <w:rsid w:val="0085052D"/>
    <w:rsid w:val="00851B2E"/>
    <w:rsid w:val="00851FBB"/>
    <w:rsid w:val="008525A4"/>
    <w:rsid w:val="008529F1"/>
    <w:rsid w:val="00853F27"/>
    <w:rsid w:val="00854348"/>
    <w:rsid w:val="008544D0"/>
    <w:rsid w:val="0085466C"/>
    <w:rsid w:val="00855064"/>
    <w:rsid w:val="00856E8B"/>
    <w:rsid w:val="008601B4"/>
    <w:rsid w:val="00861351"/>
    <w:rsid w:val="00861879"/>
    <w:rsid w:val="00863017"/>
    <w:rsid w:val="0086348C"/>
    <w:rsid w:val="00863676"/>
    <w:rsid w:val="00864556"/>
    <w:rsid w:val="00864B56"/>
    <w:rsid w:val="0086507C"/>
    <w:rsid w:val="0086520E"/>
    <w:rsid w:val="00866239"/>
    <w:rsid w:val="00866B78"/>
    <w:rsid w:val="00866E7F"/>
    <w:rsid w:val="00866EBD"/>
    <w:rsid w:val="0086781B"/>
    <w:rsid w:val="00867A20"/>
    <w:rsid w:val="0087110F"/>
    <w:rsid w:val="00873266"/>
    <w:rsid w:val="008745D6"/>
    <w:rsid w:val="00874A74"/>
    <w:rsid w:val="00874FAF"/>
    <w:rsid w:val="00875BEA"/>
    <w:rsid w:val="00875D22"/>
    <w:rsid w:val="00875E43"/>
    <w:rsid w:val="00875FA5"/>
    <w:rsid w:val="00876DD9"/>
    <w:rsid w:val="00877DF3"/>
    <w:rsid w:val="0088070B"/>
    <w:rsid w:val="00881947"/>
    <w:rsid w:val="00882541"/>
    <w:rsid w:val="00882A56"/>
    <w:rsid w:val="008830DA"/>
    <w:rsid w:val="00883468"/>
    <w:rsid w:val="00883469"/>
    <w:rsid w:val="00883A81"/>
    <w:rsid w:val="00883F85"/>
    <w:rsid w:val="008840A2"/>
    <w:rsid w:val="008843F2"/>
    <w:rsid w:val="008845A8"/>
    <w:rsid w:val="00884819"/>
    <w:rsid w:val="00884E72"/>
    <w:rsid w:val="00885176"/>
    <w:rsid w:val="0088519B"/>
    <w:rsid w:val="00885D28"/>
    <w:rsid w:val="00885EA5"/>
    <w:rsid w:val="00887F6D"/>
    <w:rsid w:val="00890D61"/>
    <w:rsid w:val="00890EA1"/>
    <w:rsid w:val="008913E8"/>
    <w:rsid w:val="0089199E"/>
    <w:rsid w:val="00891A34"/>
    <w:rsid w:val="008922BE"/>
    <w:rsid w:val="008922F3"/>
    <w:rsid w:val="0089253A"/>
    <w:rsid w:val="008925B6"/>
    <w:rsid w:val="0089412A"/>
    <w:rsid w:val="00894264"/>
    <w:rsid w:val="00894491"/>
    <w:rsid w:val="008946DA"/>
    <w:rsid w:val="0089478F"/>
    <w:rsid w:val="008949EB"/>
    <w:rsid w:val="00895320"/>
    <w:rsid w:val="00895AAF"/>
    <w:rsid w:val="00895B6D"/>
    <w:rsid w:val="00895CC0"/>
    <w:rsid w:val="0089690D"/>
    <w:rsid w:val="008972F5"/>
    <w:rsid w:val="00897A79"/>
    <w:rsid w:val="00897EEA"/>
    <w:rsid w:val="00897F1F"/>
    <w:rsid w:val="008A002B"/>
    <w:rsid w:val="008A01A4"/>
    <w:rsid w:val="008A091B"/>
    <w:rsid w:val="008A1A64"/>
    <w:rsid w:val="008A1EBE"/>
    <w:rsid w:val="008A1F9C"/>
    <w:rsid w:val="008A2276"/>
    <w:rsid w:val="008A2687"/>
    <w:rsid w:val="008A26B3"/>
    <w:rsid w:val="008A294F"/>
    <w:rsid w:val="008A2B5A"/>
    <w:rsid w:val="008A3A01"/>
    <w:rsid w:val="008A402B"/>
    <w:rsid w:val="008A487C"/>
    <w:rsid w:val="008A4BF5"/>
    <w:rsid w:val="008A6CAF"/>
    <w:rsid w:val="008A7F4B"/>
    <w:rsid w:val="008B0058"/>
    <w:rsid w:val="008B0459"/>
    <w:rsid w:val="008B04F6"/>
    <w:rsid w:val="008B07E7"/>
    <w:rsid w:val="008B1A25"/>
    <w:rsid w:val="008B1AD5"/>
    <w:rsid w:val="008B1D0D"/>
    <w:rsid w:val="008B2461"/>
    <w:rsid w:val="008B2C54"/>
    <w:rsid w:val="008B414B"/>
    <w:rsid w:val="008B4EBE"/>
    <w:rsid w:val="008B51F1"/>
    <w:rsid w:val="008B535C"/>
    <w:rsid w:val="008B58B5"/>
    <w:rsid w:val="008B6335"/>
    <w:rsid w:val="008B6340"/>
    <w:rsid w:val="008B6AED"/>
    <w:rsid w:val="008B6BF0"/>
    <w:rsid w:val="008B7F4F"/>
    <w:rsid w:val="008B7F5B"/>
    <w:rsid w:val="008C0C18"/>
    <w:rsid w:val="008C1697"/>
    <w:rsid w:val="008C16A2"/>
    <w:rsid w:val="008C185C"/>
    <w:rsid w:val="008C1A97"/>
    <w:rsid w:val="008C1D9C"/>
    <w:rsid w:val="008C2337"/>
    <w:rsid w:val="008C2483"/>
    <w:rsid w:val="008C2CA6"/>
    <w:rsid w:val="008C2DE5"/>
    <w:rsid w:val="008C2E15"/>
    <w:rsid w:val="008C35BD"/>
    <w:rsid w:val="008C3E06"/>
    <w:rsid w:val="008C4C9F"/>
    <w:rsid w:val="008C5800"/>
    <w:rsid w:val="008C5AA2"/>
    <w:rsid w:val="008C6377"/>
    <w:rsid w:val="008C63CA"/>
    <w:rsid w:val="008C7971"/>
    <w:rsid w:val="008D0234"/>
    <w:rsid w:val="008D072C"/>
    <w:rsid w:val="008D117C"/>
    <w:rsid w:val="008D11B8"/>
    <w:rsid w:val="008D1461"/>
    <w:rsid w:val="008D156D"/>
    <w:rsid w:val="008D156F"/>
    <w:rsid w:val="008D1F7C"/>
    <w:rsid w:val="008D207D"/>
    <w:rsid w:val="008D2591"/>
    <w:rsid w:val="008D3047"/>
    <w:rsid w:val="008D516A"/>
    <w:rsid w:val="008D61D3"/>
    <w:rsid w:val="008D6274"/>
    <w:rsid w:val="008D63F8"/>
    <w:rsid w:val="008D6553"/>
    <w:rsid w:val="008D65BB"/>
    <w:rsid w:val="008D6DC0"/>
    <w:rsid w:val="008D74B8"/>
    <w:rsid w:val="008D7539"/>
    <w:rsid w:val="008D78EF"/>
    <w:rsid w:val="008D7951"/>
    <w:rsid w:val="008D7B2A"/>
    <w:rsid w:val="008E0FA4"/>
    <w:rsid w:val="008E11D7"/>
    <w:rsid w:val="008E127E"/>
    <w:rsid w:val="008E12B1"/>
    <w:rsid w:val="008E1C1F"/>
    <w:rsid w:val="008E1EDC"/>
    <w:rsid w:val="008E326E"/>
    <w:rsid w:val="008E3916"/>
    <w:rsid w:val="008E3D93"/>
    <w:rsid w:val="008E43DE"/>
    <w:rsid w:val="008E5749"/>
    <w:rsid w:val="008E5DEF"/>
    <w:rsid w:val="008E5E88"/>
    <w:rsid w:val="008E6304"/>
    <w:rsid w:val="008E65A7"/>
    <w:rsid w:val="008E66D0"/>
    <w:rsid w:val="008E6BAD"/>
    <w:rsid w:val="008E76DB"/>
    <w:rsid w:val="008F0319"/>
    <w:rsid w:val="008F07E2"/>
    <w:rsid w:val="008F08D4"/>
    <w:rsid w:val="008F0A89"/>
    <w:rsid w:val="008F1F00"/>
    <w:rsid w:val="008F21F0"/>
    <w:rsid w:val="008F2362"/>
    <w:rsid w:val="008F24AB"/>
    <w:rsid w:val="008F2FB0"/>
    <w:rsid w:val="008F3621"/>
    <w:rsid w:val="008F38F2"/>
    <w:rsid w:val="008F4AC3"/>
    <w:rsid w:val="008F4AF9"/>
    <w:rsid w:val="008F51E4"/>
    <w:rsid w:val="008F5851"/>
    <w:rsid w:val="008F6605"/>
    <w:rsid w:val="008F7297"/>
    <w:rsid w:val="008F7A9B"/>
    <w:rsid w:val="008F7AB1"/>
    <w:rsid w:val="00901085"/>
    <w:rsid w:val="009012C8"/>
    <w:rsid w:val="00901688"/>
    <w:rsid w:val="00901E92"/>
    <w:rsid w:val="009021A0"/>
    <w:rsid w:val="009021A4"/>
    <w:rsid w:val="0090249E"/>
    <w:rsid w:val="009028E4"/>
    <w:rsid w:val="00903517"/>
    <w:rsid w:val="009037D8"/>
    <w:rsid w:val="00903AFD"/>
    <w:rsid w:val="0090439A"/>
    <w:rsid w:val="00904A8E"/>
    <w:rsid w:val="00904EFA"/>
    <w:rsid w:val="009057EE"/>
    <w:rsid w:val="009077D4"/>
    <w:rsid w:val="00907E7C"/>
    <w:rsid w:val="009101CE"/>
    <w:rsid w:val="0091064E"/>
    <w:rsid w:val="0091088E"/>
    <w:rsid w:val="00910B44"/>
    <w:rsid w:val="00910E49"/>
    <w:rsid w:val="00911554"/>
    <w:rsid w:val="0091164E"/>
    <w:rsid w:val="00912A36"/>
    <w:rsid w:val="00913862"/>
    <w:rsid w:val="0091409A"/>
    <w:rsid w:val="0091498B"/>
    <w:rsid w:val="00915487"/>
    <w:rsid w:val="009162DC"/>
    <w:rsid w:val="00917B30"/>
    <w:rsid w:val="00917CD2"/>
    <w:rsid w:val="00920D78"/>
    <w:rsid w:val="009211D2"/>
    <w:rsid w:val="009212A0"/>
    <w:rsid w:val="009214D1"/>
    <w:rsid w:val="00921C79"/>
    <w:rsid w:val="009220D9"/>
    <w:rsid w:val="0092299A"/>
    <w:rsid w:val="00923002"/>
    <w:rsid w:val="00923597"/>
    <w:rsid w:val="009235A1"/>
    <w:rsid w:val="009237F0"/>
    <w:rsid w:val="00923B39"/>
    <w:rsid w:val="00923EB8"/>
    <w:rsid w:val="009244A6"/>
    <w:rsid w:val="00924633"/>
    <w:rsid w:val="00924753"/>
    <w:rsid w:val="009247ED"/>
    <w:rsid w:val="00924914"/>
    <w:rsid w:val="0092504B"/>
    <w:rsid w:val="00925346"/>
    <w:rsid w:val="00925383"/>
    <w:rsid w:val="009253DA"/>
    <w:rsid w:val="00925929"/>
    <w:rsid w:val="00925DE8"/>
    <w:rsid w:val="009267C6"/>
    <w:rsid w:val="00926A11"/>
    <w:rsid w:val="00926E80"/>
    <w:rsid w:val="00927461"/>
    <w:rsid w:val="00927EF4"/>
    <w:rsid w:val="00930DB5"/>
    <w:rsid w:val="00930DEC"/>
    <w:rsid w:val="0093106D"/>
    <w:rsid w:val="00931463"/>
    <w:rsid w:val="00931BAD"/>
    <w:rsid w:val="009327E4"/>
    <w:rsid w:val="00932AAC"/>
    <w:rsid w:val="00933F02"/>
    <w:rsid w:val="009341C8"/>
    <w:rsid w:val="009349D8"/>
    <w:rsid w:val="00937CAB"/>
    <w:rsid w:val="0094012D"/>
    <w:rsid w:val="009401D7"/>
    <w:rsid w:val="0094206F"/>
    <w:rsid w:val="0094254B"/>
    <w:rsid w:val="00942715"/>
    <w:rsid w:val="00942C32"/>
    <w:rsid w:val="009439F8"/>
    <w:rsid w:val="00943F6D"/>
    <w:rsid w:val="00944CE1"/>
    <w:rsid w:val="00944FC7"/>
    <w:rsid w:val="00945ED9"/>
    <w:rsid w:val="00946219"/>
    <w:rsid w:val="0094624F"/>
    <w:rsid w:val="009475F9"/>
    <w:rsid w:val="00950AE1"/>
    <w:rsid w:val="00950E65"/>
    <w:rsid w:val="009512E8"/>
    <w:rsid w:val="00951B8D"/>
    <w:rsid w:val="00951E54"/>
    <w:rsid w:val="00952AC1"/>
    <w:rsid w:val="0095384A"/>
    <w:rsid w:val="009538C9"/>
    <w:rsid w:val="00953E63"/>
    <w:rsid w:val="00954617"/>
    <w:rsid w:val="009547B5"/>
    <w:rsid w:val="00954C42"/>
    <w:rsid w:val="0095577E"/>
    <w:rsid w:val="00955ADC"/>
    <w:rsid w:val="00956AB3"/>
    <w:rsid w:val="00956E16"/>
    <w:rsid w:val="00956F4F"/>
    <w:rsid w:val="00957E3A"/>
    <w:rsid w:val="00960231"/>
    <w:rsid w:val="00960FB8"/>
    <w:rsid w:val="00961AB8"/>
    <w:rsid w:val="009625F8"/>
    <w:rsid w:val="00962649"/>
    <w:rsid w:val="0096303B"/>
    <w:rsid w:val="0096339E"/>
    <w:rsid w:val="009634E9"/>
    <w:rsid w:val="00964151"/>
    <w:rsid w:val="00965019"/>
    <w:rsid w:val="00965513"/>
    <w:rsid w:val="00965EDF"/>
    <w:rsid w:val="00966758"/>
    <w:rsid w:val="009668F9"/>
    <w:rsid w:val="00966D0A"/>
    <w:rsid w:val="0096769D"/>
    <w:rsid w:val="00967E41"/>
    <w:rsid w:val="00967FF0"/>
    <w:rsid w:val="009702B3"/>
    <w:rsid w:val="009706C3"/>
    <w:rsid w:val="00970869"/>
    <w:rsid w:val="00970E72"/>
    <w:rsid w:val="009710EF"/>
    <w:rsid w:val="00971EDF"/>
    <w:rsid w:val="00972DF0"/>
    <w:rsid w:val="00973767"/>
    <w:rsid w:val="00973800"/>
    <w:rsid w:val="009740EA"/>
    <w:rsid w:val="00974B61"/>
    <w:rsid w:val="009755B1"/>
    <w:rsid w:val="009756AB"/>
    <w:rsid w:val="0097602B"/>
    <w:rsid w:val="009828C9"/>
    <w:rsid w:val="009835B4"/>
    <w:rsid w:val="00983880"/>
    <w:rsid w:val="009840BF"/>
    <w:rsid w:val="0098462B"/>
    <w:rsid w:val="00984AFB"/>
    <w:rsid w:val="00984C55"/>
    <w:rsid w:val="009850DA"/>
    <w:rsid w:val="00985A88"/>
    <w:rsid w:val="0098706A"/>
    <w:rsid w:val="00987261"/>
    <w:rsid w:val="009877FC"/>
    <w:rsid w:val="00987D3C"/>
    <w:rsid w:val="00991184"/>
    <w:rsid w:val="009923A3"/>
    <w:rsid w:val="00992764"/>
    <w:rsid w:val="0099386A"/>
    <w:rsid w:val="00993BEB"/>
    <w:rsid w:val="00993C13"/>
    <w:rsid w:val="009945CD"/>
    <w:rsid w:val="00994644"/>
    <w:rsid w:val="009947E0"/>
    <w:rsid w:val="00995019"/>
    <w:rsid w:val="00995FA6"/>
    <w:rsid w:val="009960A0"/>
    <w:rsid w:val="0099793B"/>
    <w:rsid w:val="009A04CD"/>
    <w:rsid w:val="009A08AA"/>
    <w:rsid w:val="009A106A"/>
    <w:rsid w:val="009A155D"/>
    <w:rsid w:val="009A1ABD"/>
    <w:rsid w:val="009A2ADC"/>
    <w:rsid w:val="009A3358"/>
    <w:rsid w:val="009A357E"/>
    <w:rsid w:val="009A3A5F"/>
    <w:rsid w:val="009A3FEA"/>
    <w:rsid w:val="009A4081"/>
    <w:rsid w:val="009A463E"/>
    <w:rsid w:val="009A494F"/>
    <w:rsid w:val="009A5302"/>
    <w:rsid w:val="009A5816"/>
    <w:rsid w:val="009A59B9"/>
    <w:rsid w:val="009A5B0D"/>
    <w:rsid w:val="009A6303"/>
    <w:rsid w:val="009A7870"/>
    <w:rsid w:val="009A78F3"/>
    <w:rsid w:val="009B0008"/>
    <w:rsid w:val="009B01D3"/>
    <w:rsid w:val="009B0610"/>
    <w:rsid w:val="009B0FF6"/>
    <w:rsid w:val="009B0FFE"/>
    <w:rsid w:val="009B135E"/>
    <w:rsid w:val="009B1584"/>
    <w:rsid w:val="009B19E4"/>
    <w:rsid w:val="009B1BB6"/>
    <w:rsid w:val="009B1CFF"/>
    <w:rsid w:val="009B1E56"/>
    <w:rsid w:val="009B1E91"/>
    <w:rsid w:val="009B21EB"/>
    <w:rsid w:val="009B2585"/>
    <w:rsid w:val="009B2E99"/>
    <w:rsid w:val="009B3018"/>
    <w:rsid w:val="009B3587"/>
    <w:rsid w:val="009B35FC"/>
    <w:rsid w:val="009B3D95"/>
    <w:rsid w:val="009B43E7"/>
    <w:rsid w:val="009B46E8"/>
    <w:rsid w:val="009B4C22"/>
    <w:rsid w:val="009B4E83"/>
    <w:rsid w:val="009B582C"/>
    <w:rsid w:val="009B5964"/>
    <w:rsid w:val="009B5DAF"/>
    <w:rsid w:val="009B62C3"/>
    <w:rsid w:val="009B68B8"/>
    <w:rsid w:val="009B76AD"/>
    <w:rsid w:val="009B7A9C"/>
    <w:rsid w:val="009C04A9"/>
    <w:rsid w:val="009C0AEF"/>
    <w:rsid w:val="009C1931"/>
    <w:rsid w:val="009C1F0E"/>
    <w:rsid w:val="009C25FB"/>
    <w:rsid w:val="009C2775"/>
    <w:rsid w:val="009C2E91"/>
    <w:rsid w:val="009C32BF"/>
    <w:rsid w:val="009C3631"/>
    <w:rsid w:val="009C38D0"/>
    <w:rsid w:val="009C6D4E"/>
    <w:rsid w:val="009C6E60"/>
    <w:rsid w:val="009C74F9"/>
    <w:rsid w:val="009C76AB"/>
    <w:rsid w:val="009C78E5"/>
    <w:rsid w:val="009D0506"/>
    <w:rsid w:val="009D102A"/>
    <w:rsid w:val="009D114D"/>
    <w:rsid w:val="009D1F43"/>
    <w:rsid w:val="009D1F76"/>
    <w:rsid w:val="009D2892"/>
    <w:rsid w:val="009D3645"/>
    <w:rsid w:val="009D37EC"/>
    <w:rsid w:val="009D3C77"/>
    <w:rsid w:val="009D4185"/>
    <w:rsid w:val="009D47A3"/>
    <w:rsid w:val="009D4A97"/>
    <w:rsid w:val="009D4CB2"/>
    <w:rsid w:val="009D586F"/>
    <w:rsid w:val="009D5E52"/>
    <w:rsid w:val="009D6146"/>
    <w:rsid w:val="009D68E0"/>
    <w:rsid w:val="009D71B1"/>
    <w:rsid w:val="009D7406"/>
    <w:rsid w:val="009D7A08"/>
    <w:rsid w:val="009E070C"/>
    <w:rsid w:val="009E0C1B"/>
    <w:rsid w:val="009E0EFC"/>
    <w:rsid w:val="009E101B"/>
    <w:rsid w:val="009E1470"/>
    <w:rsid w:val="009E22A0"/>
    <w:rsid w:val="009E256E"/>
    <w:rsid w:val="009E2A67"/>
    <w:rsid w:val="009E2FF7"/>
    <w:rsid w:val="009E382C"/>
    <w:rsid w:val="009E3E41"/>
    <w:rsid w:val="009E4549"/>
    <w:rsid w:val="009E5A87"/>
    <w:rsid w:val="009E6482"/>
    <w:rsid w:val="009E6E87"/>
    <w:rsid w:val="009E7A4A"/>
    <w:rsid w:val="009E7FC8"/>
    <w:rsid w:val="009F0B5D"/>
    <w:rsid w:val="009F2384"/>
    <w:rsid w:val="009F25E3"/>
    <w:rsid w:val="009F27B0"/>
    <w:rsid w:val="009F28E3"/>
    <w:rsid w:val="009F33AA"/>
    <w:rsid w:val="009F38C4"/>
    <w:rsid w:val="009F3A13"/>
    <w:rsid w:val="009F42D4"/>
    <w:rsid w:val="009F43FF"/>
    <w:rsid w:val="009F4B97"/>
    <w:rsid w:val="009F5436"/>
    <w:rsid w:val="009F5474"/>
    <w:rsid w:val="009F6F90"/>
    <w:rsid w:val="009F7816"/>
    <w:rsid w:val="009F7CD6"/>
    <w:rsid w:val="00A00111"/>
    <w:rsid w:val="00A00D5D"/>
    <w:rsid w:val="00A01A0A"/>
    <w:rsid w:val="00A01C5D"/>
    <w:rsid w:val="00A03162"/>
    <w:rsid w:val="00A03896"/>
    <w:rsid w:val="00A03D62"/>
    <w:rsid w:val="00A04EB2"/>
    <w:rsid w:val="00A05ACB"/>
    <w:rsid w:val="00A05D5F"/>
    <w:rsid w:val="00A05F69"/>
    <w:rsid w:val="00A06254"/>
    <w:rsid w:val="00A064AF"/>
    <w:rsid w:val="00A068B2"/>
    <w:rsid w:val="00A10143"/>
    <w:rsid w:val="00A1085A"/>
    <w:rsid w:val="00A10868"/>
    <w:rsid w:val="00A10E2A"/>
    <w:rsid w:val="00A10EC2"/>
    <w:rsid w:val="00A11748"/>
    <w:rsid w:val="00A1203F"/>
    <w:rsid w:val="00A124C8"/>
    <w:rsid w:val="00A127C7"/>
    <w:rsid w:val="00A12822"/>
    <w:rsid w:val="00A1293A"/>
    <w:rsid w:val="00A12EFA"/>
    <w:rsid w:val="00A13760"/>
    <w:rsid w:val="00A14B00"/>
    <w:rsid w:val="00A15773"/>
    <w:rsid w:val="00A16773"/>
    <w:rsid w:val="00A168AA"/>
    <w:rsid w:val="00A16975"/>
    <w:rsid w:val="00A1790C"/>
    <w:rsid w:val="00A17A28"/>
    <w:rsid w:val="00A204CD"/>
    <w:rsid w:val="00A2051E"/>
    <w:rsid w:val="00A20584"/>
    <w:rsid w:val="00A2062F"/>
    <w:rsid w:val="00A20F86"/>
    <w:rsid w:val="00A20FF2"/>
    <w:rsid w:val="00A21AD9"/>
    <w:rsid w:val="00A224F4"/>
    <w:rsid w:val="00A22A21"/>
    <w:rsid w:val="00A22EA8"/>
    <w:rsid w:val="00A232DD"/>
    <w:rsid w:val="00A2363E"/>
    <w:rsid w:val="00A23B35"/>
    <w:rsid w:val="00A241AC"/>
    <w:rsid w:val="00A241F5"/>
    <w:rsid w:val="00A260B6"/>
    <w:rsid w:val="00A271A2"/>
    <w:rsid w:val="00A27563"/>
    <w:rsid w:val="00A27BF0"/>
    <w:rsid w:val="00A3089F"/>
    <w:rsid w:val="00A30AAF"/>
    <w:rsid w:val="00A3122E"/>
    <w:rsid w:val="00A314C6"/>
    <w:rsid w:val="00A3299E"/>
    <w:rsid w:val="00A32D4A"/>
    <w:rsid w:val="00A33147"/>
    <w:rsid w:val="00A36FC2"/>
    <w:rsid w:val="00A37264"/>
    <w:rsid w:val="00A3794A"/>
    <w:rsid w:val="00A37BC3"/>
    <w:rsid w:val="00A400BE"/>
    <w:rsid w:val="00A400FE"/>
    <w:rsid w:val="00A407C3"/>
    <w:rsid w:val="00A409F0"/>
    <w:rsid w:val="00A40B0B"/>
    <w:rsid w:val="00A42048"/>
    <w:rsid w:val="00A4217F"/>
    <w:rsid w:val="00A42E30"/>
    <w:rsid w:val="00A4477C"/>
    <w:rsid w:val="00A44E36"/>
    <w:rsid w:val="00A4534B"/>
    <w:rsid w:val="00A45CAF"/>
    <w:rsid w:val="00A45DBE"/>
    <w:rsid w:val="00A45EE1"/>
    <w:rsid w:val="00A46052"/>
    <w:rsid w:val="00A463EC"/>
    <w:rsid w:val="00A464C0"/>
    <w:rsid w:val="00A46C08"/>
    <w:rsid w:val="00A46CA3"/>
    <w:rsid w:val="00A4727D"/>
    <w:rsid w:val="00A47720"/>
    <w:rsid w:val="00A518F7"/>
    <w:rsid w:val="00A520CC"/>
    <w:rsid w:val="00A520E9"/>
    <w:rsid w:val="00A522F6"/>
    <w:rsid w:val="00A5262E"/>
    <w:rsid w:val="00A52942"/>
    <w:rsid w:val="00A52B40"/>
    <w:rsid w:val="00A52B93"/>
    <w:rsid w:val="00A52BDF"/>
    <w:rsid w:val="00A52C9F"/>
    <w:rsid w:val="00A53021"/>
    <w:rsid w:val="00A535EE"/>
    <w:rsid w:val="00A53DBF"/>
    <w:rsid w:val="00A5439C"/>
    <w:rsid w:val="00A55057"/>
    <w:rsid w:val="00A5505E"/>
    <w:rsid w:val="00A5572A"/>
    <w:rsid w:val="00A55CC9"/>
    <w:rsid w:val="00A55D9F"/>
    <w:rsid w:val="00A5788E"/>
    <w:rsid w:val="00A60C9A"/>
    <w:rsid w:val="00A61084"/>
    <w:rsid w:val="00A6195F"/>
    <w:rsid w:val="00A61C57"/>
    <w:rsid w:val="00A62838"/>
    <w:rsid w:val="00A62D3E"/>
    <w:rsid w:val="00A62EAC"/>
    <w:rsid w:val="00A642A4"/>
    <w:rsid w:val="00A6471B"/>
    <w:rsid w:val="00A64C05"/>
    <w:rsid w:val="00A6559D"/>
    <w:rsid w:val="00A6593E"/>
    <w:rsid w:val="00A66243"/>
    <w:rsid w:val="00A66283"/>
    <w:rsid w:val="00A66AFD"/>
    <w:rsid w:val="00A674E2"/>
    <w:rsid w:val="00A67CDB"/>
    <w:rsid w:val="00A67DED"/>
    <w:rsid w:val="00A70918"/>
    <w:rsid w:val="00A7123D"/>
    <w:rsid w:val="00A72A1F"/>
    <w:rsid w:val="00A73C6B"/>
    <w:rsid w:val="00A73CD2"/>
    <w:rsid w:val="00A74143"/>
    <w:rsid w:val="00A7444F"/>
    <w:rsid w:val="00A74A75"/>
    <w:rsid w:val="00A75119"/>
    <w:rsid w:val="00A7513B"/>
    <w:rsid w:val="00A75220"/>
    <w:rsid w:val="00A75376"/>
    <w:rsid w:val="00A758F5"/>
    <w:rsid w:val="00A76266"/>
    <w:rsid w:val="00A76713"/>
    <w:rsid w:val="00A76913"/>
    <w:rsid w:val="00A76DAB"/>
    <w:rsid w:val="00A77A6D"/>
    <w:rsid w:val="00A77BC0"/>
    <w:rsid w:val="00A77EE5"/>
    <w:rsid w:val="00A8038A"/>
    <w:rsid w:val="00A80A55"/>
    <w:rsid w:val="00A811F9"/>
    <w:rsid w:val="00A813E0"/>
    <w:rsid w:val="00A81DD9"/>
    <w:rsid w:val="00A82E98"/>
    <w:rsid w:val="00A83372"/>
    <w:rsid w:val="00A8391F"/>
    <w:rsid w:val="00A83AC3"/>
    <w:rsid w:val="00A83F68"/>
    <w:rsid w:val="00A840BD"/>
    <w:rsid w:val="00A8470F"/>
    <w:rsid w:val="00A85DB3"/>
    <w:rsid w:val="00A86620"/>
    <w:rsid w:val="00A86A68"/>
    <w:rsid w:val="00A86F08"/>
    <w:rsid w:val="00A87076"/>
    <w:rsid w:val="00A87214"/>
    <w:rsid w:val="00A8749F"/>
    <w:rsid w:val="00A906C4"/>
    <w:rsid w:val="00A90DFD"/>
    <w:rsid w:val="00A91B65"/>
    <w:rsid w:val="00A92220"/>
    <w:rsid w:val="00A9293C"/>
    <w:rsid w:val="00A92941"/>
    <w:rsid w:val="00A92CA7"/>
    <w:rsid w:val="00A92CC3"/>
    <w:rsid w:val="00A92D25"/>
    <w:rsid w:val="00A93F21"/>
    <w:rsid w:val="00A95096"/>
    <w:rsid w:val="00A9514A"/>
    <w:rsid w:val="00A95D92"/>
    <w:rsid w:val="00A97A08"/>
    <w:rsid w:val="00AA082B"/>
    <w:rsid w:val="00AA15D7"/>
    <w:rsid w:val="00AA15EC"/>
    <w:rsid w:val="00AA16B6"/>
    <w:rsid w:val="00AA309E"/>
    <w:rsid w:val="00AA35A7"/>
    <w:rsid w:val="00AA4162"/>
    <w:rsid w:val="00AA4464"/>
    <w:rsid w:val="00AA49D5"/>
    <w:rsid w:val="00AA546A"/>
    <w:rsid w:val="00AA5826"/>
    <w:rsid w:val="00AA6D23"/>
    <w:rsid w:val="00AA74A9"/>
    <w:rsid w:val="00AA7802"/>
    <w:rsid w:val="00AA7A08"/>
    <w:rsid w:val="00AA7F15"/>
    <w:rsid w:val="00AB01EF"/>
    <w:rsid w:val="00AB0640"/>
    <w:rsid w:val="00AB07D7"/>
    <w:rsid w:val="00AB098C"/>
    <w:rsid w:val="00AB0D57"/>
    <w:rsid w:val="00AB113A"/>
    <w:rsid w:val="00AB1C8B"/>
    <w:rsid w:val="00AB2443"/>
    <w:rsid w:val="00AB33A4"/>
    <w:rsid w:val="00AB3B2A"/>
    <w:rsid w:val="00AB3E8B"/>
    <w:rsid w:val="00AB3F49"/>
    <w:rsid w:val="00AB40F1"/>
    <w:rsid w:val="00AB4B50"/>
    <w:rsid w:val="00AB4B86"/>
    <w:rsid w:val="00AB4FE7"/>
    <w:rsid w:val="00AB5149"/>
    <w:rsid w:val="00AB5198"/>
    <w:rsid w:val="00AB5AB8"/>
    <w:rsid w:val="00AB5D07"/>
    <w:rsid w:val="00AB626E"/>
    <w:rsid w:val="00AB7AA8"/>
    <w:rsid w:val="00AB7D14"/>
    <w:rsid w:val="00AC0194"/>
    <w:rsid w:val="00AC01B7"/>
    <w:rsid w:val="00AC364E"/>
    <w:rsid w:val="00AC4D81"/>
    <w:rsid w:val="00AC5163"/>
    <w:rsid w:val="00AC54B0"/>
    <w:rsid w:val="00AC6867"/>
    <w:rsid w:val="00AC6B29"/>
    <w:rsid w:val="00AC72C5"/>
    <w:rsid w:val="00AC763E"/>
    <w:rsid w:val="00AC7FE5"/>
    <w:rsid w:val="00AD0716"/>
    <w:rsid w:val="00AD08EF"/>
    <w:rsid w:val="00AD0C5B"/>
    <w:rsid w:val="00AD1F43"/>
    <w:rsid w:val="00AD31BE"/>
    <w:rsid w:val="00AD498B"/>
    <w:rsid w:val="00AD4ACA"/>
    <w:rsid w:val="00AD4C0C"/>
    <w:rsid w:val="00AD5778"/>
    <w:rsid w:val="00AD588F"/>
    <w:rsid w:val="00AD5A12"/>
    <w:rsid w:val="00AD6304"/>
    <w:rsid w:val="00AD6382"/>
    <w:rsid w:val="00AD75E1"/>
    <w:rsid w:val="00AD7EED"/>
    <w:rsid w:val="00AE0495"/>
    <w:rsid w:val="00AE0FD1"/>
    <w:rsid w:val="00AE201D"/>
    <w:rsid w:val="00AE2D95"/>
    <w:rsid w:val="00AE33FA"/>
    <w:rsid w:val="00AE37DE"/>
    <w:rsid w:val="00AE394F"/>
    <w:rsid w:val="00AE3BBA"/>
    <w:rsid w:val="00AE46E7"/>
    <w:rsid w:val="00AE55D4"/>
    <w:rsid w:val="00AE5719"/>
    <w:rsid w:val="00AE5D0B"/>
    <w:rsid w:val="00AE67BB"/>
    <w:rsid w:val="00AE703C"/>
    <w:rsid w:val="00AE742F"/>
    <w:rsid w:val="00AE76D7"/>
    <w:rsid w:val="00AE7D79"/>
    <w:rsid w:val="00AF0991"/>
    <w:rsid w:val="00AF1C7E"/>
    <w:rsid w:val="00AF234E"/>
    <w:rsid w:val="00AF2350"/>
    <w:rsid w:val="00AF2A5A"/>
    <w:rsid w:val="00AF33C0"/>
    <w:rsid w:val="00AF3A2D"/>
    <w:rsid w:val="00AF3D0A"/>
    <w:rsid w:val="00AF4426"/>
    <w:rsid w:val="00AF45FC"/>
    <w:rsid w:val="00AF48E2"/>
    <w:rsid w:val="00AF521D"/>
    <w:rsid w:val="00AF58AD"/>
    <w:rsid w:val="00AF5D3F"/>
    <w:rsid w:val="00AF6CF2"/>
    <w:rsid w:val="00AF7454"/>
    <w:rsid w:val="00AF768D"/>
    <w:rsid w:val="00AF76FD"/>
    <w:rsid w:val="00AF7D33"/>
    <w:rsid w:val="00B01AC5"/>
    <w:rsid w:val="00B01F95"/>
    <w:rsid w:val="00B05716"/>
    <w:rsid w:val="00B057A4"/>
    <w:rsid w:val="00B06813"/>
    <w:rsid w:val="00B07508"/>
    <w:rsid w:val="00B07C6A"/>
    <w:rsid w:val="00B10F81"/>
    <w:rsid w:val="00B11C0C"/>
    <w:rsid w:val="00B12C1E"/>
    <w:rsid w:val="00B13093"/>
    <w:rsid w:val="00B1335D"/>
    <w:rsid w:val="00B13493"/>
    <w:rsid w:val="00B1390C"/>
    <w:rsid w:val="00B13E03"/>
    <w:rsid w:val="00B1570E"/>
    <w:rsid w:val="00B15D01"/>
    <w:rsid w:val="00B162D4"/>
    <w:rsid w:val="00B168DF"/>
    <w:rsid w:val="00B16E0D"/>
    <w:rsid w:val="00B17687"/>
    <w:rsid w:val="00B17A35"/>
    <w:rsid w:val="00B17AF3"/>
    <w:rsid w:val="00B2196B"/>
    <w:rsid w:val="00B23745"/>
    <w:rsid w:val="00B23824"/>
    <w:rsid w:val="00B23B68"/>
    <w:rsid w:val="00B248B2"/>
    <w:rsid w:val="00B2491B"/>
    <w:rsid w:val="00B24B5E"/>
    <w:rsid w:val="00B25145"/>
    <w:rsid w:val="00B26147"/>
    <w:rsid w:val="00B2707A"/>
    <w:rsid w:val="00B27A59"/>
    <w:rsid w:val="00B30365"/>
    <w:rsid w:val="00B30BF9"/>
    <w:rsid w:val="00B30CA4"/>
    <w:rsid w:val="00B3199A"/>
    <w:rsid w:val="00B31B29"/>
    <w:rsid w:val="00B32724"/>
    <w:rsid w:val="00B329AB"/>
    <w:rsid w:val="00B32AED"/>
    <w:rsid w:val="00B333C2"/>
    <w:rsid w:val="00B34221"/>
    <w:rsid w:val="00B35BFC"/>
    <w:rsid w:val="00B36CC8"/>
    <w:rsid w:val="00B36F36"/>
    <w:rsid w:val="00B37428"/>
    <w:rsid w:val="00B379C9"/>
    <w:rsid w:val="00B37BCA"/>
    <w:rsid w:val="00B40769"/>
    <w:rsid w:val="00B40F83"/>
    <w:rsid w:val="00B411D7"/>
    <w:rsid w:val="00B4157F"/>
    <w:rsid w:val="00B41713"/>
    <w:rsid w:val="00B41CFA"/>
    <w:rsid w:val="00B42F3A"/>
    <w:rsid w:val="00B436EC"/>
    <w:rsid w:val="00B43CF4"/>
    <w:rsid w:val="00B44082"/>
    <w:rsid w:val="00B44126"/>
    <w:rsid w:val="00B45C74"/>
    <w:rsid w:val="00B46104"/>
    <w:rsid w:val="00B46B4D"/>
    <w:rsid w:val="00B46D4E"/>
    <w:rsid w:val="00B47AE6"/>
    <w:rsid w:val="00B501F7"/>
    <w:rsid w:val="00B50C14"/>
    <w:rsid w:val="00B50CCC"/>
    <w:rsid w:val="00B510D9"/>
    <w:rsid w:val="00B51F17"/>
    <w:rsid w:val="00B522D0"/>
    <w:rsid w:val="00B52BDE"/>
    <w:rsid w:val="00B5301A"/>
    <w:rsid w:val="00B53655"/>
    <w:rsid w:val="00B554AB"/>
    <w:rsid w:val="00B5553F"/>
    <w:rsid w:val="00B55BC9"/>
    <w:rsid w:val="00B5618B"/>
    <w:rsid w:val="00B5687C"/>
    <w:rsid w:val="00B601FA"/>
    <w:rsid w:val="00B60301"/>
    <w:rsid w:val="00B612AE"/>
    <w:rsid w:val="00B61510"/>
    <w:rsid w:val="00B61738"/>
    <w:rsid w:val="00B62E36"/>
    <w:rsid w:val="00B62E86"/>
    <w:rsid w:val="00B63998"/>
    <w:rsid w:val="00B63BDF"/>
    <w:rsid w:val="00B63E50"/>
    <w:rsid w:val="00B64041"/>
    <w:rsid w:val="00B64920"/>
    <w:rsid w:val="00B64964"/>
    <w:rsid w:val="00B65D1D"/>
    <w:rsid w:val="00B65DD7"/>
    <w:rsid w:val="00B65EE3"/>
    <w:rsid w:val="00B66140"/>
    <w:rsid w:val="00B66A04"/>
    <w:rsid w:val="00B676FA"/>
    <w:rsid w:val="00B70139"/>
    <w:rsid w:val="00B703BD"/>
    <w:rsid w:val="00B7062A"/>
    <w:rsid w:val="00B706E0"/>
    <w:rsid w:val="00B70732"/>
    <w:rsid w:val="00B7095C"/>
    <w:rsid w:val="00B713CB"/>
    <w:rsid w:val="00B71D65"/>
    <w:rsid w:val="00B723C1"/>
    <w:rsid w:val="00B726FD"/>
    <w:rsid w:val="00B72AB0"/>
    <w:rsid w:val="00B72E18"/>
    <w:rsid w:val="00B73120"/>
    <w:rsid w:val="00B73623"/>
    <w:rsid w:val="00B738C4"/>
    <w:rsid w:val="00B73A54"/>
    <w:rsid w:val="00B7427A"/>
    <w:rsid w:val="00B7429A"/>
    <w:rsid w:val="00B7465F"/>
    <w:rsid w:val="00B759B2"/>
    <w:rsid w:val="00B778B2"/>
    <w:rsid w:val="00B8002B"/>
    <w:rsid w:val="00B803BA"/>
    <w:rsid w:val="00B80A85"/>
    <w:rsid w:val="00B80C63"/>
    <w:rsid w:val="00B80D62"/>
    <w:rsid w:val="00B82846"/>
    <w:rsid w:val="00B836FE"/>
    <w:rsid w:val="00B8370F"/>
    <w:rsid w:val="00B83F54"/>
    <w:rsid w:val="00B8439E"/>
    <w:rsid w:val="00B853D6"/>
    <w:rsid w:val="00B86A53"/>
    <w:rsid w:val="00B875BA"/>
    <w:rsid w:val="00B907D1"/>
    <w:rsid w:val="00B90C07"/>
    <w:rsid w:val="00B90C74"/>
    <w:rsid w:val="00B91A83"/>
    <w:rsid w:val="00B92C24"/>
    <w:rsid w:val="00B92D11"/>
    <w:rsid w:val="00B931AF"/>
    <w:rsid w:val="00B93A61"/>
    <w:rsid w:val="00B93C73"/>
    <w:rsid w:val="00B9498C"/>
    <w:rsid w:val="00B9516E"/>
    <w:rsid w:val="00B95FC0"/>
    <w:rsid w:val="00B96B63"/>
    <w:rsid w:val="00B96B9A"/>
    <w:rsid w:val="00B97A4E"/>
    <w:rsid w:val="00B97D9D"/>
    <w:rsid w:val="00BA0258"/>
    <w:rsid w:val="00BA0517"/>
    <w:rsid w:val="00BA0AC9"/>
    <w:rsid w:val="00BA15F0"/>
    <w:rsid w:val="00BA1645"/>
    <w:rsid w:val="00BA171D"/>
    <w:rsid w:val="00BA224F"/>
    <w:rsid w:val="00BA2562"/>
    <w:rsid w:val="00BA2FE6"/>
    <w:rsid w:val="00BA3778"/>
    <w:rsid w:val="00BA4102"/>
    <w:rsid w:val="00BA4869"/>
    <w:rsid w:val="00BA6C77"/>
    <w:rsid w:val="00BA750E"/>
    <w:rsid w:val="00BA7ACC"/>
    <w:rsid w:val="00BB028C"/>
    <w:rsid w:val="00BB1E6A"/>
    <w:rsid w:val="00BB21FF"/>
    <w:rsid w:val="00BB24AF"/>
    <w:rsid w:val="00BB2546"/>
    <w:rsid w:val="00BB274D"/>
    <w:rsid w:val="00BB2D9C"/>
    <w:rsid w:val="00BB2FE5"/>
    <w:rsid w:val="00BB537E"/>
    <w:rsid w:val="00BB5F35"/>
    <w:rsid w:val="00BB6159"/>
    <w:rsid w:val="00BB6FCD"/>
    <w:rsid w:val="00BB75F8"/>
    <w:rsid w:val="00BC009B"/>
    <w:rsid w:val="00BC06E8"/>
    <w:rsid w:val="00BC08E7"/>
    <w:rsid w:val="00BC1867"/>
    <w:rsid w:val="00BC2272"/>
    <w:rsid w:val="00BC24A3"/>
    <w:rsid w:val="00BC3059"/>
    <w:rsid w:val="00BC4216"/>
    <w:rsid w:val="00BC4BB9"/>
    <w:rsid w:val="00BC4D2C"/>
    <w:rsid w:val="00BC4E7F"/>
    <w:rsid w:val="00BC6E1A"/>
    <w:rsid w:val="00BC6E24"/>
    <w:rsid w:val="00BC7A93"/>
    <w:rsid w:val="00BC7C80"/>
    <w:rsid w:val="00BD0435"/>
    <w:rsid w:val="00BD04EF"/>
    <w:rsid w:val="00BD075C"/>
    <w:rsid w:val="00BD0EF8"/>
    <w:rsid w:val="00BD1696"/>
    <w:rsid w:val="00BD1942"/>
    <w:rsid w:val="00BD1D99"/>
    <w:rsid w:val="00BD2E96"/>
    <w:rsid w:val="00BD325B"/>
    <w:rsid w:val="00BD431A"/>
    <w:rsid w:val="00BD5679"/>
    <w:rsid w:val="00BD5776"/>
    <w:rsid w:val="00BD603B"/>
    <w:rsid w:val="00BD6831"/>
    <w:rsid w:val="00BD6E38"/>
    <w:rsid w:val="00BD6E43"/>
    <w:rsid w:val="00BD715E"/>
    <w:rsid w:val="00BE022F"/>
    <w:rsid w:val="00BE09B6"/>
    <w:rsid w:val="00BE0A49"/>
    <w:rsid w:val="00BE0C6A"/>
    <w:rsid w:val="00BE1429"/>
    <w:rsid w:val="00BE155A"/>
    <w:rsid w:val="00BE1AD6"/>
    <w:rsid w:val="00BE29E0"/>
    <w:rsid w:val="00BE2DFF"/>
    <w:rsid w:val="00BE4178"/>
    <w:rsid w:val="00BE4CFF"/>
    <w:rsid w:val="00BE4E3A"/>
    <w:rsid w:val="00BE5D3C"/>
    <w:rsid w:val="00BE64B1"/>
    <w:rsid w:val="00BE652A"/>
    <w:rsid w:val="00BE6DA2"/>
    <w:rsid w:val="00BE77A4"/>
    <w:rsid w:val="00BF0182"/>
    <w:rsid w:val="00BF0904"/>
    <w:rsid w:val="00BF1795"/>
    <w:rsid w:val="00BF1C3B"/>
    <w:rsid w:val="00BF25B3"/>
    <w:rsid w:val="00BF2656"/>
    <w:rsid w:val="00BF2FE0"/>
    <w:rsid w:val="00BF3132"/>
    <w:rsid w:val="00BF49BF"/>
    <w:rsid w:val="00BF5019"/>
    <w:rsid w:val="00BF5230"/>
    <w:rsid w:val="00BF59F0"/>
    <w:rsid w:val="00BF60E4"/>
    <w:rsid w:val="00BF724E"/>
    <w:rsid w:val="00BF7E39"/>
    <w:rsid w:val="00C00D03"/>
    <w:rsid w:val="00C00FA2"/>
    <w:rsid w:val="00C019FF"/>
    <w:rsid w:val="00C01BEA"/>
    <w:rsid w:val="00C01BFF"/>
    <w:rsid w:val="00C01F16"/>
    <w:rsid w:val="00C025EB"/>
    <w:rsid w:val="00C026DA"/>
    <w:rsid w:val="00C033A9"/>
    <w:rsid w:val="00C0359E"/>
    <w:rsid w:val="00C03FD9"/>
    <w:rsid w:val="00C04058"/>
    <w:rsid w:val="00C044A3"/>
    <w:rsid w:val="00C048B2"/>
    <w:rsid w:val="00C049B6"/>
    <w:rsid w:val="00C05321"/>
    <w:rsid w:val="00C05506"/>
    <w:rsid w:val="00C055F2"/>
    <w:rsid w:val="00C06230"/>
    <w:rsid w:val="00C06BB5"/>
    <w:rsid w:val="00C071DE"/>
    <w:rsid w:val="00C0795A"/>
    <w:rsid w:val="00C0795D"/>
    <w:rsid w:val="00C07E6F"/>
    <w:rsid w:val="00C10CB1"/>
    <w:rsid w:val="00C10E10"/>
    <w:rsid w:val="00C10FB3"/>
    <w:rsid w:val="00C116CF"/>
    <w:rsid w:val="00C11CA5"/>
    <w:rsid w:val="00C12322"/>
    <w:rsid w:val="00C1254F"/>
    <w:rsid w:val="00C126CF"/>
    <w:rsid w:val="00C12E2F"/>
    <w:rsid w:val="00C1310F"/>
    <w:rsid w:val="00C1335F"/>
    <w:rsid w:val="00C133BA"/>
    <w:rsid w:val="00C1426F"/>
    <w:rsid w:val="00C14272"/>
    <w:rsid w:val="00C14DBB"/>
    <w:rsid w:val="00C1522A"/>
    <w:rsid w:val="00C152A8"/>
    <w:rsid w:val="00C15CD7"/>
    <w:rsid w:val="00C16B03"/>
    <w:rsid w:val="00C16CFB"/>
    <w:rsid w:val="00C16E23"/>
    <w:rsid w:val="00C17462"/>
    <w:rsid w:val="00C206B5"/>
    <w:rsid w:val="00C207A2"/>
    <w:rsid w:val="00C20A2A"/>
    <w:rsid w:val="00C20DBA"/>
    <w:rsid w:val="00C2131F"/>
    <w:rsid w:val="00C214D6"/>
    <w:rsid w:val="00C21F1D"/>
    <w:rsid w:val="00C22562"/>
    <w:rsid w:val="00C225BD"/>
    <w:rsid w:val="00C22B7A"/>
    <w:rsid w:val="00C23232"/>
    <w:rsid w:val="00C23C79"/>
    <w:rsid w:val="00C24265"/>
    <w:rsid w:val="00C245CA"/>
    <w:rsid w:val="00C24ACB"/>
    <w:rsid w:val="00C24ECC"/>
    <w:rsid w:val="00C2591A"/>
    <w:rsid w:val="00C269A6"/>
    <w:rsid w:val="00C275A0"/>
    <w:rsid w:val="00C27EBC"/>
    <w:rsid w:val="00C30E1F"/>
    <w:rsid w:val="00C30F7A"/>
    <w:rsid w:val="00C30FF7"/>
    <w:rsid w:val="00C316D0"/>
    <w:rsid w:val="00C3276C"/>
    <w:rsid w:val="00C330C0"/>
    <w:rsid w:val="00C33659"/>
    <w:rsid w:val="00C34A96"/>
    <w:rsid w:val="00C34D75"/>
    <w:rsid w:val="00C35B09"/>
    <w:rsid w:val="00C361FC"/>
    <w:rsid w:val="00C3652E"/>
    <w:rsid w:val="00C37376"/>
    <w:rsid w:val="00C406E4"/>
    <w:rsid w:val="00C40A94"/>
    <w:rsid w:val="00C41649"/>
    <w:rsid w:val="00C41963"/>
    <w:rsid w:val="00C42785"/>
    <w:rsid w:val="00C42D68"/>
    <w:rsid w:val="00C44739"/>
    <w:rsid w:val="00C44D7A"/>
    <w:rsid w:val="00C4601B"/>
    <w:rsid w:val="00C465A9"/>
    <w:rsid w:val="00C46FEE"/>
    <w:rsid w:val="00C47010"/>
    <w:rsid w:val="00C47617"/>
    <w:rsid w:val="00C50895"/>
    <w:rsid w:val="00C50A51"/>
    <w:rsid w:val="00C5198B"/>
    <w:rsid w:val="00C51A9E"/>
    <w:rsid w:val="00C525E7"/>
    <w:rsid w:val="00C52689"/>
    <w:rsid w:val="00C528D2"/>
    <w:rsid w:val="00C539B6"/>
    <w:rsid w:val="00C545E0"/>
    <w:rsid w:val="00C5473D"/>
    <w:rsid w:val="00C55044"/>
    <w:rsid w:val="00C55922"/>
    <w:rsid w:val="00C55BA4"/>
    <w:rsid w:val="00C56BF9"/>
    <w:rsid w:val="00C56CF4"/>
    <w:rsid w:val="00C56F7F"/>
    <w:rsid w:val="00C5723B"/>
    <w:rsid w:val="00C6005D"/>
    <w:rsid w:val="00C60BEF"/>
    <w:rsid w:val="00C61179"/>
    <w:rsid w:val="00C6145F"/>
    <w:rsid w:val="00C61B93"/>
    <w:rsid w:val="00C61BC3"/>
    <w:rsid w:val="00C61F4B"/>
    <w:rsid w:val="00C6210A"/>
    <w:rsid w:val="00C62312"/>
    <w:rsid w:val="00C6286D"/>
    <w:rsid w:val="00C62C2C"/>
    <w:rsid w:val="00C62CAA"/>
    <w:rsid w:val="00C63986"/>
    <w:rsid w:val="00C64FA8"/>
    <w:rsid w:val="00C65280"/>
    <w:rsid w:val="00C656D6"/>
    <w:rsid w:val="00C65888"/>
    <w:rsid w:val="00C658D5"/>
    <w:rsid w:val="00C65E8B"/>
    <w:rsid w:val="00C66F9E"/>
    <w:rsid w:val="00C67444"/>
    <w:rsid w:val="00C6749D"/>
    <w:rsid w:val="00C70237"/>
    <w:rsid w:val="00C70814"/>
    <w:rsid w:val="00C70ED7"/>
    <w:rsid w:val="00C711BB"/>
    <w:rsid w:val="00C711C2"/>
    <w:rsid w:val="00C71ACD"/>
    <w:rsid w:val="00C71D48"/>
    <w:rsid w:val="00C72E83"/>
    <w:rsid w:val="00C7326E"/>
    <w:rsid w:val="00C7395F"/>
    <w:rsid w:val="00C74082"/>
    <w:rsid w:val="00C748A8"/>
    <w:rsid w:val="00C74E36"/>
    <w:rsid w:val="00C75ED7"/>
    <w:rsid w:val="00C762F9"/>
    <w:rsid w:val="00C76330"/>
    <w:rsid w:val="00C766EB"/>
    <w:rsid w:val="00C8041D"/>
    <w:rsid w:val="00C819AA"/>
    <w:rsid w:val="00C82534"/>
    <w:rsid w:val="00C82733"/>
    <w:rsid w:val="00C82B51"/>
    <w:rsid w:val="00C82B70"/>
    <w:rsid w:val="00C83E6F"/>
    <w:rsid w:val="00C847A7"/>
    <w:rsid w:val="00C85788"/>
    <w:rsid w:val="00C85D8B"/>
    <w:rsid w:val="00C87002"/>
    <w:rsid w:val="00C871BA"/>
    <w:rsid w:val="00C8736D"/>
    <w:rsid w:val="00C873F0"/>
    <w:rsid w:val="00C87769"/>
    <w:rsid w:val="00C9023E"/>
    <w:rsid w:val="00C9063C"/>
    <w:rsid w:val="00C90676"/>
    <w:rsid w:val="00C90A09"/>
    <w:rsid w:val="00C90D5E"/>
    <w:rsid w:val="00C90E1C"/>
    <w:rsid w:val="00C91D3D"/>
    <w:rsid w:val="00C91F32"/>
    <w:rsid w:val="00C92475"/>
    <w:rsid w:val="00C9336F"/>
    <w:rsid w:val="00C93708"/>
    <w:rsid w:val="00C9421C"/>
    <w:rsid w:val="00C942EB"/>
    <w:rsid w:val="00C94E29"/>
    <w:rsid w:val="00C95031"/>
    <w:rsid w:val="00C958DA"/>
    <w:rsid w:val="00C95B63"/>
    <w:rsid w:val="00C96071"/>
    <w:rsid w:val="00C960FA"/>
    <w:rsid w:val="00C9698C"/>
    <w:rsid w:val="00C96EC3"/>
    <w:rsid w:val="00C970EF"/>
    <w:rsid w:val="00C97475"/>
    <w:rsid w:val="00C97BA9"/>
    <w:rsid w:val="00CA0078"/>
    <w:rsid w:val="00CA04F0"/>
    <w:rsid w:val="00CA0E73"/>
    <w:rsid w:val="00CA1EFA"/>
    <w:rsid w:val="00CA2D4D"/>
    <w:rsid w:val="00CA305E"/>
    <w:rsid w:val="00CA43DB"/>
    <w:rsid w:val="00CA4EDE"/>
    <w:rsid w:val="00CA5373"/>
    <w:rsid w:val="00CA57EC"/>
    <w:rsid w:val="00CA64FF"/>
    <w:rsid w:val="00CA6AC4"/>
    <w:rsid w:val="00CA6F8D"/>
    <w:rsid w:val="00CA7C48"/>
    <w:rsid w:val="00CA7C72"/>
    <w:rsid w:val="00CA7E56"/>
    <w:rsid w:val="00CB1938"/>
    <w:rsid w:val="00CB25EE"/>
    <w:rsid w:val="00CB2607"/>
    <w:rsid w:val="00CB2673"/>
    <w:rsid w:val="00CB2694"/>
    <w:rsid w:val="00CB4843"/>
    <w:rsid w:val="00CB48BC"/>
    <w:rsid w:val="00CB4CB8"/>
    <w:rsid w:val="00CB4EFB"/>
    <w:rsid w:val="00CB5A1A"/>
    <w:rsid w:val="00CB5A66"/>
    <w:rsid w:val="00CB5C9E"/>
    <w:rsid w:val="00CB5E13"/>
    <w:rsid w:val="00CB6733"/>
    <w:rsid w:val="00CB6FD8"/>
    <w:rsid w:val="00CB721A"/>
    <w:rsid w:val="00CB75AD"/>
    <w:rsid w:val="00CB7FA7"/>
    <w:rsid w:val="00CC113D"/>
    <w:rsid w:val="00CC188E"/>
    <w:rsid w:val="00CC1AE1"/>
    <w:rsid w:val="00CC25FB"/>
    <w:rsid w:val="00CC2754"/>
    <w:rsid w:val="00CC2C15"/>
    <w:rsid w:val="00CC2C6D"/>
    <w:rsid w:val="00CC2D6B"/>
    <w:rsid w:val="00CC53A8"/>
    <w:rsid w:val="00CC7509"/>
    <w:rsid w:val="00CC7B8D"/>
    <w:rsid w:val="00CC7CEA"/>
    <w:rsid w:val="00CC7EED"/>
    <w:rsid w:val="00CD02D8"/>
    <w:rsid w:val="00CD1C72"/>
    <w:rsid w:val="00CD1D21"/>
    <w:rsid w:val="00CD2648"/>
    <w:rsid w:val="00CD3096"/>
    <w:rsid w:val="00CD370E"/>
    <w:rsid w:val="00CD383A"/>
    <w:rsid w:val="00CD3A06"/>
    <w:rsid w:val="00CD3BC9"/>
    <w:rsid w:val="00CD4CCB"/>
    <w:rsid w:val="00CD5836"/>
    <w:rsid w:val="00CD5DA4"/>
    <w:rsid w:val="00CD6B6E"/>
    <w:rsid w:val="00CD708B"/>
    <w:rsid w:val="00CD7EA2"/>
    <w:rsid w:val="00CE0485"/>
    <w:rsid w:val="00CE04B2"/>
    <w:rsid w:val="00CE0C7F"/>
    <w:rsid w:val="00CE1335"/>
    <w:rsid w:val="00CE1CC4"/>
    <w:rsid w:val="00CE2A47"/>
    <w:rsid w:val="00CE2A6E"/>
    <w:rsid w:val="00CE2C34"/>
    <w:rsid w:val="00CE2EC8"/>
    <w:rsid w:val="00CE4382"/>
    <w:rsid w:val="00CE5787"/>
    <w:rsid w:val="00CE5962"/>
    <w:rsid w:val="00CE59D5"/>
    <w:rsid w:val="00CE5D3F"/>
    <w:rsid w:val="00CE64F4"/>
    <w:rsid w:val="00CE6539"/>
    <w:rsid w:val="00CE6FC3"/>
    <w:rsid w:val="00CE76A3"/>
    <w:rsid w:val="00CE77CE"/>
    <w:rsid w:val="00CE7A07"/>
    <w:rsid w:val="00CE7DDD"/>
    <w:rsid w:val="00CF04F7"/>
    <w:rsid w:val="00CF0521"/>
    <w:rsid w:val="00CF1FD2"/>
    <w:rsid w:val="00CF2C5A"/>
    <w:rsid w:val="00CF2DC7"/>
    <w:rsid w:val="00CF3106"/>
    <w:rsid w:val="00CF4781"/>
    <w:rsid w:val="00CF5139"/>
    <w:rsid w:val="00CF5393"/>
    <w:rsid w:val="00CF671E"/>
    <w:rsid w:val="00CF67C3"/>
    <w:rsid w:val="00CF69E8"/>
    <w:rsid w:val="00CF7118"/>
    <w:rsid w:val="00CF787D"/>
    <w:rsid w:val="00D014E4"/>
    <w:rsid w:val="00D03526"/>
    <w:rsid w:val="00D039C4"/>
    <w:rsid w:val="00D03E93"/>
    <w:rsid w:val="00D0618D"/>
    <w:rsid w:val="00D06255"/>
    <w:rsid w:val="00D06352"/>
    <w:rsid w:val="00D068AC"/>
    <w:rsid w:val="00D06E51"/>
    <w:rsid w:val="00D06F48"/>
    <w:rsid w:val="00D07A9F"/>
    <w:rsid w:val="00D07CAC"/>
    <w:rsid w:val="00D07F21"/>
    <w:rsid w:val="00D1047F"/>
    <w:rsid w:val="00D107A3"/>
    <w:rsid w:val="00D10CBB"/>
    <w:rsid w:val="00D120D8"/>
    <w:rsid w:val="00D12591"/>
    <w:rsid w:val="00D1265F"/>
    <w:rsid w:val="00D13AC4"/>
    <w:rsid w:val="00D14497"/>
    <w:rsid w:val="00D14895"/>
    <w:rsid w:val="00D14B5E"/>
    <w:rsid w:val="00D154A6"/>
    <w:rsid w:val="00D15AE6"/>
    <w:rsid w:val="00D165DD"/>
    <w:rsid w:val="00D173E2"/>
    <w:rsid w:val="00D20F74"/>
    <w:rsid w:val="00D20FAC"/>
    <w:rsid w:val="00D211CE"/>
    <w:rsid w:val="00D214F9"/>
    <w:rsid w:val="00D21C0C"/>
    <w:rsid w:val="00D22568"/>
    <w:rsid w:val="00D2478C"/>
    <w:rsid w:val="00D24A0A"/>
    <w:rsid w:val="00D24D79"/>
    <w:rsid w:val="00D25032"/>
    <w:rsid w:val="00D25C13"/>
    <w:rsid w:val="00D261AB"/>
    <w:rsid w:val="00D268F6"/>
    <w:rsid w:val="00D2734D"/>
    <w:rsid w:val="00D27B3B"/>
    <w:rsid w:val="00D31474"/>
    <w:rsid w:val="00D316CA"/>
    <w:rsid w:val="00D31FE9"/>
    <w:rsid w:val="00D3264A"/>
    <w:rsid w:val="00D32D9A"/>
    <w:rsid w:val="00D32F60"/>
    <w:rsid w:val="00D3315A"/>
    <w:rsid w:val="00D33304"/>
    <w:rsid w:val="00D339D1"/>
    <w:rsid w:val="00D33CDC"/>
    <w:rsid w:val="00D358E2"/>
    <w:rsid w:val="00D35F5F"/>
    <w:rsid w:val="00D361F2"/>
    <w:rsid w:val="00D37C11"/>
    <w:rsid w:val="00D37CE7"/>
    <w:rsid w:val="00D402BD"/>
    <w:rsid w:val="00D403AC"/>
    <w:rsid w:val="00D40B39"/>
    <w:rsid w:val="00D40D76"/>
    <w:rsid w:val="00D41287"/>
    <w:rsid w:val="00D42808"/>
    <w:rsid w:val="00D4302D"/>
    <w:rsid w:val="00D43D0C"/>
    <w:rsid w:val="00D44372"/>
    <w:rsid w:val="00D44694"/>
    <w:rsid w:val="00D45262"/>
    <w:rsid w:val="00D47168"/>
    <w:rsid w:val="00D473B5"/>
    <w:rsid w:val="00D47F82"/>
    <w:rsid w:val="00D50C83"/>
    <w:rsid w:val="00D51017"/>
    <w:rsid w:val="00D51AC0"/>
    <w:rsid w:val="00D52DA1"/>
    <w:rsid w:val="00D5390D"/>
    <w:rsid w:val="00D53A19"/>
    <w:rsid w:val="00D542CC"/>
    <w:rsid w:val="00D54BDC"/>
    <w:rsid w:val="00D54D6D"/>
    <w:rsid w:val="00D54E23"/>
    <w:rsid w:val="00D5531D"/>
    <w:rsid w:val="00D55D60"/>
    <w:rsid w:val="00D56119"/>
    <w:rsid w:val="00D5642C"/>
    <w:rsid w:val="00D56A04"/>
    <w:rsid w:val="00D56EB9"/>
    <w:rsid w:val="00D60239"/>
    <w:rsid w:val="00D60444"/>
    <w:rsid w:val="00D6077A"/>
    <w:rsid w:val="00D61B82"/>
    <w:rsid w:val="00D62E62"/>
    <w:rsid w:val="00D631BC"/>
    <w:rsid w:val="00D63A68"/>
    <w:rsid w:val="00D63A73"/>
    <w:rsid w:val="00D646B2"/>
    <w:rsid w:val="00D647A2"/>
    <w:rsid w:val="00D649B6"/>
    <w:rsid w:val="00D656B7"/>
    <w:rsid w:val="00D65CD2"/>
    <w:rsid w:val="00D65CE7"/>
    <w:rsid w:val="00D66F4B"/>
    <w:rsid w:val="00D67032"/>
    <w:rsid w:val="00D6739F"/>
    <w:rsid w:val="00D700BC"/>
    <w:rsid w:val="00D70518"/>
    <w:rsid w:val="00D70DFF"/>
    <w:rsid w:val="00D71008"/>
    <w:rsid w:val="00D71CD7"/>
    <w:rsid w:val="00D71EEB"/>
    <w:rsid w:val="00D738A6"/>
    <w:rsid w:val="00D73D82"/>
    <w:rsid w:val="00D74105"/>
    <w:rsid w:val="00D7410A"/>
    <w:rsid w:val="00D74D5F"/>
    <w:rsid w:val="00D752A9"/>
    <w:rsid w:val="00D75461"/>
    <w:rsid w:val="00D75955"/>
    <w:rsid w:val="00D76651"/>
    <w:rsid w:val="00D80DA5"/>
    <w:rsid w:val="00D810C7"/>
    <w:rsid w:val="00D81175"/>
    <w:rsid w:val="00D81506"/>
    <w:rsid w:val="00D81AA7"/>
    <w:rsid w:val="00D81AD0"/>
    <w:rsid w:val="00D82756"/>
    <w:rsid w:val="00D83930"/>
    <w:rsid w:val="00D83BBA"/>
    <w:rsid w:val="00D83E6D"/>
    <w:rsid w:val="00D84031"/>
    <w:rsid w:val="00D841C9"/>
    <w:rsid w:val="00D85159"/>
    <w:rsid w:val="00D852EC"/>
    <w:rsid w:val="00D8575C"/>
    <w:rsid w:val="00D85B56"/>
    <w:rsid w:val="00D85D7C"/>
    <w:rsid w:val="00D862D0"/>
    <w:rsid w:val="00D8664A"/>
    <w:rsid w:val="00D86777"/>
    <w:rsid w:val="00D869B7"/>
    <w:rsid w:val="00D86FA5"/>
    <w:rsid w:val="00D871D7"/>
    <w:rsid w:val="00D87260"/>
    <w:rsid w:val="00D87BD7"/>
    <w:rsid w:val="00D907BB"/>
    <w:rsid w:val="00D90AB9"/>
    <w:rsid w:val="00D92133"/>
    <w:rsid w:val="00D921FE"/>
    <w:rsid w:val="00D92B3D"/>
    <w:rsid w:val="00D92E61"/>
    <w:rsid w:val="00D92E7A"/>
    <w:rsid w:val="00D942A1"/>
    <w:rsid w:val="00D94997"/>
    <w:rsid w:val="00D94D79"/>
    <w:rsid w:val="00D94E4D"/>
    <w:rsid w:val="00D956D6"/>
    <w:rsid w:val="00D9624C"/>
    <w:rsid w:val="00D96AAA"/>
    <w:rsid w:val="00D9741C"/>
    <w:rsid w:val="00DA0935"/>
    <w:rsid w:val="00DA1039"/>
    <w:rsid w:val="00DA1160"/>
    <w:rsid w:val="00DA11E0"/>
    <w:rsid w:val="00DA1CAA"/>
    <w:rsid w:val="00DA25B2"/>
    <w:rsid w:val="00DA274D"/>
    <w:rsid w:val="00DA277A"/>
    <w:rsid w:val="00DA2F39"/>
    <w:rsid w:val="00DA4C89"/>
    <w:rsid w:val="00DA569C"/>
    <w:rsid w:val="00DA7156"/>
    <w:rsid w:val="00DB05FC"/>
    <w:rsid w:val="00DB09D4"/>
    <w:rsid w:val="00DB0C8B"/>
    <w:rsid w:val="00DB13A9"/>
    <w:rsid w:val="00DB157E"/>
    <w:rsid w:val="00DB169D"/>
    <w:rsid w:val="00DB17DF"/>
    <w:rsid w:val="00DB1CFA"/>
    <w:rsid w:val="00DB2054"/>
    <w:rsid w:val="00DB2430"/>
    <w:rsid w:val="00DB28EB"/>
    <w:rsid w:val="00DB3298"/>
    <w:rsid w:val="00DB422A"/>
    <w:rsid w:val="00DB4252"/>
    <w:rsid w:val="00DB4594"/>
    <w:rsid w:val="00DB4946"/>
    <w:rsid w:val="00DB56DA"/>
    <w:rsid w:val="00DB60DE"/>
    <w:rsid w:val="00DB6798"/>
    <w:rsid w:val="00DB773E"/>
    <w:rsid w:val="00DC2305"/>
    <w:rsid w:val="00DC356F"/>
    <w:rsid w:val="00DC3584"/>
    <w:rsid w:val="00DC4911"/>
    <w:rsid w:val="00DC4D77"/>
    <w:rsid w:val="00DC4EB7"/>
    <w:rsid w:val="00DC4F2A"/>
    <w:rsid w:val="00DC4FD0"/>
    <w:rsid w:val="00DC5BE2"/>
    <w:rsid w:val="00DC63B7"/>
    <w:rsid w:val="00DC69F8"/>
    <w:rsid w:val="00DC6C50"/>
    <w:rsid w:val="00DC7906"/>
    <w:rsid w:val="00DD046E"/>
    <w:rsid w:val="00DD04CD"/>
    <w:rsid w:val="00DD1488"/>
    <w:rsid w:val="00DD1FF4"/>
    <w:rsid w:val="00DD2901"/>
    <w:rsid w:val="00DD2BA6"/>
    <w:rsid w:val="00DD2C94"/>
    <w:rsid w:val="00DD3696"/>
    <w:rsid w:val="00DD3A92"/>
    <w:rsid w:val="00DD3C01"/>
    <w:rsid w:val="00DD3CC5"/>
    <w:rsid w:val="00DD3E66"/>
    <w:rsid w:val="00DD45F6"/>
    <w:rsid w:val="00DD472D"/>
    <w:rsid w:val="00DD474D"/>
    <w:rsid w:val="00DD4AFD"/>
    <w:rsid w:val="00DD594B"/>
    <w:rsid w:val="00DD5CDF"/>
    <w:rsid w:val="00DD6057"/>
    <w:rsid w:val="00DD6BE5"/>
    <w:rsid w:val="00DD72E6"/>
    <w:rsid w:val="00DD7596"/>
    <w:rsid w:val="00DD76A8"/>
    <w:rsid w:val="00DD7C91"/>
    <w:rsid w:val="00DD7D47"/>
    <w:rsid w:val="00DD7DFB"/>
    <w:rsid w:val="00DE1119"/>
    <w:rsid w:val="00DE1BA2"/>
    <w:rsid w:val="00DE1C6C"/>
    <w:rsid w:val="00DE1D3C"/>
    <w:rsid w:val="00DE21E5"/>
    <w:rsid w:val="00DE2700"/>
    <w:rsid w:val="00DE2A13"/>
    <w:rsid w:val="00DE393D"/>
    <w:rsid w:val="00DE4A93"/>
    <w:rsid w:val="00DE5444"/>
    <w:rsid w:val="00DE771C"/>
    <w:rsid w:val="00DE7B86"/>
    <w:rsid w:val="00DE7D48"/>
    <w:rsid w:val="00DE7DDB"/>
    <w:rsid w:val="00DE7E6F"/>
    <w:rsid w:val="00DF02C6"/>
    <w:rsid w:val="00DF0308"/>
    <w:rsid w:val="00DF068F"/>
    <w:rsid w:val="00DF0866"/>
    <w:rsid w:val="00DF0A99"/>
    <w:rsid w:val="00DF1BD9"/>
    <w:rsid w:val="00DF2332"/>
    <w:rsid w:val="00DF3C60"/>
    <w:rsid w:val="00DF3F85"/>
    <w:rsid w:val="00DF6901"/>
    <w:rsid w:val="00DF6E33"/>
    <w:rsid w:val="00DF7159"/>
    <w:rsid w:val="00DF75BF"/>
    <w:rsid w:val="00DF787D"/>
    <w:rsid w:val="00E00AF9"/>
    <w:rsid w:val="00E00DF4"/>
    <w:rsid w:val="00E01309"/>
    <w:rsid w:val="00E019D3"/>
    <w:rsid w:val="00E01BE5"/>
    <w:rsid w:val="00E01D64"/>
    <w:rsid w:val="00E023DE"/>
    <w:rsid w:val="00E0280F"/>
    <w:rsid w:val="00E035FB"/>
    <w:rsid w:val="00E03C73"/>
    <w:rsid w:val="00E041B3"/>
    <w:rsid w:val="00E04E27"/>
    <w:rsid w:val="00E0682E"/>
    <w:rsid w:val="00E06FD7"/>
    <w:rsid w:val="00E07980"/>
    <w:rsid w:val="00E07F40"/>
    <w:rsid w:val="00E07FB6"/>
    <w:rsid w:val="00E10B84"/>
    <w:rsid w:val="00E11035"/>
    <w:rsid w:val="00E115F3"/>
    <w:rsid w:val="00E121CE"/>
    <w:rsid w:val="00E126E2"/>
    <w:rsid w:val="00E12E72"/>
    <w:rsid w:val="00E13391"/>
    <w:rsid w:val="00E13655"/>
    <w:rsid w:val="00E13EAD"/>
    <w:rsid w:val="00E14383"/>
    <w:rsid w:val="00E14465"/>
    <w:rsid w:val="00E145C9"/>
    <w:rsid w:val="00E14C84"/>
    <w:rsid w:val="00E16B85"/>
    <w:rsid w:val="00E16DB1"/>
    <w:rsid w:val="00E16E7D"/>
    <w:rsid w:val="00E17825"/>
    <w:rsid w:val="00E17B26"/>
    <w:rsid w:val="00E20299"/>
    <w:rsid w:val="00E20493"/>
    <w:rsid w:val="00E204E6"/>
    <w:rsid w:val="00E21070"/>
    <w:rsid w:val="00E210CD"/>
    <w:rsid w:val="00E2148B"/>
    <w:rsid w:val="00E21BEB"/>
    <w:rsid w:val="00E229C9"/>
    <w:rsid w:val="00E23B76"/>
    <w:rsid w:val="00E25A36"/>
    <w:rsid w:val="00E25CA8"/>
    <w:rsid w:val="00E25E1E"/>
    <w:rsid w:val="00E25F73"/>
    <w:rsid w:val="00E2676C"/>
    <w:rsid w:val="00E26AC3"/>
    <w:rsid w:val="00E26B66"/>
    <w:rsid w:val="00E27BE6"/>
    <w:rsid w:val="00E27BFA"/>
    <w:rsid w:val="00E305CC"/>
    <w:rsid w:val="00E31177"/>
    <w:rsid w:val="00E31AC9"/>
    <w:rsid w:val="00E31E10"/>
    <w:rsid w:val="00E31F00"/>
    <w:rsid w:val="00E32567"/>
    <w:rsid w:val="00E32634"/>
    <w:rsid w:val="00E32A2C"/>
    <w:rsid w:val="00E32D55"/>
    <w:rsid w:val="00E3342C"/>
    <w:rsid w:val="00E3353E"/>
    <w:rsid w:val="00E33D4B"/>
    <w:rsid w:val="00E34B2C"/>
    <w:rsid w:val="00E34B41"/>
    <w:rsid w:val="00E35932"/>
    <w:rsid w:val="00E35D74"/>
    <w:rsid w:val="00E3600B"/>
    <w:rsid w:val="00E36668"/>
    <w:rsid w:val="00E36D6E"/>
    <w:rsid w:val="00E37157"/>
    <w:rsid w:val="00E3718A"/>
    <w:rsid w:val="00E37D4A"/>
    <w:rsid w:val="00E4070C"/>
    <w:rsid w:val="00E41921"/>
    <w:rsid w:val="00E41B09"/>
    <w:rsid w:val="00E42896"/>
    <w:rsid w:val="00E42E26"/>
    <w:rsid w:val="00E43633"/>
    <w:rsid w:val="00E44394"/>
    <w:rsid w:val="00E455E2"/>
    <w:rsid w:val="00E4754C"/>
    <w:rsid w:val="00E475F9"/>
    <w:rsid w:val="00E47E18"/>
    <w:rsid w:val="00E50D25"/>
    <w:rsid w:val="00E530CA"/>
    <w:rsid w:val="00E53BA3"/>
    <w:rsid w:val="00E53BB3"/>
    <w:rsid w:val="00E54636"/>
    <w:rsid w:val="00E547A6"/>
    <w:rsid w:val="00E548D4"/>
    <w:rsid w:val="00E5516A"/>
    <w:rsid w:val="00E555DE"/>
    <w:rsid w:val="00E56045"/>
    <w:rsid w:val="00E566A0"/>
    <w:rsid w:val="00E56915"/>
    <w:rsid w:val="00E56FB3"/>
    <w:rsid w:val="00E570C1"/>
    <w:rsid w:val="00E57379"/>
    <w:rsid w:val="00E57B18"/>
    <w:rsid w:val="00E607C2"/>
    <w:rsid w:val="00E60A0A"/>
    <w:rsid w:val="00E61CE8"/>
    <w:rsid w:val="00E62057"/>
    <w:rsid w:val="00E623BC"/>
    <w:rsid w:val="00E624E9"/>
    <w:rsid w:val="00E64797"/>
    <w:rsid w:val="00E64E63"/>
    <w:rsid w:val="00E64F57"/>
    <w:rsid w:val="00E6500B"/>
    <w:rsid w:val="00E65141"/>
    <w:rsid w:val="00E655A8"/>
    <w:rsid w:val="00E655E4"/>
    <w:rsid w:val="00E655F3"/>
    <w:rsid w:val="00E65D7A"/>
    <w:rsid w:val="00E66985"/>
    <w:rsid w:val="00E677AC"/>
    <w:rsid w:val="00E67831"/>
    <w:rsid w:val="00E70637"/>
    <w:rsid w:val="00E70C92"/>
    <w:rsid w:val="00E70E1D"/>
    <w:rsid w:val="00E713E0"/>
    <w:rsid w:val="00E71A2D"/>
    <w:rsid w:val="00E71BFB"/>
    <w:rsid w:val="00E72667"/>
    <w:rsid w:val="00E72DA7"/>
    <w:rsid w:val="00E7330C"/>
    <w:rsid w:val="00E73BCE"/>
    <w:rsid w:val="00E748FF"/>
    <w:rsid w:val="00E74DCB"/>
    <w:rsid w:val="00E7514B"/>
    <w:rsid w:val="00E758AA"/>
    <w:rsid w:val="00E75D38"/>
    <w:rsid w:val="00E762AD"/>
    <w:rsid w:val="00E76650"/>
    <w:rsid w:val="00E76D2C"/>
    <w:rsid w:val="00E76FD7"/>
    <w:rsid w:val="00E77213"/>
    <w:rsid w:val="00E803AF"/>
    <w:rsid w:val="00E80DD4"/>
    <w:rsid w:val="00E8216B"/>
    <w:rsid w:val="00E82445"/>
    <w:rsid w:val="00E82C39"/>
    <w:rsid w:val="00E82CB4"/>
    <w:rsid w:val="00E836CD"/>
    <w:rsid w:val="00E8457B"/>
    <w:rsid w:val="00E849D9"/>
    <w:rsid w:val="00E8549A"/>
    <w:rsid w:val="00E855C1"/>
    <w:rsid w:val="00E85AD5"/>
    <w:rsid w:val="00E85F33"/>
    <w:rsid w:val="00E8689A"/>
    <w:rsid w:val="00E86D39"/>
    <w:rsid w:val="00E872F4"/>
    <w:rsid w:val="00E900DE"/>
    <w:rsid w:val="00E924B3"/>
    <w:rsid w:val="00E9326A"/>
    <w:rsid w:val="00E93539"/>
    <w:rsid w:val="00E939E7"/>
    <w:rsid w:val="00E939FD"/>
    <w:rsid w:val="00E93DE9"/>
    <w:rsid w:val="00E9494E"/>
    <w:rsid w:val="00E95BF8"/>
    <w:rsid w:val="00E95C43"/>
    <w:rsid w:val="00E9615B"/>
    <w:rsid w:val="00E96DAB"/>
    <w:rsid w:val="00E97166"/>
    <w:rsid w:val="00EA0D71"/>
    <w:rsid w:val="00EA1275"/>
    <w:rsid w:val="00EA2737"/>
    <w:rsid w:val="00EA2827"/>
    <w:rsid w:val="00EA2E2E"/>
    <w:rsid w:val="00EA2FF4"/>
    <w:rsid w:val="00EA30B6"/>
    <w:rsid w:val="00EA3548"/>
    <w:rsid w:val="00EA3580"/>
    <w:rsid w:val="00EA440B"/>
    <w:rsid w:val="00EA5101"/>
    <w:rsid w:val="00EA604D"/>
    <w:rsid w:val="00EA64F0"/>
    <w:rsid w:val="00EA67D9"/>
    <w:rsid w:val="00EA6A08"/>
    <w:rsid w:val="00EA70E5"/>
    <w:rsid w:val="00EA7860"/>
    <w:rsid w:val="00EB014C"/>
    <w:rsid w:val="00EB03D6"/>
    <w:rsid w:val="00EB124E"/>
    <w:rsid w:val="00EB1E52"/>
    <w:rsid w:val="00EB1EC2"/>
    <w:rsid w:val="00EB2683"/>
    <w:rsid w:val="00EB33F8"/>
    <w:rsid w:val="00EB38A5"/>
    <w:rsid w:val="00EB3973"/>
    <w:rsid w:val="00EB45CD"/>
    <w:rsid w:val="00EB518C"/>
    <w:rsid w:val="00EB55E9"/>
    <w:rsid w:val="00EB5BCE"/>
    <w:rsid w:val="00EB654D"/>
    <w:rsid w:val="00EB726B"/>
    <w:rsid w:val="00EB787B"/>
    <w:rsid w:val="00EB78D7"/>
    <w:rsid w:val="00EB7AEA"/>
    <w:rsid w:val="00EC0469"/>
    <w:rsid w:val="00EC0789"/>
    <w:rsid w:val="00EC0C1A"/>
    <w:rsid w:val="00EC0C73"/>
    <w:rsid w:val="00EC295D"/>
    <w:rsid w:val="00EC2F61"/>
    <w:rsid w:val="00EC3393"/>
    <w:rsid w:val="00EC36BC"/>
    <w:rsid w:val="00EC3855"/>
    <w:rsid w:val="00EC4896"/>
    <w:rsid w:val="00EC48FE"/>
    <w:rsid w:val="00EC57DE"/>
    <w:rsid w:val="00EC597E"/>
    <w:rsid w:val="00EC6D7B"/>
    <w:rsid w:val="00EC70DC"/>
    <w:rsid w:val="00EC7793"/>
    <w:rsid w:val="00EC7F52"/>
    <w:rsid w:val="00ED0D44"/>
    <w:rsid w:val="00ED119D"/>
    <w:rsid w:val="00ED1B37"/>
    <w:rsid w:val="00ED1FF8"/>
    <w:rsid w:val="00ED227F"/>
    <w:rsid w:val="00ED29BD"/>
    <w:rsid w:val="00ED31F5"/>
    <w:rsid w:val="00ED3ED8"/>
    <w:rsid w:val="00ED51DB"/>
    <w:rsid w:val="00ED5458"/>
    <w:rsid w:val="00ED5AE9"/>
    <w:rsid w:val="00ED5FF1"/>
    <w:rsid w:val="00ED70CF"/>
    <w:rsid w:val="00ED719C"/>
    <w:rsid w:val="00ED76AC"/>
    <w:rsid w:val="00ED77A6"/>
    <w:rsid w:val="00ED7AA6"/>
    <w:rsid w:val="00EE07FD"/>
    <w:rsid w:val="00EE0C9D"/>
    <w:rsid w:val="00EE10BA"/>
    <w:rsid w:val="00EE1BC9"/>
    <w:rsid w:val="00EE33E9"/>
    <w:rsid w:val="00EE376D"/>
    <w:rsid w:val="00EE41B9"/>
    <w:rsid w:val="00EE44A3"/>
    <w:rsid w:val="00EE46C8"/>
    <w:rsid w:val="00EE4D9D"/>
    <w:rsid w:val="00EE619B"/>
    <w:rsid w:val="00EE627E"/>
    <w:rsid w:val="00EE6410"/>
    <w:rsid w:val="00EE6F0A"/>
    <w:rsid w:val="00EE732C"/>
    <w:rsid w:val="00EE78AA"/>
    <w:rsid w:val="00EE7F6B"/>
    <w:rsid w:val="00EF0333"/>
    <w:rsid w:val="00EF0B7A"/>
    <w:rsid w:val="00EF1586"/>
    <w:rsid w:val="00EF2270"/>
    <w:rsid w:val="00EF2311"/>
    <w:rsid w:val="00EF258A"/>
    <w:rsid w:val="00EF2E5E"/>
    <w:rsid w:val="00EF31DD"/>
    <w:rsid w:val="00EF44CD"/>
    <w:rsid w:val="00EF4C20"/>
    <w:rsid w:val="00EF50B4"/>
    <w:rsid w:val="00EF522C"/>
    <w:rsid w:val="00EF52EE"/>
    <w:rsid w:val="00EF59FF"/>
    <w:rsid w:val="00EF5B1B"/>
    <w:rsid w:val="00EF603C"/>
    <w:rsid w:val="00EF615C"/>
    <w:rsid w:val="00EF6400"/>
    <w:rsid w:val="00EF65AC"/>
    <w:rsid w:val="00EF6C0D"/>
    <w:rsid w:val="00EF6F4B"/>
    <w:rsid w:val="00EF77DC"/>
    <w:rsid w:val="00F0015D"/>
    <w:rsid w:val="00F00181"/>
    <w:rsid w:val="00F00292"/>
    <w:rsid w:val="00F003E8"/>
    <w:rsid w:val="00F00525"/>
    <w:rsid w:val="00F010B9"/>
    <w:rsid w:val="00F01427"/>
    <w:rsid w:val="00F01803"/>
    <w:rsid w:val="00F01E9C"/>
    <w:rsid w:val="00F02CA2"/>
    <w:rsid w:val="00F02F61"/>
    <w:rsid w:val="00F03783"/>
    <w:rsid w:val="00F03879"/>
    <w:rsid w:val="00F0402D"/>
    <w:rsid w:val="00F041C6"/>
    <w:rsid w:val="00F0428A"/>
    <w:rsid w:val="00F044D3"/>
    <w:rsid w:val="00F04944"/>
    <w:rsid w:val="00F05F33"/>
    <w:rsid w:val="00F06303"/>
    <w:rsid w:val="00F0632A"/>
    <w:rsid w:val="00F063C0"/>
    <w:rsid w:val="00F063E8"/>
    <w:rsid w:val="00F06D64"/>
    <w:rsid w:val="00F06ED2"/>
    <w:rsid w:val="00F07A99"/>
    <w:rsid w:val="00F07F89"/>
    <w:rsid w:val="00F10A6B"/>
    <w:rsid w:val="00F10CF0"/>
    <w:rsid w:val="00F10FF6"/>
    <w:rsid w:val="00F11B72"/>
    <w:rsid w:val="00F12109"/>
    <w:rsid w:val="00F121E1"/>
    <w:rsid w:val="00F123BD"/>
    <w:rsid w:val="00F12695"/>
    <w:rsid w:val="00F1278C"/>
    <w:rsid w:val="00F1342D"/>
    <w:rsid w:val="00F139FF"/>
    <w:rsid w:val="00F145B4"/>
    <w:rsid w:val="00F14D09"/>
    <w:rsid w:val="00F154F5"/>
    <w:rsid w:val="00F1557F"/>
    <w:rsid w:val="00F15AE7"/>
    <w:rsid w:val="00F16603"/>
    <w:rsid w:val="00F16A03"/>
    <w:rsid w:val="00F16FC1"/>
    <w:rsid w:val="00F17703"/>
    <w:rsid w:val="00F17A02"/>
    <w:rsid w:val="00F17F77"/>
    <w:rsid w:val="00F200C5"/>
    <w:rsid w:val="00F206F3"/>
    <w:rsid w:val="00F20742"/>
    <w:rsid w:val="00F20C87"/>
    <w:rsid w:val="00F21759"/>
    <w:rsid w:val="00F217D1"/>
    <w:rsid w:val="00F2236A"/>
    <w:rsid w:val="00F237B7"/>
    <w:rsid w:val="00F238F3"/>
    <w:rsid w:val="00F23F2B"/>
    <w:rsid w:val="00F244D4"/>
    <w:rsid w:val="00F24E25"/>
    <w:rsid w:val="00F25879"/>
    <w:rsid w:val="00F26EB6"/>
    <w:rsid w:val="00F272F3"/>
    <w:rsid w:val="00F27845"/>
    <w:rsid w:val="00F27E4C"/>
    <w:rsid w:val="00F301C4"/>
    <w:rsid w:val="00F30611"/>
    <w:rsid w:val="00F30EBF"/>
    <w:rsid w:val="00F31458"/>
    <w:rsid w:val="00F314A9"/>
    <w:rsid w:val="00F31736"/>
    <w:rsid w:val="00F31E70"/>
    <w:rsid w:val="00F32BD5"/>
    <w:rsid w:val="00F32ECE"/>
    <w:rsid w:val="00F33264"/>
    <w:rsid w:val="00F3329D"/>
    <w:rsid w:val="00F34A35"/>
    <w:rsid w:val="00F36122"/>
    <w:rsid w:val="00F3764B"/>
    <w:rsid w:val="00F40393"/>
    <w:rsid w:val="00F404A2"/>
    <w:rsid w:val="00F42013"/>
    <w:rsid w:val="00F42275"/>
    <w:rsid w:val="00F43EBC"/>
    <w:rsid w:val="00F44115"/>
    <w:rsid w:val="00F44171"/>
    <w:rsid w:val="00F44DBD"/>
    <w:rsid w:val="00F4520D"/>
    <w:rsid w:val="00F452C8"/>
    <w:rsid w:val="00F455C2"/>
    <w:rsid w:val="00F458DD"/>
    <w:rsid w:val="00F45D2D"/>
    <w:rsid w:val="00F45D30"/>
    <w:rsid w:val="00F466B5"/>
    <w:rsid w:val="00F47708"/>
    <w:rsid w:val="00F47A58"/>
    <w:rsid w:val="00F47AC7"/>
    <w:rsid w:val="00F50707"/>
    <w:rsid w:val="00F518F3"/>
    <w:rsid w:val="00F51BA6"/>
    <w:rsid w:val="00F520F6"/>
    <w:rsid w:val="00F5237B"/>
    <w:rsid w:val="00F523D6"/>
    <w:rsid w:val="00F52C02"/>
    <w:rsid w:val="00F53A20"/>
    <w:rsid w:val="00F53EED"/>
    <w:rsid w:val="00F54AF9"/>
    <w:rsid w:val="00F557D2"/>
    <w:rsid w:val="00F55A1C"/>
    <w:rsid w:val="00F55A4E"/>
    <w:rsid w:val="00F55B0A"/>
    <w:rsid w:val="00F55DFF"/>
    <w:rsid w:val="00F56005"/>
    <w:rsid w:val="00F561C2"/>
    <w:rsid w:val="00F56657"/>
    <w:rsid w:val="00F56ED2"/>
    <w:rsid w:val="00F56F83"/>
    <w:rsid w:val="00F5792F"/>
    <w:rsid w:val="00F60784"/>
    <w:rsid w:val="00F60AD2"/>
    <w:rsid w:val="00F60B16"/>
    <w:rsid w:val="00F60B74"/>
    <w:rsid w:val="00F61526"/>
    <w:rsid w:val="00F615AC"/>
    <w:rsid w:val="00F6174E"/>
    <w:rsid w:val="00F61872"/>
    <w:rsid w:val="00F619B3"/>
    <w:rsid w:val="00F6240C"/>
    <w:rsid w:val="00F62781"/>
    <w:rsid w:val="00F627A0"/>
    <w:rsid w:val="00F62A8A"/>
    <w:rsid w:val="00F64F61"/>
    <w:rsid w:val="00F65894"/>
    <w:rsid w:val="00F663CE"/>
    <w:rsid w:val="00F6785B"/>
    <w:rsid w:val="00F67873"/>
    <w:rsid w:val="00F701DE"/>
    <w:rsid w:val="00F70B97"/>
    <w:rsid w:val="00F715E7"/>
    <w:rsid w:val="00F71A72"/>
    <w:rsid w:val="00F71AE9"/>
    <w:rsid w:val="00F7209B"/>
    <w:rsid w:val="00F720D9"/>
    <w:rsid w:val="00F72C27"/>
    <w:rsid w:val="00F72C8A"/>
    <w:rsid w:val="00F73592"/>
    <w:rsid w:val="00F73A79"/>
    <w:rsid w:val="00F741DC"/>
    <w:rsid w:val="00F74883"/>
    <w:rsid w:val="00F74E3C"/>
    <w:rsid w:val="00F7581D"/>
    <w:rsid w:val="00F75935"/>
    <w:rsid w:val="00F762B2"/>
    <w:rsid w:val="00F764C4"/>
    <w:rsid w:val="00F771EB"/>
    <w:rsid w:val="00F77A20"/>
    <w:rsid w:val="00F77D08"/>
    <w:rsid w:val="00F77DB3"/>
    <w:rsid w:val="00F81215"/>
    <w:rsid w:val="00F821CE"/>
    <w:rsid w:val="00F82DDA"/>
    <w:rsid w:val="00F83349"/>
    <w:rsid w:val="00F84B0E"/>
    <w:rsid w:val="00F85326"/>
    <w:rsid w:val="00F85E85"/>
    <w:rsid w:val="00F86386"/>
    <w:rsid w:val="00F867C7"/>
    <w:rsid w:val="00F869E0"/>
    <w:rsid w:val="00F86B5A"/>
    <w:rsid w:val="00F86D09"/>
    <w:rsid w:val="00F87496"/>
    <w:rsid w:val="00F900AA"/>
    <w:rsid w:val="00F900B5"/>
    <w:rsid w:val="00F92120"/>
    <w:rsid w:val="00F92788"/>
    <w:rsid w:val="00F92FA7"/>
    <w:rsid w:val="00F9365F"/>
    <w:rsid w:val="00F9375C"/>
    <w:rsid w:val="00F93EF3"/>
    <w:rsid w:val="00F9501F"/>
    <w:rsid w:val="00F9512A"/>
    <w:rsid w:val="00F95D84"/>
    <w:rsid w:val="00F96DFF"/>
    <w:rsid w:val="00F971E0"/>
    <w:rsid w:val="00F975E0"/>
    <w:rsid w:val="00F97A77"/>
    <w:rsid w:val="00FA02C3"/>
    <w:rsid w:val="00FA037F"/>
    <w:rsid w:val="00FA0A68"/>
    <w:rsid w:val="00FA0B46"/>
    <w:rsid w:val="00FA0BD4"/>
    <w:rsid w:val="00FA1200"/>
    <w:rsid w:val="00FA2379"/>
    <w:rsid w:val="00FA31B2"/>
    <w:rsid w:val="00FA34B0"/>
    <w:rsid w:val="00FA385E"/>
    <w:rsid w:val="00FA45EF"/>
    <w:rsid w:val="00FA46D6"/>
    <w:rsid w:val="00FA4F13"/>
    <w:rsid w:val="00FA51A5"/>
    <w:rsid w:val="00FA53B8"/>
    <w:rsid w:val="00FA6513"/>
    <w:rsid w:val="00FA69DA"/>
    <w:rsid w:val="00FA70AB"/>
    <w:rsid w:val="00FA753A"/>
    <w:rsid w:val="00FB06F6"/>
    <w:rsid w:val="00FB1AF4"/>
    <w:rsid w:val="00FB1E3E"/>
    <w:rsid w:val="00FB2BD2"/>
    <w:rsid w:val="00FB3685"/>
    <w:rsid w:val="00FB3689"/>
    <w:rsid w:val="00FB3DC4"/>
    <w:rsid w:val="00FB4320"/>
    <w:rsid w:val="00FB4381"/>
    <w:rsid w:val="00FB49ED"/>
    <w:rsid w:val="00FB5238"/>
    <w:rsid w:val="00FB5810"/>
    <w:rsid w:val="00FB5962"/>
    <w:rsid w:val="00FB6224"/>
    <w:rsid w:val="00FB7342"/>
    <w:rsid w:val="00FB7AD8"/>
    <w:rsid w:val="00FB7F80"/>
    <w:rsid w:val="00FC0F48"/>
    <w:rsid w:val="00FC214A"/>
    <w:rsid w:val="00FC22F9"/>
    <w:rsid w:val="00FC30E5"/>
    <w:rsid w:val="00FC3C0F"/>
    <w:rsid w:val="00FC43F8"/>
    <w:rsid w:val="00FC4693"/>
    <w:rsid w:val="00FC4CB0"/>
    <w:rsid w:val="00FC51E5"/>
    <w:rsid w:val="00FC5548"/>
    <w:rsid w:val="00FC5604"/>
    <w:rsid w:val="00FC5C9E"/>
    <w:rsid w:val="00FC62EF"/>
    <w:rsid w:val="00FC6538"/>
    <w:rsid w:val="00FC68C9"/>
    <w:rsid w:val="00FC747E"/>
    <w:rsid w:val="00FD1321"/>
    <w:rsid w:val="00FD1376"/>
    <w:rsid w:val="00FD13A0"/>
    <w:rsid w:val="00FD2953"/>
    <w:rsid w:val="00FD2CBB"/>
    <w:rsid w:val="00FD2EFD"/>
    <w:rsid w:val="00FD2F32"/>
    <w:rsid w:val="00FD308B"/>
    <w:rsid w:val="00FD35C9"/>
    <w:rsid w:val="00FD3BFF"/>
    <w:rsid w:val="00FD3F6D"/>
    <w:rsid w:val="00FD3FDC"/>
    <w:rsid w:val="00FD3FEA"/>
    <w:rsid w:val="00FD5AD8"/>
    <w:rsid w:val="00FD6003"/>
    <w:rsid w:val="00FD6BBC"/>
    <w:rsid w:val="00FD6EC6"/>
    <w:rsid w:val="00FD7867"/>
    <w:rsid w:val="00FE11CB"/>
    <w:rsid w:val="00FE14CC"/>
    <w:rsid w:val="00FE1A46"/>
    <w:rsid w:val="00FE1AD9"/>
    <w:rsid w:val="00FE264F"/>
    <w:rsid w:val="00FE27E7"/>
    <w:rsid w:val="00FE37C9"/>
    <w:rsid w:val="00FE4CE1"/>
    <w:rsid w:val="00FE4DA2"/>
    <w:rsid w:val="00FE54D3"/>
    <w:rsid w:val="00FE5C88"/>
    <w:rsid w:val="00FE5DD0"/>
    <w:rsid w:val="00FE6399"/>
    <w:rsid w:val="00FE6913"/>
    <w:rsid w:val="00FE6CF2"/>
    <w:rsid w:val="00FE72C1"/>
    <w:rsid w:val="00FE7CE9"/>
    <w:rsid w:val="00FE7D68"/>
    <w:rsid w:val="00FF00DF"/>
    <w:rsid w:val="00FF0622"/>
    <w:rsid w:val="00FF0647"/>
    <w:rsid w:val="00FF086E"/>
    <w:rsid w:val="00FF0A91"/>
    <w:rsid w:val="00FF0D75"/>
    <w:rsid w:val="00FF0E57"/>
    <w:rsid w:val="00FF1E56"/>
    <w:rsid w:val="00FF21CD"/>
    <w:rsid w:val="00FF2953"/>
    <w:rsid w:val="00FF2B40"/>
    <w:rsid w:val="00FF3661"/>
    <w:rsid w:val="00FF4819"/>
    <w:rsid w:val="00FF4900"/>
    <w:rsid w:val="00FF49BD"/>
    <w:rsid w:val="00FF55E3"/>
    <w:rsid w:val="00FF5D7E"/>
    <w:rsid w:val="00FF5DCD"/>
    <w:rsid w:val="00FF6127"/>
    <w:rsid w:val="00FF6ABA"/>
    <w:rsid w:val="00FF6BE6"/>
    <w:rsid w:val="00FF7704"/>
    <w:rsid w:val="00FF7C2F"/>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81">
      <o:colormenu v:ext="edit" fillcolor="none"/>
    </o:shapedefaults>
    <o:shapelayout v:ext="edit">
      <o:idmap v:ext="edit" data="1"/>
    </o:shapelayout>
  </w:shapeDefaults>
  <w:decimalSymbol w:val="."/>
  <w:listSeparator w:val=","/>
  <w14:docId w14:val="5D62EF26"/>
  <w15:chartTrackingRefBased/>
  <w15:docId w15:val="{55CCAEE4-8343-4203-926E-1472D3CE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39"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71" w:qFormat="1"/>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BC8"/>
    <w:pPr>
      <w:widowControl w:val="0"/>
      <w:tabs>
        <w:tab w:val="left" w:pos="1418"/>
      </w:tabs>
      <w:adjustRightInd w:val="0"/>
      <w:snapToGrid w:val="0"/>
      <w:jc w:val="both"/>
    </w:pPr>
    <w:rPr>
      <w:rFonts w:ascii="Arial" w:hAnsi="Arial"/>
      <w:sz w:val="24"/>
      <w:szCs w:val="24"/>
      <w:lang w:val="en-GB" w:eastAsia="zh-TW"/>
    </w:rPr>
  </w:style>
  <w:style w:type="paragraph" w:styleId="Heading1">
    <w:name w:val="heading 1"/>
    <w:basedOn w:val="Normal"/>
    <w:next w:val="Normal"/>
    <w:link w:val="Heading1Char"/>
    <w:qFormat/>
    <w:rsid w:val="00022BC8"/>
    <w:pPr>
      <w:keepNext/>
      <w:jc w:val="left"/>
      <w:outlineLvl w:val="0"/>
    </w:pPr>
    <w:rPr>
      <w:b/>
      <w:sz w:val="36"/>
    </w:rPr>
  </w:style>
  <w:style w:type="paragraph" w:styleId="Heading2">
    <w:name w:val="heading 2"/>
    <w:basedOn w:val="Normal"/>
    <w:next w:val="Normal"/>
    <w:link w:val="Heading2Char"/>
    <w:qFormat/>
    <w:rsid w:val="00022BC8"/>
    <w:pPr>
      <w:keepNext/>
      <w:jc w:val="left"/>
      <w:outlineLvl w:val="1"/>
    </w:pPr>
    <w:rPr>
      <w:b/>
      <w:sz w:val="28"/>
    </w:rPr>
  </w:style>
  <w:style w:type="paragraph" w:styleId="Heading3">
    <w:name w:val="heading 3"/>
    <w:basedOn w:val="Normal"/>
    <w:next w:val="Normal"/>
    <w:link w:val="Heading3Char"/>
    <w:qFormat/>
    <w:rsid w:val="00022BC8"/>
    <w:pPr>
      <w:keepNext/>
      <w:jc w:val="left"/>
      <w:outlineLvl w:val="2"/>
    </w:pPr>
    <w:rPr>
      <w:b/>
      <w:i/>
    </w:rPr>
  </w:style>
  <w:style w:type="paragraph" w:styleId="Heading4">
    <w:name w:val="heading 4"/>
    <w:basedOn w:val="Normal"/>
    <w:next w:val="Normal"/>
    <w:link w:val="Heading4Char"/>
    <w:qFormat/>
    <w:rsid w:val="00022BC8"/>
    <w:pPr>
      <w:keepNext/>
      <w:jc w:val="left"/>
      <w:outlineLvl w:val="3"/>
    </w:pPr>
    <w:rPr>
      <w:i/>
    </w:rPr>
  </w:style>
  <w:style w:type="paragraph" w:styleId="Heading5">
    <w:name w:val="heading 5"/>
    <w:basedOn w:val="Normal"/>
    <w:next w:val="NormalIndent"/>
    <w:link w:val="Heading5Char"/>
    <w:uiPriority w:val="9"/>
    <w:qFormat/>
    <w:rsid w:val="00085B00"/>
    <w:pPr>
      <w:keepNext/>
      <w:widowControl/>
      <w:jc w:val="center"/>
      <w:outlineLvl w:val="4"/>
    </w:pPr>
    <w:rPr>
      <w:b/>
      <w:sz w:val="28"/>
      <w:szCs w:val="20"/>
      <w:lang w:val="en-AU"/>
    </w:rPr>
  </w:style>
  <w:style w:type="paragraph" w:styleId="Heading6">
    <w:name w:val="heading 6"/>
    <w:basedOn w:val="Normal"/>
    <w:next w:val="NormalIndent"/>
    <w:link w:val="Heading6Char"/>
    <w:qFormat/>
    <w:rsid w:val="00085B00"/>
    <w:pPr>
      <w:keepNext/>
      <w:widowControl/>
      <w:tabs>
        <w:tab w:val="left" w:pos="1368"/>
        <w:tab w:val="left" w:pos="1872"/>
      </w:tabs>
      <w:overflowPunct w:val="0"/>
      <w:autoSpaceDE w:val="0"/>
      <w:autoSpaceDN w:val="0"/>
      <w:snapToGrid/>
      <w:spacing w:line="240" w:lineRule="atLeast"/>
      <w:textAlignment w:val="baseline"/>
      <w:outlineLvl w:val="5"/>
    </w:pPr>
    <w:rPr>
      <w:b/>
      <w:i/>
      <w:color w:val="000000"/>
      <w:sz w:val="22"/>
      <w:szCs w:val="20"/>
    </w:rPr>
  </w:style>
  <w:style w:type="paragraph" w:styleId="Heading7">
    <w:name w:val="heading 7"/>
    <w:basedOn w:val="Normal"/>
    <w:next w:val="NormalIndent"/>
    <w:link w:val="Heading7Char"/>
    <w:qFormat/>
    <w:rsid w:val="00085B00"/>
    <w:pPr>
      <w:keepNext/>
      <w:widowControl/>
      <w:overflowPunct w:val="0"/>
      <w:autoSpaceDE w:val="0"/>
      <w:autoSpaceDN w:val="0"/>
      <w:snapToGrid/>
      <w:ind w:right="29"/>
      <w:textAlignment w:val="baseline"/>
      <w:outlineLvl w:val="6"/>
    </w:pPr>
    <w:rPr>
      <w:b/>
      <w:szCs w:val="20"/>
    </w:rPr>
  </w:style>
  <w:style w:type="paragraph" w:styleId="Heading8">
    <w:name w:val="heading 8"/>
    <w:basedOn w:val="Normal"/>
    <w:next w:val="NormalIndent"/>
    <w:link w:val="Heading8Char"/>
    <w:qFormat/>
    <w:rsid w:val="00085B00"/>
    <w:pPr>
      <w:keepNext/>
      <w:widowControl/>
      <w:overflowPunct w:val="0"/>
      <w:autoSpaceDE w:val="0"/>
      <w:autoSpaceDN w:val="0"/>
      <w:snapToGrid/>
      <w:ind w:right="29"/>
      <w:textAlignment w:val="baseline"/>
      <w:outlineLvl w:val="7"/>
    </w:pPr>
    <w:rPr>
      <w:b/>
      <w:sz w:val="28"/>
      <w:szCs w:val="20"/>
    </w:rPr>
  </w:style>
  <w:style w:type="paragraph" w:styleId="Heading9">
    <w:name w:val="heading 9"/>
    <w:basedOn w:val="Normal"/>
    <w:next w:val="Normal"/>
    <w:link w:val="Heading9Char"/>
    <w:qFormat/>
    <w:rsid w:val="00085B00"/>
    <w:pPr>
      <w:keepNext/>
      <w:widowControl/>
      <w:tabs>
        <w:tab w:val="clear" w:pos="1418"/>
        <w:tab w:val="left" w:pos="1440"/>
      </w:tabs>
      <w:outlineLvl w:val="8"/>
    </w:pPr>
    <w:rPr>
      <w:sz w:val="36"/>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rsid w:val="00085B00"/>
    <w:pPr>
      <w:widowControl/>
      <w:ind w:left="480"/>
    </w:pPr>
    <w:rPr>
      <w:szCs w:val="20"/>
      <w:lang w:val="en-AU"/>
    </w:rPr>
  </w:style>
  <w:style w:type="paragraph" w:styleId="BlockText">
    <w:name w:val="Block Text"/>
    <w:basedOn w:val="Normal"/>
    <w:link w:val="BlockTextChar1"/>
    <w:rsid w:val="00022BC8"/>
    <w:pPr>
      <w:ind w:left="720" w:right="720"/>
    </w:pPr>
    <w:rPr>
      <w:i/>
      <w:snapToGrid w:val="0"/>
    </w:rPr>
  </w:style>
  <w:style w:type="character" w:customStyle="1" w:styleId="BlockTextChar1">
    <w:name w:val="Block Text Char1"/>
    <w:link w:val="BlockText"/>
    <w:rsid w:val="00085B00"/>
    <w:rPr>
      <w:rFonts w:ascii="Arial" w:hAnsi="Arial"/>
      <w:i/>
      <w:snapToGrid w:val="0"/>
      <w:sz w:val="24"/>
      <w:szCs w:val="24"/>
      <w:lang w:val="en-GB" w:eastAsia="zh-TW"/>
    </w:rPr>
  </w:style>
  <w:style w:type="character" w:styleId="Hyperlink">
    <w:name w:val="Hyperlink"/>
    <w:uiPriority w:val="99"/>
    <w:rsid w:val="00085B00"/>
    <w:rPr>
      <w:color w:val="0000FF"/>
      <w:u w:val="single"/>
    </w:rPr>
  </w:style>
  <w:style w:type="paragraph" w:styleId="Title">
    <w:name w:val="Title"/>
    <w:basedOn w:val="Normal"/>
    <w:link w:val="TitleChar"/>
    <w:uiPriority w:val="10"/>
    <w:qFormat/>
    <w:rsid w:val="00085B00"/>
    <w:pPr>
      <w:widowControl/>
      <w:overflowPunct w:val="0"/>
      <w:autoSpaceDE w:val="0"/>
      <w:autoSpaceDN w:val="0"/>
      <w:snapToGrid/>
      <w:jc w:val="center"/>
      <w:textAlignment w:val="baseline"/>
    </w:pPr>
    <w:rPr>
      <w:b/>
      <w:sz w:val="32"/>
      <w:szCs w:val="20"/>
    </w:rPr>
  </w:style>
  <w:style w:type="paragraph" w:styleId="Footer">
    <w:name w:val="footer"/>
    <w:basedOn w:val="Normal"/>
    <w:link w:val="FooterChar"/>
    <w:uiPriority w:val="99"/>
    <w:rsid w:val="00085B00"/>
    <w:pPr>
      <w:widowControl/>
      <w:tabs>
        <w:tab w:val="center" w:pos="4320"/>
        <w:tab w:val="right" w:pos="8640"/>
      </w:tabs>
      <w:overflowPunct w:val="0"/>
      <w:autoSpaceDE w:val="0"/>
      <w:autoSpaceDN w:val="0"/>
      <w:snapToGrid/>
      <w:jc w:val="left"/>
      <w:textAlignment w:val="baseline"/>
    </w:pPr>
    <w:rPr>
      <w:szCs w:val="20"/>
    </w:rPr>
  </w:style>
  <w:style w:type="character" w:styleId="PageNumber">
    <w:name w:val="page number"/>
    <w:basedOn w:val="DefaultParagraphFont"/>
    <w:rsid w:val="00085B00"/>
  </w:style>
  <w:style w:type="paragraph" w:styleId="Header">
    <w:name w:val="header"/>
    <w:basedOn w:val="Normal"/>
    <w:link w:val="HeaderChar"/>
    <w:uiPriority w:val="99"/>
    <w:rsid w:val="00085B00"/>
    <w:pPr>
      <w:tabs>
        <w:tab w:val="center" w:pos="4153"/>
        <w:tab w:val="right" w:pos="8306"/>
      </w:tabs>
      <w:jc w:val="left"/>
    </w:pPr>
    <w:rPr>
      <w:sz w:val="20"/>
      <w:szCs w:val="20"/>
    </w:rPr>
  </w:style>
  <w:style w:type="paragraph" w:customStyle="1" w:styleId="Author">
    <w:name w:val="Author"/>
    <w:basedOn w:val="Normal"/>
    <w:rsid w:val="00085B00"/>
    <w:pPr>
      <w:widowControl/>
    </w:pPr>
    <w:rPr>
      <w:szCs w:val="20"/>
      <w:lang w:val="en-AU"/>
    </w:rPr>
  </w:style>
  <w:style w:type="paragraph" w:customStyle="1" w:styleId="BlockQuote">
    <w:name w:val="Block Quote"/>
    <w:basedOn w:val="Normal"/>
    <w:rsid w:val="00085B00"/>
    <w:pPr>
      <w:widowControl/>
      <w:ind w:left="720" w:right="720"/>
    </w:pPr>
    <w:rPr>
      <w:i/>
      <w:szCs w:val="20"/>
      <w:lang w:val="en-AU"/>
    </w:rPr>
  </w:style>
  <w:style w:type="paragraph" w:styleId="ListBullet">
    <w:name w:val="List Bullet"/>
    <w:basedOn w:val="Normal"/>
    <w:autoRedefine/>
    <w:rsid w:val="00022BC8"/>
    <w:pPr>
      <w:numPr>
        <w:numId w:val="25"/>
      </w:numPr>
    </w:pPr>
  </w:style>
  <w:style w:type="paragraph" w:styleId="ListBullet2">
    <w:name w:val="List Bullet 2"/>
    <w:basedOn w:val="Normal"/>
    <w:autoRedefine/>
    <w:rsid w:val="00085B00"/>
    <w:pPr>
      <w:widowControl/>
      <w:numPr>
        <w:numId w:val="1"/>
      </w:numPr>
    </w:pPr>
    <w:rPr>
      <w:szCs w:val="20"/>
      <w:lang w:val="en-AU"/>
    </w:rPr>
  </w:style>
  <w:style w:type="paragraph" w:styleId="ListBullet3">
    <w:name w:val="List Bullet 3"/>
    <w:basedOn w:val="Normal"/>
    <w:autoRedefine/>
    <w:rsid w:val="00085B00"/>
    <w:pPr>
      <w:widowControl/>
      <w:numPr>
        <w:numId w:val="2"/>
      </w:numPr>
    </w:pPr>
    <w:rPr>
      <w:szCs w:val="20"/>
      <w:lang w:val="en-AU"/>
    </w:rPr>
  </w:style>
  <w:style w:type="paragraph" w:customStyle="1" w:styleId="Recommendation">
    <w:name w:val="Recommendation"/>
    <w:basedOn w:val="Normal"/>
    <w:rsid w:val="00085B00"/>
    <w:pPr>
      <w:widowControl/>
      <w:pBdr>
        <w:top w:val="single" w:sz="4" w:space="8" w:color="auto"/>
        <w:left w:val="single" w:sz="4" w:space="8" w:color="auto"/>
        <w:bottom w:val="single" w:sz="4" w:space="8" w:color="auto"/>
        <w:right w:val="single" w:sz="4" w:space="8" w:color="auto"/>
      </w:pBdr>
      <w:ind w:left="720" w:right="746"/>
    </w:pPr>
    <w:rPr>
      <w:b/>
      <w:sz w:val="26"/>
      <w:szCs w:val="20"/>
      <w:lang w:val="en-AU"/>
    </w:rPr>
  </w:style>
  <w:style w:type="paragraph" w:customStyle="1" w:styleId="NumberedList">
    <w:name w:val="Numbered List"/>
    <w:basedOn w:val="Normal"/>
    <w:rsid w:val="00085B00"/>
    <w:pPr>
      <w:widowControl/>
      <w:numPr>
        <w:numId w:val="3"/>
      </w:numPr>
    </w:pPr>
    <w:rPr>
      <w:szCs w:val="20"/>
      <w:lang w:val="en-AU"/>
    </w:rPr>
  </w:style>
  <w:style w:type="paragraph" w:styleId="FootnoteText">
    <w:name w:val="footnote text"/>
    <w:basedOn w:val="Normal"/>
    <w:link w:val="FootnoteTextChar"/>
    <w:autoRedefine/>
    <w:uiPriority w:val="99"/>
    <w:rsid w:val="00022BC8"/>
    <w:pPr>
      <w:widowControl/>
      <w:tabs>
        <w:tab w:val="clear" w:pos="1418"/>
        <w:tab w:val="left" w:pos="1440"/>
      </w:tabs>
      <w:overflowPunct w:val="0"/>
      <w:autoSpaceDE w:val="0"/>
      <w:autoSpaceDN w:val="0"/>
      <w:ind w:left="720" w:hanging="720"/>
      <w:textAlignment w:val="baseline"/>
    </w:pPr>
    <w:rPr>
      <w:sz w:val="18"/>
      <w:szCs w:val="18"/>
    </w:rPr>
  </w:style>
  <w:style w:type="character" w:styleId="FootnoteReference">
    <w:name w:val="footnote reference"/>
    <w:uiPriority w:val="99"/>
    <w:rsid w:val="00022BC8"/>
    <w:rPr>
      <w:rFonts w:ascii="Arial" w:eastAsia="新細明體" w:hAnsi="Arial"/>
      <w:dstrike w:val="0"/>
      <w:sz w:val="18"/>
      <w:szCs w:val="18"/>
      <w:vertAlign w:val="superscript"/>
    </w:rPr>
  </w:style>
  <w:style w:type="paragraph" w:styleId="BodyText">
    <w:name w:val="Body Text"/>
    <w:basedOn w:val="Normal"/>
    <w:link w:val="BodyTextChar"/>
    <w:uiPriority w:val="99"/>
    <w:rsid w:val="00085B00"/>
    <w:pPr>
      <w:widowControl/>
      <w:tabs>
        <w:tab w:val="clear" w:pos="1418"/>
        <w:tab w:val="left" w:pos="1440"/>
      </w:tabs>
    </w:pPr>
    <w:rPr>
      <w:b/>
      <w:szCs w:val="20"/>
      <w:lang w:val="en-AU"/>
    </w:rPr>
  </w:style>
  <w:style w:type="paragraph" w:styleId="Subtitle">
    <w:name w:val="Subtitle"/>
    <w:basedOn w:val="Normal"/>
    <w:link w:val="SubtitleChar"/>
    <w:uiPriority w:val="11"/>
    <w:qFormat/>
    <w:rsid w:val="00085B00"/>
    <w:pPr>
      <w:widowControl/>
      <w:overflowPunct w:val="0"/>
      <w:autoSpaceDE w:val="0"/>
      <w:autoSpaceDN w:val="0"/>
      <w:snapToGrid/>
      <w:textAlignment w:val="baseline"/>
    </w:pPr>
    <w:rPr>
      <w:b/>
      <w:smallCaps/>
      <w:sz w:val="32"/>
      <w:szCs w:val="20"/>
    </w:rPr>
  </w:style>
  <w:style w:type="paragraph" w:customStyle="1" w:styleId="ojdocuments">
    <w:name w:val="oj documents"/>
    <w:basedOn w:val="Normal"/>
    <w:rsid w:val="00085B00"/>
    <w:pPr>
      <w:widowControl/>
      <w:tabs>
        <w:tab w:val="left" w:pos="851"/>
        <w:tab w:val="right" w:pos="9072"/>
      </w:tabs>
      <w:snapToGrid/>
    </w:pPr>
    <w:rPr>
      <w:rFonts w:ascii="Times" w:hAnsi="Times"/>
      <w:szCs w:val="20"/>
      <w:lang w:val="fr-FR"/>
    </w:rPr>
  </w:style>
  <w:style w:type="paragraph" w:styleId="BodyTextIndent">
    <w:name w:val="Body Text Indent"/>
    <w:basedOn w:val="Normal"/>
    <w:link w:val="BodyTextIndentChar"/>
    <w:rsid w:val="00085B00"/>
    <w:pPr>
      <w:widowControl/>
      <w:tabs>
        <w:tab w:val="clear" w:pos="1418"/>
        <w:tab w:val="left" w:pos="1440"/>
      </w:tabs>
      <w:ind w:left="1440"/>
    </w:pPr>
    <w:rPr>
      <w:szCs w:val="20"/>
      <w:lang w:val="en-AU"/>
    </w:rPr>
  </w:style>
  <w:style w:type="paragraph" w:styleId="BodyTextIndent2">
    <w:name w:val="Body Text Indent 2"/>
    <w:basedOn w:val="Normal"/>
    <w:link w:val="BodyTextIndent2Char"/>
    <w:rsid w:val="00085B00"/>
    <w:pPr>
      <w:widowControl/>
      <w:tabs>
        <w:tab w:val="clear" w:pos="1418"/>
        <w:tab w:val="left" w:pos="1440"/>
      </w:tabs>
      <w:ind w:left="720"/>
    </w:pPr>
    <w:rPr>
      <w:szCs w:val="20"/>
      <w:lang w:val="en-AU"/>
    </w:rPr>
  </w:style>
  <w:style w:type="paragraph" w:styleId="BodyTextIndent3">
    <w:name w:val="Body Text Indent 3"/>
    <w:basedOn w:val="Normal"/>
    <w:link w:val="BodyTextIndent3Char"/>
    <w:rsid w:val="00085B00"/>
    <w:pPr>
      <w:widowControl/>
      <w:tabs>
        <w:tab w:val="clear" w:pos="1418"/>
        <w:tab w:val="left" w:pos="1440"/>
      </w:tabs>
      <w:ind w:left="1440" w:hanging="720"/>
    </w:pPr>
    <w:rPr>
      <w:szCs w:val="20"/>
      <w:lang w:val="en-AU"/>
    </w:rPr>
  </w:style>
  <w:style w:type="paragraph" w:styleId="BodyText2">
    <w:name w:val="Body Text 2"/>
    <w:basedOn w:val="Normal"/>
    <w:link w:val="BodyText2Char"/>
    <w:rsid w:val="00085B00"/>
    <w:pPr>
      <w:widowControl/>
      <w:tabs>
        <w:tab w:val="clear" w:pos="1418"/>
        <w:tab w:val="left" w:pos="1440"/>
      </w:tabs>
    </w:pPr>
    <w:rPr>
      <w:i/>
      <w:szCs w:val="20"/>
      <w:lang w:val="en-AU"/>
    </w:rPr>
  </w:style>
  <w:style w:type="paragraph" w:styleId="BodyText3">
    <w:name w:val="Body Text 3"/>
    <w:basedOn w:val="Normal"/>
    <w:link w:val="BodyText3Char"/>
    <w:rsid w:val="00085B00"/>
    <w:pPr>
      <w:widowControl/>
      <w:tabs>
        <w:tab w:val="num" w:pos="748"/>
        <w:tab w:val="left" w:pos="8362"/>
      </w:tabs>
      <w:jc w:val="left"/>
    </w:pPr>
    <w:rPr>
      <w:szCs w:val="20"/>
      <w:lang w:val="en-AU"/>
    </w:rPr>
  </w:style>
  <w:style w:type="paragraph" w:styleId="List">
    <w:name w:val="List"/>
    <w:basedOn w:val="Normal"/>
    <w:rsid w:val="00022BC8"/>
    <w:pPr>
      <w:numPr>
        <w:numId w:val="24"/>
      </w:numPr>
    </w:pPr>
  </w:style>
  <w:style w:type="paragraph" w:customStyle="1" w:styleId="Style1">
    <w:name w:val="Style1"/>
    <w:basedOn w:val="BlockText"/>
    <w:rsid w:val="00085B00"/>
    <w:pPr>
      <w:ind w:left="2160"/>
    </w:pPr>
  </w:style>
  <w:style w:type="character" w:styleId="CommentReference">
    <w:name w:val="annotation reference"/>
    <w:uiPriority w:val="39"/>
    <w:semiHidden/>
    <w:rsid w:val="00B5301A"/>
    <w:rPr>
      <w:sz w:val="18"/>
      <w:szCs w:val="18"/>
    </w:rPr>
  </w:style>
  <w:style w:type="paragraph" w:styleId="CommentText">
    <w:name w:val="annotation text"/>
    <w:basedOn w:val="Normal"/>
    <w:link w:val="CommentTextChar"/>
    <w:uiPriority w:val="99"/>
    <w:semiHidden/>
    <w:rsid w:val="00B5301A"/>
    <w:pPr>
      <w:jc w:val="left"/>
    </w:pPr>
  </w:style>
  <w:style w:type="paragraph" w:styleId="CommentSubject">
    <w:name w:val="annotation subject"/>
    <w:basedOn w:val="CommentText"/>
    <w:next w:val="CommentText"/>
    <w:link w:val="CommentSubjectChar"/>
    <w:uiPriority w:val="99"/>
    <w:semiHidden/>
    <w:rsid w:val="00B5301A"/>
    <w:rPr>
      <w:b/>
      <w:bCs/>
    </w:rPr>
  </w:style>
  <w:style w:type="paragraph" w:styleId="BalloonText">
    <w:name w:val="Balloon Text"/>
    <w:basedOn w:val="Normal"/>
    <w:link w:val="BalloonTextChar"/>
    <w:uiPriority w:val="99"/>
    <w:semiHidden/>
    <w:unhideWhenUsed/>
    <w:rsid w:val="00022BC8"/>
    <w:pPr>
      <w:widowControl/>
      <w:tabs>
        <w:tab w:val="clear" w:pos="1418"/>
      </w:tabs>
      <w:adjustRightInd/>
      <w:snapToGrid/>
      <w:jc w:val="left"/>
    </w:pPr>
    <w:rPr>
      <w:rFonts w:ascii="Cambria" w:hAnsi="Cambria"/>
      <w:sz w:val="16"/>
      <w:szCs w:val="16"/>
      <w:lang w:val="en-US" w:eastAsia="en-US" w:bidi="en-US"/>
    </w:rPr>
  </w:style>
  <w:style w:type="table" w:styleId="TableGrid">
    <w:name w:val="Table Grid"/>
    <w:basedOn w:val="TableNormal"/>
    <w:uiPriority w:val="39"/>
    <w:rsid w:val="00A2051E"/>
    <w:pPr>
      <w:widowControl w:val="0"/>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har">
    <w:name w:val="Block Text Char"/>
    <w:rsid w:val="00A2051E"/>
    <w:rPr>
      <w:rFonts w:ascii="Arial" w:eastAsia="Arial" w:hAnsi="Arial"/>
      <w:i/>
      <w:sz w:val="24"/>
      <w:szCs w:val="24"/>
      <w:lang w:val="en-GB" w:eastAsia="zh-TW" w:bidi="ar-SA"/>
    </w:rPr>
  </w:style>
  <w:style w:type="paragraph" w:customStyle="1" w:styleId="a">
    <w:name w:val="符號點"/>
    <w:basedOn w:val="Normal"/>
    <w:rsid w:val="007769C2"/>
    <w:pPr>
      <w:numPr>
        <w:numId w:val="4"/>
      </w:numPr>
    </w:pPr>
  </w:style>
  <w:style w:type="character" w:customStyle="1" w:styleId="Heading2Char">
    <w:name w:val="Heading 2 Char"/>
    <w:link w:val="Heading2"/>
    <w:rsid w:val="001C03F4"/>
    <w:rPr>
      <w:rFonts w:ascii="Arial" w:hAnsi="Arial"/>
      <w:b/>
      <w:sz w:val="28"/>
      <w:szCs w:val="24"/>
      <w:lang w:val="en-GB" w:eastAsia="zh-TW"/>
    </w:rPr>
  </w:style>
  <w:style w:type="paragraph" w:customStyle="1" w:styleId="Style2">
    <w:name w:val="Style 2"/>
    <w:basedOn w:val="Normal"/>
    <w:rsid w:val="001A3234"/>
    <w:pPr>
      <w:autoSpaceDE w:val="0"/>
      <w:autoSpaceDN w:val="0"/>
      <w:snapToGrid/>
      <w:ind w:right="72"/>
    </w:pPr>
    <w:rPr>
      <w:rFonts w:ascii="Times New Roman" w:hAnsi="Times New Roman"/>
    </w:rPr>
  </w:style>
  <w:style w:type="character" w:customStyle="1" w:styleId="Heading3Char">
    <w:name w:val="Heading 3 Char"/>
    <w:link w:val="Heading3"/>
    <w:rsid w:val="008D516A"/>
    <w:rPr>
      <w:rFonts w:ascii="Arial" w:hAnsi="Arial"/>
      <w:b/>
      <w:i/>
      <w:sz w:val="24"/>
      <w:szCs w:val="24"/>
      <w:lang w:val="en-GB" w:eastAsia="zh-TW"/>
    </w:rPr>
  </w:style>
  <w:style w:type="paragraph" w:customStyle="1" w:styleId="legclearfix2">
    <w:name w:val="legclearfix2"/>
    <w:basedOn w:val="Normal"/>
    <w:rsid w:val="00B50CCC"/>
    <w:pPr>
      <w:widowControl/>
      <w:shd w:val="clear" w:color="auto" w:fill="FFFFFF"/>
      <w:snapToGrid/>
      <w:spacing w:after="120" w:line="360" w:lineRule="atLeast"/>
      <w:jc w:val="left"/>
    </w:pPr>
    <w:rPr>
      <w:rFonts w:ascii="新細明體" w:hAnsi="新細明體" w:cs="新細明體"/>
      <w:color w:val="000000"/>
      <w:sz w:val="19"/>
      <w:szCs w:val="19"/>
    </w:rPr>
  </w:style>
  <w:style w:type="character" w:customStyle="1" w:styleId="legds2">
    <w:name w:val="legds2"/>
    <w:rsid w:val="00B50CCC"/>
    <w:rPr>
      <w:vanish w:val="0"/>
      <w:webHidden w:val="0"/>
      <w:specVanish w:val="0"/>
    </w:rPr>
  </w:style>
  <w:style w:type="paragraph" w:styleId="ListParagraph">
    <w:name w:val="List Paragraph"/>
    <w:basedOn w:val="Normal"/>
    <w:uiPriority w:val="34"/>
    <w:qFormat/>
    <w:rsid w:val="005E298B"/>
    <w:pPr>
      <w:ind w:leftChars="200" w:left="480"/>
    </w:pPr>
  </w:style>
  <w:style w:type="paragraph" w:styleId="EndnoteText">
    <w:name w:val="endnote text"/>
    <w:basedOn w:val="Normal"/>
    <w:link w:val="EndnoteTextChar"/>
    <w:uiPriority w:val="99"/>
    <w:semiHidden/>
    <w:unhideWhenUsed/>
    <w:rsid w:val="001F3861"/>
    <w:pPr>
      <w:jc w:val="left"/>
    </w:pPr>
  </w:style>
  <w:style w:type="character" w:customStyle="1" w:styleId="EndnoteTextChar">
    <w:name w:val="Endnote Text Char"/>
    <w:link w:val="EndnoteText"/>
    <w:uiPriority w:val="99"/>
    <w:semiHidden/>
    <w:rsid w:val="001F3861"/>
    <w:rPr>
      <w:rFonts w:ascii="Arial" w:eastAsia="Arial" w:hAnsi="Arial"/>
      <w:kern w:val="2"/>
      <w:sz w:val="24"/>
      <w:szCs w:val="24"/>
    </w:rPr>
  </w:style>
  <w:style w:type="character" w:styleId="EndnoteReference">
    <w:name w:val="endnote reference"/>
    <w:uiPriority w:val="99"/>
    <w:semiHidden/>
    <w:unhideWhenUsed/>
    <w:rsid w:val="001F3861"/>
    <w:rPr>
      <w:vertAlign w:val="superscript"/>
    </w:rPr>
  </w:style>
  <w:style w:type="character" w:customStyle="1" w:styleId="FootnoteTextChar">
    <w:name w:val="Footnote Text Char"/>
    <w:link w:val="FootnoteText"/>
    <w:uiPriority w:val="99"/>
    <w:rsid w:val="009A6303"/>
    <w:rPr>
      <w:rFonts w:ascii="Arial" w:hAnsi="Arial"/>
      <w:sz w:val="18"/>
      <w:szCs w:val="18"/>
      <w:lang w:val="en-GB" w:eastAsia="zh-TW"/>
    </w:rPr>
  </w:style>
  <w:style w:type="character" w:customStyle="1" w:styleId="Heading1Char">
    <w:name w:val="Heading 1 Char"/>
    <w:link w:val="Heading1"/>
    <w:rsid w:val="009E070C"/>
    <w:rPr>
      <w:rFonts w:ascii="Arial" w:hAnsi="Arial"/>
      <w:b/>
      <w:sz w:val="36"/>
      <w:szCs w:val="24"/>
      <w:lang w:val="en-GB" w:eastAsia="zh-TW"/>
    </w:rPr>
  </w:style>
  <w:style w:type="character" w:customStyle="1" w:styleId="FooterChar">
    <w:name w:val="Footer Char"/>
    <w:link w:val="Footer"/>
    <w:uiPriority w:val="99"/>
    <w:rsid w:val="009E070C"/>
    <w:rPr>
      <w:rFonts w:ascii="Arial" w:hAnsi="Arial"/>
      <w:sz w:val="24"/>
      <w:lang w:val="en-GB"/>
    </w:rPr>
  </w:style>
  <w:style w:type="character" w:customStyle="1" w:styleId="legterm">
    <w:name w:val="legterm"/>
    <w:basedOn w:val="DefaultParagraphFont"/>
    <w:rsid w:val="006E722B"/>
  </w:style>
  <w:style w:type="paragraph" w:styleId="NormalWeb">
    <w:name w:val="Normal (Web)"/>
    <w:basedOn w:val="Normal"/>
    <w:uiPriority w:val="99"/>
    <w:unhideWhenUsed/>
    <w:rsid w:val="006E722B"/>
    <w:pPr>
      <w:widowControl/>
      <w:snapToGrid/>
      <w:spacing w:before="100" w:beforeAutospacing="1" w:after="100" w:afterAutospacing="1" w:line="336" w:lineRule="auto"/>
      <w:jc w:val="left"/>
    </w:pPr>
    <w:rPr>
      <w:rFonts w:cs="Arial"/>
    </w:rPr>
  </w:style>
  <w:style w:type="character" w:styleId="Emphasis">
    <w:name w:val="Emphasis"/>
    <w:uiPriority w:val="20"/>
    <w:qFormat/>
    <w:rsid w:val="006E722B"/>
    <w:rPr>
      <w:i/>
      <w:iCs/>
    </w:rPr>
  </w:style>
  <w:style w:type="paragraph" w:customStyle="1" w:styleId="Default">
    <w:name w:val="Default"/>
    <w:rsid w:val="00F77A20"/>
    <w:pPr>
      <w:widowControl w:val="0"/>
      <w:autoSpaceDE w:val="0"/>
      <w:autoSpaceDN w:val="0"/>
      <w:adjustRightInd w:val="0"/>
    </w:pPr>
    <w:rPr>
      <w:color w:val="000000"/>
      <w:sz w:val="24"/>
      <w:szCs w:val="24"/>
      <w:lang w:eastAsia="zh-TW"/>
    </w:rPr>
  </w:style>
  <w:style w:type="paragraph" w:customStyle="1" w:styleId="Style10">
    <w:name w:val="Style 1"/>
    <w:basedOn w:val="Normal"/>
    <w:rsid w:val="009F4B97"/>
    <w:pPr>
      <w:snapToGrid/>
      <w:jc w:val="left"/>
    </w:pPr>
    <w:rPr>
      <w:rFonts w:ascii="Times New Roman" w:hAnsi="Times New Roman"/>
      <w:color w:val="000000"/>
      <w:sz w:val="20"/>
      <w:szCs w:val="20"/>
    </w:rPr>
  </w:style>
  <w:style w:type="paragraph" w:styleId="TOC2">
    <w:name w:val="toc 2"/>
    <w:basedOn w:val="Normal"/>
    <w:next w:val="Normal"/>
    <w:autoRedefine/>
    <w:uiPriority w:val="39"/>
    <w:qFormat/>
    <w:rsid w:val="009012C8"/>
    <w:pPr>
      <w:widowControl/>
      <w:tabs>
        <w:tab w:val="left" w:pos="720"/>
      </w:tabs>
    </w:pPr>
    <w:rPr>
      <w:szCs w:val="20"/>
    </w:rPr>
  </w:style>
  <w:style w:type="character" w:customStyle="1" w:styleId="HeaderChar">
    <w:name w:val="Header Char"/>
    <w:link w:val="Header"/>
    <w:uiPriority w:val="99"/>
    <w:rsid w:val="003E7A96"/>
    <w:rPr>
      <w:rFonts w:ascii="Arial" w:hAnsi="Arial"/>
      <w:kern w:val="2"/>
    </w:rPr>
  </w:style>
  <w:style w:type="paragraph" w:customStyle="1" w:styleId="PlainTable32">
    <w:name w:val="Plain Table 32"/>
    <w:basedOn w:val="Normal"/>
    <w:uiPriority w:val="34"/>
    <w:qFormat/>
    <w:rsid w:val="003E7A96"/>
    <w:pPr>
      <w:ind w:left="480"/>
    </w:pPr>
  </w:style>
  <w:style w:type="character" w:customStyle="1" w:styleId="Heading4Char">
    <w:name w:val="Heading 4 Char"/>
    <w:link w:val="Heading4"/>
    <w:rsid w:val="003E7A96"/>
    <w:rPr>
      <w:rFonts w:ascii="Arial" w:hAnsi="Arial"/>
      <w:i/>
      <w:sz w:val="24"/>
      <w:szCs w:val="24"/>
      <w:lang w:val="en-GB" w:eastAsia="zh-TW"/>
    </w:rPr>
  </w:style>
  <w:style w:type="paragraph" w:customStyle="1" w:styleId="clause">
    <w:name w:val="clause"/>
    <w:basedOn w:val="Normal"/>
    <w:rsid w:val="003E7A96"/>
    <w:pPr>
      <w:widowControl/>
      <w:spacing w:before="100" w:beforeAutospacing="1" w:after="100" w:afterAutospacing="1"/>
    </w:pPr>
    <w:rPr>
      <w:rFonts w:ascii="新細明體" w:hAnsi="新細明體" w:cs="新細明體"/>
    </w:rPr>
  </w:style>
  <w:style w:type="paragraph" w:styleId="HTMLPreformatted">
    <w:name w:val="HTML Preformatted"/>
    <w:basedOn w:val="Normal"/>
    <w:link w:val="HTMLPreformattedChar"/>
    <w:uiPriority w:val="99"/>
    <w:unhideWhenUsed/>
    <w:rsid w:val="003E7A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lang w:val="x-none" w:eastAsia="x-none"/>
    </w:rPr>
  </w:style>
  <w:style w:type="character" w:customStyle="1" w:styleId="HTMLPreformattedChar">
    <w:name w:val="HTML Preformatted Char"/>
    <w:link w:val="HTMLPreformatted"/>
    <w:uiPriority w:val="99"/>
    <w:rsid w:val="003E7A96"/>
    <w:rPr>
      <w:rFonts w:ascii="細明體" w:eastAsia="細明體" w:hAnsi="細明體"/>
      <w:sz w:val="24"/>
      <w:szCs w:val="24"/>
      <w:lang w:val="x-none" w:eastAsia="x-none"/>
    </w:rPr>
  </w:style>
  <w:style w:type="paragraph" w:customStyle="1" w:styleId="def">
    <w:name w:val="def"/>
    <w:basedOn w:val="Normal"/>
    <w:rsid w:val="003E7A96"/>
    <w:pPr>
      <w:widowControl/>
      <w:spacing w:before="168" w:after="168" w:line="360" w:lineRule="atLeast"/>
      <w:ind w:left="1896"/>
    </w:pPr>
    <w:rPr>
      <w:rFonts w:ascii="Verdana" w:hAnsi="Verdana" w:cs="新細明體"/>
      <w:color w:val="000000"/>
    </w:rPr>
  </w:style>
  <w:style w:type="paragraph" w:customStyle="1" w:styleId="sub">
    <w:name w:val="sub"/>
    <w:basedOn w:val="Normal"/>
    <w:rsid w:val="003E7A96"/>
    <w:pPr>
      <w:widowControl/>
      <w:spacing w:before="120" w:line="360" w:lineRule="atLeast"/>
      <w:ind w:left="1344"/>
    </w:pPr>
    <w:rPr>
      <w:rFonts w:ascii="Verdana" w:hAnsi="Verdana" w:cs="新細明體"/>
      <w:color w:val="000000"/>
    </w:rPr>
  </w:style>
  <w:style w:type="paragraph" w:customStyle="1" w:styleId="para">
    <w:name w:val="para"/>
    <w:basedOn w:val="Normal"/>
    <w:rsid w:val="003E7A96"/>
    <w:pPr>
      <w:widowControl/>
      <w:spacing w:before="120" w:line="360" w:lineRule="atLeast"/>
      <w:ind w:left="2640"/>
    </w:pPr>
    <w:rPr>
      <w:rFonts w:ascii="Verdana" w:hAnsi="Verdana" w:cs="新細明體"/>
      <w:color w:val="000000"/>
    </w:rPr>
  </w:style>
  <w:style w:type="paragraph" w:customStyle="1" w:styleId="sec1">
    <w:name w:val="sec1"/>
    <w:basedOn w:val="Normal"/>
    <w:rsid w:val="003E7A96"/>
    <w:pPr>
      <w:widowControl/>
      <w:spacing w:before="168" w:after="168" w:line="360" w:lineRule="atLeast"/>
      <w:ind w:left="1464" w:hanging="348"/>
    </w:pPr>
    <w:rPr>
      <w:rFonts w:ascii="Verdana" w:hAnsi="Verdana" w:cs="新細明體"/>
      <w:color w:val="000000"/>
    </w:rPr>
  </w:style>
  <w:style w:type="character" w:styleId="Strong">
    <w:name w:val="Strong"/>
    <w:uiPriority w:val="22"/>
    <w:qFormat/>
    <w:rsid w:val="003E7A96"/>
    <w:rPr>
      <w:b/>
      <w:bCs/>
    </w:rPr>
  </w:style>
  <w:style w:type="paragraph" w:customStyle="1" w:styleId="clause-e">
    <w:name w:val="clause-e"/>
    <w:basedOn w:val="Normal"/>
    <w:rsid w:val="003E7A96"/>
    <w:pPr>
      <w:widowControl/>
      <w:spacing w:after="120"/>
      <w:ind w:left="1111" w:hanging="400"/>
    </w:pPr>
    <w:rPr>
      <w:rFonts w:ascii="Times New Roman" w:hAnsi="Times New Roman"/>
      <w:color w:val="000000"/>
      <w:sz w:val="26"/>
      <w:szCs w:val="26"/>
    </w:rPr>
  </w:style>
  <w:style w:type="paragraph" w:customStyle="1" w:styleId="subclause-e">
    <w:name w:val="subclause-e"/>
    <w:basedOn w:val="Normal"/>
    <w:rsid w:val="003E7A96"/>
    <w:pPr>
      <w:widowControl/>
      <w:spacing w:after="120"/>
      <w:ind w:left="1673" w:hanging="400"/>
    </w:pPr>
    <w:rPr>
      <w:rFonts w:ascii="Times New Roman" w:hAnsi="Times New Roman"/>
      <w:color w:val="000000"/>
      <w:sz w:val="26"/>
      <w:szCs w:val="26"/>
    </w:rPr>
  </w:style>
  <w:style w:type="paragraph" w:customStyle="1" w:styleId="firstdef-e">
    <w:name w:val="firstdef-e"/>
    <w:basedOn w:val="Normal"/>
    <w:rsid w:val="003E7A96"/>
    <w:pPr>
      <w:widowControl/>
      <w:spacing w:after="120"/>
      <w:ind w:left="652" w:hanging="400"/>
    </w:pPr>
    <w:rPr>
      <w:rFonts w:ascii="Times New Roman" w:hAnsi="Times New Roman"/>
      <w:color w:val="000000"/>
      <w:sz w:val="26"/>
      <w:szCs w:val="26"/>
    </w:rPr>
  </w:style>
  <w:style w:type="paragraph" w:customStyle="1" w:styleId="section-e">
    <w:name w:val="section-e"/>
    <w:basedOn w:val="Normal"/>
    <w:rsid w:val="003E7A96"/>
    <w:pPr>
      <w:widowControl/>
      <w:spacing w:after="120"/>
      <w:ind w:firstLine="600"/>
    </w:pPr>
    <w:rPr>
      <w:rFonts w:ascii="Times New Roman" w:hAnsi="Times New Roman"/>
      <w:color w:val="000000"/>
      <w:sz w:val="26"/>
      <w:szCs w:val="26"/>
    </w:rPr>
  </w:style>
  <w:style w:type="paragraph" w:customStyle="1" w:styleId="subsection-e">
    <w:name w:val="subsection-e"/>
    <w:basedOn w:val="Normal"/>
    <w:rsid w:val="003E7A96"/>
    <w:pPr>
      <w:widowControl/>
      <w:spacing w:after="120"/>
      <w:ind w:firstLine="600"/>
    </w:pPr>
    <w:rPr>
      <w:rFonts w:ascii="Times New Roman" w:hAnsi="Times New Roman"/>
      <w:color w:val="000000"/>
      <w:sz w:val="26"/>
      <w:szCs w:val="26"/>
    </w:rPr>
  </w:style>
  <w:style w:type="paragraph" w:customStyle="1" w:styleId="headnote-e">
    <w:name w:val="headnote-e"/>
    <w:basedOn w:val="Normal"/>
    <w:rsid w:val="003E7A96"/>
    <w:pPr>
      <w:keepNext/>
      <w:widowControl/>
    </w:pPr>
    <w:rPr>
      <w:rFonts w:ascii="Times New Roman" w:hAnsi="Times New Roman"/>
      <w:b/>
      <w:bCs/>
      <w:color w:val="000000"/>
      <w:sz w:val="26"/>
      <w:szCs w:val="26"/>
    </w:rPr>
  </w:style>
  <w:style w:type="paragraph" w:customStyle="1" w:styleId="body-end-sec-">
    <w:name w:val="body-end-sec-"/>
    <w:basedOn w:val="Normal"/>
    <w:rsid w:val="003E7A96"/>
    <w:pPr>
      <w:widowControl/>
      <w:spacing w:before="100" w:beforeAutospacing="1" w:after="100" w:afterAutospacing="1"/>
    </w:pPr>
    <w:rPr>
      <w:rFonts w:ascii="新細明體" w:hAnsi="新細明體" w:cs="新細明體"/>
    </w:rPr>
  </w:style>
  <w:style w:type="paragraph" w:customStyle="1" w:styleId="center">
    <w:name w:val="center"/>
    <w:basedOn w:val="Normal"/>
    <w:rsid w:val="003E7A96"/>
    <w:pPr>
      <w:widowControl/>
      <w:spacing w:line="360" w:lineRule="atLeast"/>
      <w:jc w:val="center"/>
    </w:pPr>
    <w:rPr>
      <w:rFonts w:ascii="Courier New" w:hAnsi="Courier New" w:cs="Courier New"/>
    </w:rPr>
  </w:style>
  <w:style w:type="paragraph" w:customStyle="1" w:styleId="left">
    <w:name w:val="left"/>
    <w:basedOn w:val="Normal"/>
    <w:rsid w:val="003E7A96"/>
    <w:pPr>
      <w:widowControl/>
      <w:spacing w:line="360" w:lineRule="atLeast"/>
    </w:pPr>
    <w:rPr>
      <w:rFonts w:ascii="Courier New" w:hAnsi="Courier New" w:cs="Courier New"/>
    </w:rPr>
  </w:style>
  <w:style w:type="character" w:customStyle="1" w:styleId="quiet">
    <w:name w:val="quiet"/>
    <w:rsid w:val="003E7A96"/>
  </w:style>
  <w:style w:type="character" w:customStyle="1" w:styleId="printonly">
    <w:name w:val="print_only"/>
    <w:rsid w:val="003E7A96"/>
  </w:style>
  <w:style w:type="paragraph" w:customStyle="1" w:styleId="outlinelevel1">
    <w:name w:val="outline_level_1"/>
    <w:basedOn w:val="Normal"/>
    <w:rsid w:val="003E7A96"/>
    <w:pPr>
      <w:widowControl/>
      <w:spacing w:before="100" w:beforeAutospacing="1" w:after="100" w:afterAutospacing="1"/>
    </w:pPr>
    <w:rPr>
      <w:rFonts w:ascii="Times New Roman" w:eastAsia="Times New Roman" w:hAnsi="Times New Roman"/>
    </w:rPr>
  </w:style>
  <w:style w:type="character" w:customStyle="1" w:styleId="outlineheading1">
    <w:name w:val="outline_heading_1"/>
    <w:rsid w:val="003E7A96"/>
  </w:style>
  <w:style w:type="character" w:customStyle="1" w:styleId="BalloonTextChar">
    <w:name w:val="Balloon Text Char"/>
    <w:link w:val="BalloonText"/>
    <w:uiPriority w:val="99"/>
    <w:semiHidden/>
    <w:rsid w:val="00022BC8"/>
    <w:rPr>
      <w:rFonts w:ascii="Cambria" w:hAnsi="Cambria"/>
      <w:sz w:val="16"/>
      <w:szCs w:val="16"/>
      <w:lang w:eastAsia="en-US" w:bidi="en-US"/>
    </w:rPr>
  </w:style>
  <w:style w:type="character" w:customStyle="1" w:styleId="Heading5Char">
    <w:name w:val="Heading 5 Char"/>
    <w:link w:val="Heading5"/>
    <w:uiPriority w:val="9"/>
    <w:rsid w:val="003E7A96"/>
    <w:rPr>
      <w:rFonts w:ascii="Arial" w:hAnsi="Arial"/>
      <w:b/>
      <w:sz w:val="28"/>
      <w:lang w:val="en-AU"/>
    </w:rPr>
  </w:style>
  <w:style w:type="character" w:customStyle="1" w:styleId="TitleChar">
    <w:name w:val="Title Char"/>
    <w:link w:val="Title"/>
    <w:uiPriority w:val="10"/>
    <w:rsid w:val="003E7A96"/>
    <w:rPr>
      <w:rFonts w:ascii="Arial" w:hAnsi="Arial"/>
      <w:b/>
      <w:sz w:val="32"/>
      <w:lang w:val="en-GB"/>
    </w:rPr>
  </w:style>
  <w:style w:type="paragraph" w:customStyle="1" w:styleId="GridTable31">
    <w:name w:val="Grid Table 31"/>
    <w:basedOn w:val="Heading1"/>
    <w:next w:val="Normal"/>
    <w:uiPriority w:val="39"/>
    <w:semiHidden/>
    <w:unhideWhenUsed/>
    <w:qFormat/>
    <w:rsid w:val="003E7A96"/>
    <w:pPr>
      <w:keepLines/>
      <w:widowControl/>
      <w:spacing w:before="480" w:line="276" w:lineRule="auto"/>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unhideWhenUsed/>
    <w:qFormat/>
    <w:rsid w:val="003E7A96"/>
    <w:pPr>
      <w:tabs>
        <w:tab w:val="clear" w:pos="1418"/>
        <w:tab w:val="left" w:pos="1440"/>
        <w:tab w:val="right" w:leader="dot" w:pos="8730"/>
      </w:tabs>
      <w:spacing w:after="240"/>
      <w:ind w:left="1440" w:right="509" w:hanging="1440"/>
    </w:pPr>
    <w:rPr>
      <w:rFonts w:ascii="Times New Roman" w:hAnsi="Times New Roman"/>
      <w:b/>
      <w:bCs/>
      <w:caps/>
      <w:noProof/>
      <w:sz w:val="20"/>
      <w:szCs w:val="20"/>
    </w:rPr>
  </w:style>
  <w:style w:type="paragraph" w:styleId="TOC3">
    <w:name w:val="toc 3"/>
    <w:basedOn w:val="Normal"/>
    <w:next w:val="Normal"/>
    <w:autoRedefine/>
    <w:uiPriority w:val="39"/>
    <w:unhideWhenUsed/>
    <w:qFormat/>
    <w:rsid w:val="003E7A96"/>
    <w:pPr>
      <w:tabs>
        <w:tab w:val="left" w:pos="960"/>
        <w:tab w:val="right" w:leader="dot" w:pos="8779"/>
      </w:tabs>
      <w:spacing w:after="240"/>
      <w:ind w:left="709"/>
    </w:pPr>
    <w:rPr>
      <w:rFonts w:ascii="Calibri" w:hAnsi="Calibri"/>
      <w:i/>
      <w:iCs/>
      <w:sz w:val="20"/>
      <w:szCs w:val="20"/>
    </w:rPr>
  </w:style>
  <w:style w:type="character" w:customStyle="1" w:styleId="SubtitleChar">
    <w:name w:val="Subtitle Char"/>
    <w:link w:val="Subtitle"/>
    <w:uiPriority w:val="11"/>
    <w:rsid w:val="003E7A96"/>
    <w:rPr>
      <w:rFonts w:ascii="Arial" w:hAnsi="Arial"/>
      <w:b/>
      <w:smallCaps/>
      <w:sz w:val="32"/>
      <w:lang w:val="en-GB"/>
    </w:rPr>
  </w:style>
  <w:style w:type="paragraph" w:customStyle="1" w:styleId="Annex">
    <w:name w:val="Annex"/>
    <w:basedOn w:val="Normal"/>
    <w:link w:val="AnnexChar"/>
    <w:qFormat/>
    <w:rsid w:val="003E7A96"/>
    <w:pPr>
      <w:tabs>
        <w:tab w:val="left" w:pos="1480"/>
      </w:tabs>
      <w:spacing w:line="276" w:lineRule="auto"/>
      <w:ind w:left="240" w:right="-20"/>
      <w:jc w:val="right"/>
    </w:pPr>
    <w:rPr>
      <w:rFonts w:ascii="Times New Roman" w:hAnsi="Times New Roman"/>
      <w:b/>
      <w:sz w:val="26"/>
      <w:szCs w:val="26"/>
      <w:lang w:eastAsia="x-none"/>
    </w:rPr>
  </w:style>
  <w:style w:type="paragraph" w:customStyle="1" w:styleId="Subtitle2">
    <w:name w:val="Subtitle2"/>
    <w:basedOn w:val="Normal"/>
    <w:link w:val="Subtitle2Char"/>
    <w:qFormat/>
    <w:rsid w:val="003E7A96"/>
    <w:pPr>
      <w:numPr>
        <w:numId w:val="5"/>
      </w:numPr>
      <w:spacing w:line="276" w:lineRule="auto"/>
    </w:pPr>
    <w:rPr>
      <w:rFonts w:ascii="Times New Roman" w:hAnsi="Times New Roman"/>
      <w:b/>
      <w:i/>
      <w:sz w:val="26"/>
      <w:szCs w:val="26"/>
      <w:lang w:eastAsia="x-none"/>
    </w:rPr>
  </w:style>
  <w:style w:type="character" w:customStyle="1" w:styleId="AnnexChar">
    <w:name w:val="Annex Char"/>
    <w:link w:val="Annex"/>
    <w:rsid w:val="003E7A96"/>
    <w:rPr>
      <w:b/>
      <w:sz w:val="26"/>
      <w:szCs w:val="26"/>
      <w:lang w:val="en-GB" w:eastAsia="x-none"/>
    </w:rPr>
  </w:style>
  <w:style w:type="paragraph" w:styleId="TOC4">
    <w:name w:val="toc 4"/>
    <w:basedOn w:val="Normal"/>
    <w:next w:val="Normal"/>
    <w:autoRedefine/>
    <w:uiPriority w:val="39"/>
    <w:unhideWhenUsed/>
    <w:rsid w:val="003E7A96"/>
    <w:pPr>
      <w:ind w:left="720"/>
    </w:pPr>
    <w:rPr>
      <w:rFonts w:ascii="Calibri" w:hAnsi="Calibri"/>
      <w:sz w:val="18"/>
      <w:szCs w:val="18"/>
    </w:rPr>
  </w:style>
  <w:style w:type="character" w:customStyle="1" w:styleId="Subtitle2Char">
    <w:name w:val="Subtitle2 Char"/>
    <w:link w:val="Subtitle2"/>
    <w:rsid w:val="003E7A96"/>
    <w:rPr>
      <w:b/>
      <w:i/>
      <w:sz w:val="26"/>
      <w:szCs w:val="26"/>
      <w:lang w:val="en-GB" w:eastAsia="x-none"/>
    </w:rPr>
  </w:style>
  <w:style w:type="paragraph" w:styleId="TOC5">
    <w:name w:val="toc 5"/>
    <w:basedOn w:val="Normal"/>
    <w:next w:val="Normal"/>
    <w:autoRedefine/>
    <w:uiPriority w:val="39"/>
    <w:unhideWhenUsed/>
    <w:rsid w:val="003E7A96"/>
    <w:pPr>
      <w:ind w:left="960"/>
    </w:pPr>
    <w:rPr>
      <w:rFonts w:ascii="Calibri" w:hAnsi="Calibri"/>
      <w:sz w:val="18"/>
      <w:szCs w:val="18"/>
    </w:rPr>
  </w:style>
  <w:style w:type="paragraph" w:styleId="TOC6">
    <w:name w:val="toc 6"/>
    <w:basedOn w:val="Normal"/>
    <w:next w:val="Normal"/>
    <w:autoRedefine/>
    <w:uiPriority w:val="39"/>
    <w:unhideWhenUsed/>
    <w:rsid w:val="003E7A96"/>
    <w:pPr>
      <w:ind w:left="1200"/>
    </w:pPr>
    <w:rPr>
      <w:rFonts w:ascii="Calibri" w:hAnsi="Calibri"/>
      <w:sz w:val="18"/>
      <w:szCs w:val="18"/>
    </w:rPr>
  </w:style>
  <w:style w:type="paragraph" w:styleId="TOC7">
    <w:name w:val="toc 7"/>
    <w:basedOn w:val="Normal"/>
    <w:next w:val="Normal"/>
    <w:autoRedefine/>
    <w:uiPriority w:val="39"/>
    <w:unhideWhenUsed/>
    <w:rsid w:val="003E7A96"/>
    <w:pPr>
      <w:ind w:left="1440"/>
    </w:pPr>
    <w:rPr>
      <w:rFonts w:ascii="Calibri" w:hAnsi="Calibri"/>
      <w:sz w:val="18"/>
      <w:szCs w:val="18"/>
    </w:rPr>
  </w:style>
  <w:style w:type="paragraph" w:styleId="TOC8">
    <w:name w:val="toc 8"/>
    <w:basedOn w:val="Normal"/>
    <w:next w:val="Normal"/>
    <w:autoRedefine/>
    <w:uiPriority w:val="39"/>
    <w:unhideWhenUsed/>
    <w:rsid w:val="003E7A96"/>
    <w:pPr>
      <w:ind w:left="1680"/>
    </w:pPr>
    <w:rPr>
      <w:rFonts w:ascii="Calibri" w:hAnsi="Calibri"/>
      <w:sz w:val="18"/>
      <w:szCs w:val="18"/>
    </w:rPr>
  </w:style>
  <w:style w:type="paragraph" w:styleId="TOC9">
    <w:name w:val="toc 9"/>
    <w:basedOn w:val="Normal"/>
    <w:next w:val="Normal"/>
    <w:autoRedefine/>
    <w:uiPriority w:val="39"/>
    <w:unhideWhenUsed/>
    <w:rsid w:val="003E7A96"/>
    <w:pPr>
      <w:ind w:left="1920"/>
    </w:pPr>
    <w:rPr>
      <w:rFonts w:ascii="Calibri" w:hAnsi="Calibri"/>
      <w:sz w:val="18"/>
      <w:szCs w:val="18"/>
    </w:rPr>
  </w:style>
  <w:style w:type="paragraph" w:customStyle="1" w:styleId="PlainTable21">
    <w:name w:val="Plain Table 21"/>
    <w:hidden/>
    <w:uiPriority w:val="99"/>
    <w:semiHidden/>
    <w:rsid w:val="003E7A96"/>
    <w:rPr>
      <w:rFonts w:ascii="Calibri" w:hAnsi="Calibri"/>
      <w:kern w:val="2"/>
      <w:sz w:val="24"/>
      <w:szCs w:val="22"/>
      <w:lang w:eastAsia="zh-TW"/>
    </w:rPr>
  </w:style>
  <w:style w:type="character" w:customStyle="1" w:styleId="CommentTextChar">
    <w:name w:val="Comment Text Char"/>
    <w:link w:val="CommentText"/>
    <w:uiPriority w:val="99"/>
    <w:semiHidden/>
    <w:rsid w:val="003E7A96"/>
    <w:rPr>
      <w:rFonts w:ascii="Arial" w:eastAsia="Arial" w:hAnsi="Arial"/>
      <w:kern w:val="2"/>
      <w:sz w:val="24"/>
      <w:szCs w:val="24"/>
    </w:rPr>
  </w:style>
  <w:style w:type="character" w:styleId="HTMLCode">
    <w:name w:val="HTML Code"/>
    <w:uiPriority w:val="99"/>
    <w:semiHidden/>
    <w:unhideWhenUsed/>
    <w:rsid w:val="003E7A96"/>
    <w:rPr>
      <w:rFonts w:ascii="Courier New" w:eastAsia="Times New Roman" w:hAnsi="Courier New" w:cs="Courier New"/>
      <w:sz w:val="20"/>
      <w:szCs w:val="20"/>
    </w:rPr>
  </w:style>
  <w:style w:type="character" w:customStyle="1" w:styleId="groupdesc">
    <w:name w:val="groupdesc"/>
    <w:rsid w:val="003E7A96"/>
  </w:style>
  <w:style w:type="paragraph" w:styleId="PlainText">
    <w:name w:val="Plain Text"/>
    <w:basedOn w:val="Normal"/>
    <w:link w:val="PlainTextChar"/>
    <w:uiPriority w:val="99"/>
    <w:unhideWhenUsed/>
    <w:rsid w:val="003E7A96"/>
    <w:pPr>
      <w:spacing w:after="188"/>
    </w:pPr>
    <w:rPr>
      <w:rFonts w:ascii="Times New Roman" w:eastAsia="Times New Roman" w:hAnsi="Times New Roman"/>
      <w:lang w:val="x-none" w:eastAsia="x-none"/>
    </w:rPr>
  </w:style>
  <w:style w:type="character" w:customStyle="1" w:styleId="PlainTextChar">
    <w:name w:val="Plain Text Char"/>
    <w:link w:val="PlainText"/>
    <w:uiPriority w:val="99"/>
    <w:rsid w:val="003E7A96"/>
    <w:rPr>
      <w:rFonts w:eastAsia="Times New Roman"/>
      <w:sz w:val="24"/>
      <w:szCs w:val="24"/>
      <w:lang w:val="x-none" w:eastAsia="x-none"/>
    </w:rPr>
  </w:style>
  <w:style w:type="character" w:customStyle="1" w:styleId="CommentSubjectChar">
    <w:name w:val="Comment Subject Char"/>
    <w:link w:val="CommentSubject"/>
    <w:uiPriority w:val="99"/>
    <w:semiHidden/>
    <w:rsid w:val="003E7A96"/>
    <w:rPr>
      <w:rFonts w:ascii="Arial" w:eastAsia="Arial" w:hAnsi="Arial"/>
      <w:b/>
      <w:bCs/>
      <w:kern w:val="2"/>
      <w:sz w:val="24"/>
      <w:szCs w:val="24"/>
    </w:rPr>
  </w:style>
  <w:style w:type="paragraph" w:customStyle="1" w:styleId="p1">
    <w:name w:val="p1"/>
    <w:basedOn w:val="Normal"/>
    <w:rsid w:val="003E7A96"/>
    <w:pPr>
      <w:spacing w:before="100" w:beforeAutospacing="1" w:after="100" w:afterAutospacing="1"/>
    </w:pPr>
    <w:rPr>
      <w:rFonts w:ascii="Times New Roman" w:eastAsia="Times New Roman" w:hAnsi="Times New Roman"/>
    </w:rPr>
  </w:style>
  <w:style w:type="character" w:customStyle="1" w:styleId="sectioncatch">
    <w:name w:val="sectioncatch"/>
    <w:rsid w:val="003E7A96"/>
    <w:rPr>
      <w:rFonts w:ascii="Courier New" w:hAnsi="Courier New" w:cs="Courier New" w:hint="default"/>
    </w:rPr>
  </w:style>
  <w:style w:type="character" w:customStyle="1" w:styleId="body">
    <w:name w:val="body"/>
    <w:rsid w:val="003E7A96"/>
    <w:rPr>
      <w:rFonts w:ascii="Courier New" w:hAnsi="Courier New" w:cs="Courier New" w:hint="default"/>
    </w:rPr>
  </w:style>
  <w:style w:type="character" w:customStyle="1" w:styleId="PlainTable31">
    <w:name w:val="Plain Table 31"/>
    <w:uiPriority w:val="19"/>
    <w:qFormat/>
    <w:rsid w:val="003E7A96"/>
    <w:rPr>
      <w:i/>
      <w:iCs/>
      <w:color w:val="808080"/>
    </w:rPr>
  </w:style>
  <w:style w:type="character" w:customStyle="1" w:styleId="apple-converted-space">
    <w:name w:val="apple-converted-space"/>
    <w:rsid w:val="003E7A96"/>
  </w:style>
  <w:style w:type="paragraph" w:styleId="Date">
    <w:name w:val="Date"/>
    <w:basedOn w:val="Normal"/>
    <w:next w:val="Normal"/>
    <w:link w:val="DateChar"/>
    <w:uiPriority w:val="99"/>
    <w:semiHidden/>
    <w:unhideWhenUsed/>
    <w:rsid w:val="003E7A96"/>
    <w:pPr>
      <w:jc w:val="right"/>
    </w:pPr>
  </w:style>
  <w:style w:type="character" w:customStyle="1" w:styleId="DateChar">
    <w:name w:val="Date Char"/>
    <w:link w:val="Date"/>
    <w:uiPriority w:val="99"/>
    <w:semiHidden/>
    <w:rsid w:val="003E7A96"/>
    <w:rPr>
      <w:rFonts w:ascii="Arial" w:hAnsi="Arial"/>
      <w:sz w:val="24"/>
      <w:szCs w:val="24"/>
      <w:lang w:val="en-GB"/>
    </w:rPr>
  </w:style>
  <w:style w:type="character" w:styleId="FollowedHyperlink">
    <w:name w:val="FollowedHyperlink"/>
    <w:uiPriority w:val="99"/>
    <w:semiHidden/>
    <w:unhideWhenUsed/>
    <w:rsid w:val="003E7A96"/>
    <w:rPr>
      <w:color w:val="800080"/>
      <w:u w:val="single"/>
    </w:rPr>
  </w:style>
  <w:style w:type="character" w:customStyle="1" w:styleId="BodyTextChar">
    <w:name w:val="Body Text Char"/>
    <w:link w:val="BodyText"/>
    <w:uiPriority w:val="99"/>
    <w:rsid w:val="003E7A96"/>
    <w:rPr>
      <w:rFonts w:ascii="Arial" w:hAnsi="Arial"/>
      <w:b/>
      <w:sz w:val="24"/>
      <w:lang w:val="en-AU"/>
    </w:rPr>
  </w:style>
  <w:style w:type="paragraph" w:customStyle="1" w:styleId="Indent1">
    <w:name w:val="Indent1"/>
    <w:basedOn w:val="Normal"/>
    <w:rsid w:val="003E7A96"/>
    <w:pPr>
      <w:tabs>
        <w:tab w:val="left" w:pos="567"/>
        <w:tab w:val="left" w:pos="1134"/>
      </w:tabs>
      <w:spacing w:before="120" w:after="120" w:line="480" w:lineRule="auto"/>
      <w:ind w:left="567" w:hanging="567"/>
      <w:textAlignment w:val="baseline"/>
    </w:pPr>
    <w:rPr>
      <w:rFonts w:ascii="Times New Roman" w:eastAsia="Times New Roman" w:hAnsi="Times New Roman"/>
    </w:rPr>
  </w:style>
  <w:style w:type="paragraph" w:customStyle="1" w:styleId="PlainTable33">
    <w:name w:val="Plain Table 33"/>
    <w:basedOn w:val="Normal"/>
    <w:uiPriority w:val="34"/>
    <w:qFormat/>
    <w:rsid w:val="003E7A96"/>
    <w:pPr>
      <w:ind w:leftChars="200" w:left="480"/>
    </w:pPr>
    <w:rPr>
      <w:rFonts w:ascii="Calibri" w:hAnsi="Calibri"/>
    </w:rPr>
  </w:style>
  <w:style w:type="paragraph" w:customStyle="1" w:styleId="PlainTable22">
    <w:name w:val="Plain Table 22"/>
    <w:hidden/>
    <w:uiPriority w:val="99"/>
    <w:semiHidden/>
    <w:rsid w:val="003E7A96"/>
    <w:rPr>
      <w:rFonts w:ascii="Calibri" w:hAnsi="Calibri"/>
      <w:noProof/>
      <w:kern w:val="2"/>
      <w:sz w:val="24"/>
      <w:szCs w:val="22"/>
      <w:lang w:val="en-GB" w:eastAsia="zh-TW"/>
    </w:rPr>
  </w:style>
  <w:style w:type="character" w:customStyle="1" w:styleId="DefinedTerme">
    <w:name w:val="Defined Term@e"/>
    <w:rsid w:val="003E7A96"/>
    <w:rPr>
      <w:rFonts w:ascii="Times New Roman" w:eastAsia="細明體" w:hAnsi="Times New Roman" w:cs="Times New Roman"/>
      <w:b/>
      <w:i/>
      <w:strike w:val="0"/>
      <w:dstrike w:val="0"/>
      <w:snapToGrid w:val="0"/>
      <w:vanish w:val="0"/>
      <w:color w:val="auto"/>
      <w:w w:val="100"/>
      <w:kern w:val="0"/>
      <w:u w:val="none"/>
      <w:effect w:val="none"/>
      <w:vertAlign w:val="baseline"/>
      <w:em w:val="none"/>
      <w:lang w:val="en-GB"/>
    </w:rPr>
  </w:style>
  <w:style w:type="paragraph" w:customStyle="1" w:styleId="Normal1">
    <w:name w:val="Normal1"/>
    <w:basedOn w:val="Normal"/>
    <w:next w:val="NormalIndent"/>
    <w:qFormat/>
    <w:rsid w:val="003E7A96"/>
    <w:pPr>
      <w:tabs>
        <w:tab w:val="left" w:pos="720"/>
      </w:tabs>
      <w:spacing w:after="240"/>
      <w:ind w:left="720"/>
    </w:pPr>
    <w:rPr>
      <w:rFonts w:ascii="Times New Roman" w:hAnsi="Times New Roman"/>
    </w:rPr>
  </w:style>
  <w:style w:type="table" w:styleId="PlainTable3">
    <w:name w:val="Plain Table 3"/>
    <w:basedOn w:val="TableNormal"/>
    <w:uiPriority w:val="71"/>
    <w:qFormat/>
    <w:rsid w:val="003E7A96"/>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New York" w:eastAsia="MS Gothic" w:hAnsi="New York"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New York" w:eastAsia="MS Gothic" w:hAnsi="New York"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New York" w:eastAsia="MS Gothic" w:hAnsi="New York" w:cs="Times New Roman"/>
        <w:b/>
        <w:bCs/>
      </w:rPr>
    </w:tblStylePr>
    <w:tblStylePr w:type="lastCol">
      <w:rPr>
        <w:rFonts w:ascii="New York" w:eastAsia="MS Gothic" w:hAnsi="New York"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ListParaChar">
    <w:name w:val="List Para. Char"/>
    <w:link w:val="ListPara"/>
    <w:locked/>
    <w:rsid w:val="003E7A96"/>
    <w:rPr>
      <w:sz w:val="24"/>
      <w:szCs w:val="24"/>
    </w:rPr>
  </w:style>
  <w:style w:type="paragraph" w:customStyle="1" w:styleId="ListPara">
    <w:name w:val="List Para."/>
    <w:basedOn w:val="Normal"/>
    <w:link w:val="ListParaChar"/>
    <w:autoRedefine/>
    <w:rsid w:val="003E7A96"/>
    <w:pPr>
      <w:spacing w:after="240" w:line="360" w:lineRule="auto"/>
      <w:ind w:left="709" w:hanging="709"/>
    </w:pPr>
    <w:rPr>
      <w:rFonts w:ascii="Times New Roman" w:hAnsi="Times New Roman"/>
    </w:rPr>
  </w:style>
  <w:style w:type="paragraph" w:customStyle="1" w:styleId="Recommendationindent1">
    <w:name w:val="Recommendation indent 1"/>
    <w:basedOn w:val="Normal"/>
    <w:rsid w:val="00022BC8"/>
    <w:pPr>
      <w:ind w:left="720" w:hanging="720"/>
    </w:pPr>
    <w:rPr>
      <w:b/>
    </w:rPr>
  </w:style>
  <w:style w:type="paragraph" w:customStyle="1" w:styleId="Recommendationindent3">
    <w:name w:val="Recommendation indent 3"/>
    <w:basedOn w:val="Normal"/>
    <w:rsid w:val="00022BC8"/>
    <w:pPr>
      <w:ind w:left="2160" w:hanging="720"/>
    </w:pPr>
    <w:rPr>
      <w:b/>
    </w:rPr>
  </w:style>
  <w:style w:type="paragraph" w:customStyle="1" w:styleId="ColorfulList-Accent11">
    <w:name w:val="Colorful List - Accent 11"/>
    <w:basedOn w:val="Normal"/>
    <w:uiPriority w:val="34"/>
    <w:qFormat/>
    <w:rsid w:val="003E7A96"/>
    <w:pPr>
      <w:ind w:left="720"/>
      <w:contextualSpacing/>
    </w:pPr>
  </w:style>
  <w:style w:type="paragraph" w:customStyle="1" w:styleId="SubtleEmphasis1">
    <w:name w:val="Subtle Emphasis1"/>
    <w:basedOn w:val="Normal"/>
    <w:uiPriority w:val="34"/>
    <w:qFormat/>
    <w:rsid w:val="003E7A96"/>
    <w:pPr>
      <w:ind w:left="720"/>
      <w:contextualSpacing/>
    </w:pPr>
    <w:rPr>
      <w:rFonts w:cs="Arial"/>
    </w:rPr>
  </w:style>
  <w:style w:type="paragraph" w:customStyle="1" w:styleId="3">
    <w:name w:val="格線表格 3"/>
    <w:basedOn w:val="Heading1"/>
    <w:next w:val="Normal"/>
    <w:uiPriority w:val="39"/>
    <w:unhideWhenUsed/>
    <w:qFormat/>
    <w:rsid w:val="003E7A96"/>
    <w:pPr>
      <w:keepLines/>
      <w:spacing w:before="240" w:line="259" w:lineRule="auto"/>
      <w:outlineLvl w:val="9"/>
    </w:pPr>
    <w:rPr>
      <w:rFonts w:ascii="Calibri Light" w:hAnsi="Calibri Light"/>
      <w:b w:val="0"/>
      <w:color w:val="2E74B5"/>
      <w:sz w:val="32"/>
      <w:szCs w:val="32"/>
      <w:lang w:eastAsia="en-US"/>
    </w:rPr>
  </w:style>
  <w:style w:type="paragraph" w:customStyle="1" w:styleId="b02200-100Subsectionlevel1e">
    <w:name w:val="b02200-100 Subsection level 1@e"/>
    <w:basedOn w:val="Normal"/>
    <w:rsid w:val="003E7A96"/>
    <w:pPr>
      <w:tabs>
        <w:tab w:val="clear" w:pos="1418"/>
        <w:tab w:val="right" w:pos="1440"/>
      </w:tabs>
      <w:overflowPunct w:val="0"/>
      <w:spacing w:after="80" w:line="260" w:lineRule="exact"/>
      <w:ind w:left="1680" w:hanging="1080"/>
    </w:pPr>
    <w:rPr>
      <w:rFonts w:eastAsia="細明體"/>
      <w:sz w:val="22"/>
    </w:rPr>
  </w:style>
  <w:style w:type="paragraph" w:customStyle="1" w:styleId="b02400-200Paralevel2e">
    <w:name w:val="b02400-200 Para level 2@e"/>
    <w:basedOn w:val="Normal"/>
    <w:rsid w:val="003E7A96"/>
    <w:pPr>
      <w:tabs>
        <w:tab w:val="right" w:pos="1920"/>
      </w:tabs>
      <w:overflowPunct w:val="0"/>
      <w:spacing w:after="80" w:line="260" w:lineRule="exact"/>
      <w:ind w:left="2160" w:hanging="1080"/>
    </w:pPr>
    <w:rPr>
      <w:rFonts w:eastAsia="細明體"/>
      <w:sz w:val="22"/>
    </w:rPr>
  </w:style>
  <w:style w:type="paragraph" w:customStyle="1" w:styleId="b02500-300Subparalevel3e">
    <w:name w:val="b02500-300 Subpara level 3@e"/>
    <w:basedOn w:val="Normal"/>
    <w:rsid w:val="003E7A96"/>
    <w:pPr>
      <w:tabs>
        <w:tab w:val="right" w:pos="2400"/>
      </w:tabs>
      <w:overflowPunct w:val="0"/>
      <w:spacing w:after="80" w:line="260" w:lineRule="exact"/>
      <w:ind w:left="2640" w:hanging="1080"/>
    </w:pPr>
    <w:rPr>
      <w:rFonts w:eastAsia="細明體"/>
      <w:sz w:val="22"/>
    </w:rPr>
  </w:style>
  <w:style w:type="paragraph" w:customStyle="1" w:styleId="SubtleEmphasis2">
    <w:name w:val="Subtle Emphasis2"/>
    <w:basedOn w:val="Normal"/>
    <w:uiPriority w:val="34"/>
    <w:qFormat/>
    <w:rsid w:val="003E7A96"/>
    <w:pPr>
      <w:ind w:left="720"/>
      <w:contextualSpacing/>
    </w:pPr>
  </w:style>
  <w:style w:type="paragraph" w:customStyle="1" w:styleId="GridTable32">
    <w:name w:val="Grid Table 32"/>
    <w:basedOn w:val="Heading1"/>
    <w:next w:val="Normal"/>
    <w:uiPriority w:val="39"/>
    <w:unhideWhenUsed/>
    <w:qFormat/>
    <w:rsid w:val="003E7A96"/>
    <w:pPr>
      <w:keepLines/>
      <w:snapToGrid/>
      <w:spacing w:before="240" w:line="259" w:lineRule="auto"/>
      <w:outlineLvl w:val="9"/>
    </w:pPr>
    <w:rPr>
      <w:rFonts w:ascii="Calibri Light" w:hAnsi="Calibri Light"/>
      <w:b w:val="0"/>
      <w:color w:val="2E74B5"/>
      <w:sz w:val="32"/>
      <w:szCs w:val="32"/>
      <w:lang w:eastAsia="en-US"/>
    </w:rPr>
  </w:style>
  <w:style w:type="paragraph" w:customStyle="1" w:styleId="b01700-100Sectionheadinglevel1e">
    <w:name w:val="b01700-100 Section heading level 1%#@e"/>
    <w:basedOn w:val="Normal"/>
    <w:next w:val="b02100-100Sectiontextnosubsectionlevel1e"/>
    <w:rsid w:val="003E7A96"/>
    <w:pPr>
      <w:keepNext/>
      <w:tabs>
        <w:tab w:val="right" w:pos="960"/>
      </w:tabs>
      <w:overflowPunct w:val="0"/>
      <w:spacing w:before="240" w:after="80" w:line="260" w:lineRule="exact"/>
      <w:ind w:left="1200" w:hanging="1200"/>
      <w:outlineLvl w:val="2"/>
    </w:pPr>
    <w:rPr>
      <w:rFonts w:eastAsia="細明體"/>
      <w:b/>
      <w:sz w:val="22"/>
    </w:rPr>
  </w:style>
  <w:style w:type="paragraph" w:customStyle="1" w:styleId="b02100-100Sectiontextnosubsectionlevel1e">
    <w:name w:val="b02100-100 Section text (no subsection) level 1@e"/>
    <w:basedOn w:val="Normal"/>
    <w:rsid w:val="003E7A96"/>
    <w:pPr>
      <w:overflowPunct w:val="0"/>
      <w:spacing w:after="80" w:line="260" w:lineRule="exact"/>
      <w:ind w:left="1200"/>
    </w:pPr>
    <w:rPr>
      <w:rFonts w:eastAsia="細明體"/>
      <w:sz w:val="22"/>
    </w:rPr>
  </w:style>
  <w:style w:type="paragraph" w:customStyle="1" w:styleId="b02300-100Definitionlevel1e">
    <w:name w:val="b02300-100 Definition level 1@e"/>
    <w:basedOn w:val="Normal"/>
    <w:rsid w:val="003E7A96"/>
    <w:pPr>
      <w:overflowPunct w:val="0"/>
      <w:spacing w:after="80" w:line="260" w:lineRule="exact"/>
      <w:ind w:left="1680" w:hanging="480"/>
    </w:pPr>
    <w:rPr>
      <w:rFonts w:eastAsia="細明體"/>
      <w:sz w:val="22"/>
    </w:rPr>
  </w:style>
  <w:style w:type="paragraph" w:customStyle="1" w:styleId="b02400-100Paralevel1e">
    <w:name w:val="b02400-100 Para level 1@e"/>
    <w:basedOn w:val="Normal"/>
    <w:rsid w:val="003E7A96"/>
    <w:pPr>
      <w:tabs>
        <w:tab w:val="clear" w:pos="1418"/>
        <w:tab w:val="right" w:pos="1440"/>
      </w:tabs>
      <w:overflowPunct w:val="0"/>
      <w:spacing w:after="80" w:line="260" w:lineRule="exact"/>
      <w:ind w:left="1680" w:hanging="1080"/>
    </w:pPr>
    <w:rPr>
      <w:rFonts w:eastAsia="細明體"/>
      <w:sz w:val="22"/>
    </w:rPr>
  </w:style>
  <w:style w:type="paragraph" w:customStyle="1" w:styleId="g09900-000Blanklinespacinge">
    <w:name w:val="g09900-000 Blank line spacing@e"/>
    <w:basedOn w:val="Normal"/>
    <w:rsid w:val="003E7A96"/>
    <w:pPr>
      <w:overflowPunct w:val="0"/>
      <w:spacing w:after="80" w:line="120" w:lineRule="exact"/>
    </w:pPr>
    <w:rPr>
      <w:rFonts w:eastAsia="細明體"/>
      <w:sz w:val="22"/>
    </w:rPr>
  </w:style>
  <w:style w:type="paragraph" w:styleId="DocumentMap">
    <w:name w:val="Document Map"/>
    <w:basedOn w:val="Normal"/>
    <w:link w:val="DocumentMapChar"/>
    <w:uiPriority w:val="99"/>
    <w:semiHidden/>
    <w:unhideWhenUsed/>
    <w:rsid w:val="003E7A96"/>
    <w:rPr>
      <w:rFonts w:ascii="Lucida Grande" w:hAnsi="Lucida Grande" w:cs="Lucida Grande"/>
    </w:rPr>
  </w:style>
  <w:style w:type="character" w:customStyle="1" w:styleId="DocumentMapChar">
    <w:name w:val="Document Map Char"/>
    <w:link w:val="DocumentMap"/>
    <w:uiPriority w:val="99"/>
    <w:semiHidden/>
    <w:rsid w:val="003E7A96"/>
    <w:rPr>
      <w:rFonts w:ascii="Lucida Grande" w:hAnsi="Lucida Grande" w:cs="Lucida Grande"/>
      <w:sz w:val="24"/>
      <w:szCs w:val="24"/>
      <w:lang w:val="en-GB"/>
    </w:rPr>
  </w:style>
  <w:style w:type="paragraph" w:customStyle="1" w:styleId="p2">
    <w:name w:val="p2"/>
    <w:basedOn w:val="Normal"/>
    <w:rsid w:val="003E7A96"/>
    <w:pPr>
      <w:spacing w:before="100" w:beforeAutospacing="1" w:after="100" w:afterAutospacing="1"/>
    </w:pPr>
  </w:style>
  <w:style w:type="paragraph" w:customStyle="1" w:styleId="Footnotelegislation1">
    <w:name w:val="Footnote legislation 1"/>
    <w:basedOn w:val="FootnoteText"/>
    <w:rsid w:val="00022BC8"/>
    <w:pPr>
      <w:ind w:left="1440"/>
    </w:pPr>
    <w:rPr>
      <w:i/>
    </w:rPr>
  </w:style>
  <w:style w:type="paragraph" w:customStyle="1" w:styleId="Footnotelegislation2">
    <w:name w:val="Footnote legislation 2"/>
    <w:basedOn w:val="FootnoteText"/>
    <w:rsid w:val="00022BC8"/>
    <w:pPr>
      <w:ind w:left="2160"/>
    </w:pPr>
    <w:rPr>
      <w:i/>
    </w:rPr>
  </w:style>
  <w:style w:type="paragraph" w:customStyle="1" w:styleId="Footnotelegislation3">
    <w:name w:val="Footnote legislation 3"/>
    <w:basedOn w:val="FootnoteText"/>
    <w:rsid w:val="00022BC8"/>
    <w:pPr>
      <w:ind w:left="2880"/>
    </w:pPr>
    <w:rPr>
      <w:i/>
    </w:rPr>
  </w:style>
  <w:style w:type="paragraph" w:customStyle="1" w:styleId="Indent10">
    <w:name w:val="Indent 1"/>
    <w:basedOn w:val="Normal"/>
    <w:rsid w:val="00022BC8"/>
    <w:pPr>
      <w:ind w:left="1440" w:hanging="720"/>
    </w:pPr>
  </w:style>
  <w:style w:type="paragraph" w:customStyle="1" w:styleId="Indent2">
    <w:name w:val="Indent 2"/>
    <w:basedOn w:val="Normal"/>
    <w:rsid w:val="00022BC8"/>
    <w:pPr>
      <w:ind w:left="2160" w:hanging="720"/>
    </w:pPr>
  </w:style>
  <w:style w:type="paragraph" w:customStyle="1" w:styleId="Indent3">
    <w:name w:val="Indent 3"/>
    <w:basedOn w:val="Normal"/>
    <w:rsid w:val="00022BC8"/>
    <w:pPr>
      <w:ind w:left="2880" w:hanging="720"/>
    </w:pPr>
  </w:style>
  <w:style w:type="paragraph" w:customStyle="1" w:styleId="Legislationindent1">
    <w:name w:val="Legislation indent 1"/>
    <w:basedOn w:val="Normal"/>
    <w:rsid w:val="00022BC8"/>
    <w:pPr>
      <w:ind w:left="1440" w:right="720" w:hanging="720"/>
    </w:pPr>
    <w:rPr>
      <w:i/>
    </w:rPr>
  </w:style>
  <w:style w:type="paragraph" w:customStyle="1" w:styleId="Legislationindent2">
    <w:name w:val="Legislation indent 2"/>
    <w:basedOn w:val="Normal"/>
    <w:rsid w:val="00022BC8"/>
    <w:pPr>
      <w:ind w:left="2160" w:right="720" w:hanging="720"/>
    </w:pPr>
    <w:rPr>
      <w:i/>
    </w:rPr>
  </w:style>
  <w:style w:type="paragraph" w:customStyle="1" w:styleId="Legislationindent3">
    <w:name w:val="Legislation indent 3"/>
    <w:basedOn w:val="Normal"/>
    <w:rsid w:val="00022BC8"/>
    <w:pPr>
      <w:ind w:left="2880" w:right="720" w:hanging="720"/>
    </w:pPr>
    <w:rPr>
      <w:i/>
    </w:rPr>
  </w:style>
  <w:style w:type="paragraph" w:customStyle="1" w:styleId="Legislationindent4">
    <w:name w:val="Legislation indent 4"/>
    <w:basedOn w:val="Normal"/>
    <w:rsid w:val="00022BC8"/>
    <w:pPr>
      <w:ind w:left="3600" w:right="720" w:hanging="720"/>
    </w:pPr>
    <w:rPr>
      <w:i/>
    </w:rPr>
  </w:style>
  <w:style w:type="paragraph" w:customStyle="1" w:styleId="Recommendationindent2">
    <w:name w:val="Recommendation indent 2"/>
    <w:basedOn w:val="Normal"/>
    <w:rsid w:val="00022BC8"/>
    <w:pPr>
      <w:ind w:left="1440" w:hanging="720"/>
    </w:pPr>
    <w:rPr>
      <w:b/>
    </w:rPr>
  </w:style>
  <w:style w:type="paragraph" w:customStyle="1" w:styleId="Recommendationindent4">
    <w:name w:val="Recommendation indent 4"/>
    <w:basedOn w:val="Recommendationindent3"/>
    <w:rsid w:val="00022BC8"/>
    <w:pPr>
      <w:ind w:left="2880"/>
    </w:pPr>
  </w:style>
  <w:style w:type="paragraph" w:customStyle="1" w:styleId="a02400-000Parae">
    <w:name w:val="a02400-000 Para@e"/>
    <w:basedOn w:val="Normal"/>
    <w:rsid w:val="008F24AB"/>
    <w:pPr>
      <w:widowControl/>
      <w:tabs>
        <w:tab w:val="clear" w:pos="1418"/>
        <w:tab w:val="right" w:pos="1440"/>
      </w:tabs>
      <w:overflowPunct w:val="0"/>
      <w:snapToGrid/>
      <w:spacing w:after="80" w:line="260" w:lineRule="exact"/>
      <w:ind w:left="1680" w:hanging="1080"/>
    </w:pPr>
    <w:rPr>
      <w:rFonts w:ascii="Times New Roman" w:eastAsia="細明體" w:hAnsi="Times New Roman"/>
      <w:sz w:val="22"/>
      <w:szCs w:val="22"/>
    </w:rPr>
  </w:style>
  <w:style w:type="paragraph" w:customStyle="1" w:styleId="a01100-000Partnumbere">
    <w:name w:val="a01100-000 Part number%#@e"/>
    <w:basedOn w:val="Normal"/>
    <w:next w:val="a01200-000Partheadinge"/>
    <w:rsid w:val="008F24AB"/>
    <w:pPr>
      <w:keepNext/>
      <w:widowControl/>
      <w:overflowPunct w:val="0"/>
      <w:snapToGrid/>
      <w:spacing w:before="240" w:after="80" w:line="320" w:lineRule="exact"/>
      <w:jc w:val="center"/>
      <w:outlineLvl w:val="7"/>
    </w:pPr>
    <w:rPr>
      <w:rFonts w:ascii="Times New Roman" w:eastAsia="細明體" w:hAnsi="Times New Roman"/>
      <w:b/>
      <w:sz w:val="28"/>
      <w:szCs w:val="22"/>
    </w:rPr>
  </w:style>
  <w:style w:type="paragraph" w:customStyle="1" w:styleId="a01200-000Partheadinge">
    <w:name w:val="a01200-000 Part heading%#@e"/>
    <w:basedOn w:val="Normal"/>
    <w:next w:val="a01700-000Sectionheadinge"/>
    <w:rsid w:val="008F24AB"/>
    <w:pPr>
      <w:keepNext/>
      <w:widowControl/>
      <w:overflowPunct w:val="0"/>
      <w:snapToGrid/>
      <w:spacing w:before="240" w:after="80" w:line="320" w:lineRule="exact"/>
      <w:jc w:val="center"/>
      <w:outlineLvl w:val="7"/>
    </w:pPr>
    <w:rPr>
      <w:rFonts w:ascii="Times New Roman" w:eastAsia="細明體" w:hAnsi="Times New Roman"/>
      <w:b/>
      <w:sz w:val="28"/>
      <w:szCs w:val="22"/>
    </w:rPr>
  </w:style>
  <w:style w:type="paragraph" w:customStyle="1" w:styleId="a01700-000Sectionheadinge">
    <w:name w:val="a01700-000 Section heading%#@e"/>
    <w:basedOn w:val="Normal"/>
    <w:next w:val="a02100-000Sectiontextnosubsectione"/>
    <w:rsid w:val="008F24AB"/>
    <w:pPr>
      <w:keepNext/>
      <w:widowControl/>
      <w:overflowPunct w:val="0"/>
      <w:snapToGrid/>
      <w:spacing w:before="240" w:after="80" w:line="260" w:lineRule="exact"/>
      <w:ind w:left="720" w:hanging="720"/>
      <w:outlineLvl w:val="0"/>
    </w:pPr>
    <w:rPr>
      <w:rFonts w:ascii="Times New Roman" w:eastAsia="細明體" w:hAnsi="Times New Roman"/>
      <w:b/>
      <w:sz w:val="22"/>
      <w:szCs w:val="22"/>
    </w:rPr>
  </w:style>
  <w:style w:type="paragraph" w:customStyle="1" w:styleId="a02100-000Sectiontextnosubsectione">
    <w:name w:val="a02100-000 Section text (no subsection)@e"/>
    <w:basedOn w:val="Normal"/>
    <w:rsid w:val="008F24AB"/>
    <w:pPr>
      <w:widowControl/>
      <w:overflowPunct w:val="0"/>
      <w:snapToGrid/>
      <w:spacing w:after="80" w:line="260" w:lineRule="exact"/>
      <w:ind w:left="720"/>
    </w:pPr>
    <w:rPr>
      <w:rFonts w:ascii="Times New Roman" w:eastAsia="細明體" w:hAnsi="Times New Roman"/>
      <w:sz w:val="22"/>
      <w:szCs w:val="22"/>
    </w:rPr>
  </w:style>
  <w:style w:type="paragraph" w:customStyle="1" w:styleId="a01400-000Divheadinge">
    <w:name w:val="a01400-000 Div heading%#@e"/>
    <w:basedOn w:val="Normal"/>
    <w:next w:val="a01700-000Sectionheadinge"/>
    <w:rsid w:val="008F24AB"/>
    <w:pPr>
      <w:keepNext/>
      <w:widowControl/>
      <w:overflowPunct w:val="0"/>
      <w:snapToGrid/>
      <w:spacing w:before="240" w:after="80" w:line="300" w:lineRule="exact"/>
      <w:jc w:val="center"/>
      <w:outlineLvl w:val="7"/>
    </w:pPr>
    <w:rPr>
      <w:rFonts w:ascii="Times New Roman" w:eastAsia="細明體" w:hAnsi="Times New Roman"/>
      <w:b/>
      <w:sz w:val="26"/>
      <w:szCs w:val="22"/>
    </w:rPr>
  </w:style>
  <w:style w:type="paragraph" w:customStyle="1" w:styleId="a02200-000Subsectione">
    <w:name w:val="a02200-000 Subsection@e"/>
    <w:basedOn w:val="Normal"/>
    <w:rsid w:val="008F24AB"/>
    <w:pPr>
      <w:widowControl/>
      <w:tabs>
        <w:tab w:val="right" w:pos="960"/>
      </w:tabs>
      <w:overflowPunct w:val="0"/>
      <w:snapToGrid/>
      <w:spacing w:after="80" w:line="260" w:lineRule="exact"/>
      <w:ind w:left="1200" w:hanging="1200"/>
    </w:pPr>
    <w:rPr>
      <w:rFonts w:ascii="Times New Roman" w:eastAsia="細明體" w:hAnsi="Times New Roman"/>
      <w:sz w:val="22"/>
      <w:szCs w:val="22"/>
    </w:rPr>
  </w:style>
  <w:style w:type="paragraph" w:customStyle="1" w:styleId="a02300-000Definitione">
    <w:name w:val="a02300-000 Definition@e"/>
    <w:basedOn w:val="Normal"/>
    <w:rsid w:val="008F24AB"/>
    <w:pPr>
      <w:widowControl/>
      <w:overflowPunct w:val="0"/>
      <w:snapToGrid/>
      <w:spacing w:after="80" w:line="260" w:lineRule="exact"/>
      <w:ind w:left="1200" w:hanging="480"/>
    </w:pPr>
    <w:rPr>
      <w:rFonts w:ascii="Times New Roman" w:eastAsia="細明體" w:hAnsi="Times New Roman"/>
      <w:sz w:val="22"/>
      <w:szCs w:val="22"/>
    </w:rPr>
  </w:style>
  <w:style w:type="paragraph" w:customStyle="1" w:styleId="a0240s-000Sandwichforparae">
    <w:name w:val="a0240s-000 Sandwich for para@e"/>
    <w:basedOn w:val="Normal"/>
    <w:rsid w:val="008F24AB"/>
    <w:pPr>
      <w:widowControl/>
      <w:overflowPunct w:val="0"/>
      <w:snapToGrid/>
      <w:spacing w:after="80" w:line="260" w:lineRule="exact"/>
      <w:ind w:left="1680"/>
    </w:pPr>
    <w:rPr>
      <w:rFonts w:ascii="Times New Roman" w:eastAsia="細明體" w:hAnsi="Times New Roman"/>
      <w:sz w:val="22"/>
      <w:szCs w:val="22"/>
    </w:rPr>
  </w:style>
  <w:style w:type="paragraph" w:customStyle="1" w:styleId="a02500-000Subparae">
    <w:name w:val="a02500-000 Subpara@e"/>
    <w:basedOn w:val="Normal"/>
    <w:rsid w:val="008F24AB"/>
    <w:pPr>
      <w:widowControl/>
      <w:tabs>
        <w:tab w:val="right" w:pos="1920"/>
      </w:tabs>
      <w:overflowPunct w:val="0"/>
      <w:snapToGrid/>
      <w:spacing w:after="80" w:line="260" w:lineRule="exact"/>
      <w:ind w:left="2160" w:hanging="1080"/>
    </w:pPr>
    <w:rPr>
      <w:rFonts w:ascii="Times New Roman" w:eastAsia="細明體" w:hAnsi="Times New Roman"/>
      <w:sz w:val="22"/>
      <w:szCs w:val="22"/>
    </w:rPr>
  </w:style>
  <w:style w:type="paragraph" w:customStyle="1" w:styleId="a08100-000ToCtitlee">
    <w:name w:val="a08100-000 ToC title%@e"/>
    <w:basedOn w:val="Normal"/>
    <w:rsid w:val="008F24AB"/>
    <w:pPr>
      <w:widowControl/>
      <w:overflowPunct w:val="0"/>
      <w:snapToGrid/>
      <w:spacing w:before="240" w:after="80" w:line="320" w:lineRule="exact"/>
      <w:jc w:val="center"/>
    </w:pPr>
    <w:rPr>
      <w:rFonts w:ascii="Times New Roman" w:eastAsia="細明體" w:hAnsi="Times New Roman"/>
      <w:b/>
      <w:sz w:val="28"/>
      <w:szCs w:val="22"/>
    </w:rPr>
  </w:style>
  <w:style w:type="paragraph" w:customStyle="1" w:styleId="g09200-100BlockIndentlevel1e">
    <w:name w:val="g09200-100 Block/Indent level 1@e"/>
    <w:basedOn w:val="Normal"/>
    <w:rsid w:val="008F24AB"/>
    <w:pPr>
      <w:widowControl/>
      <w:tabs>
        <w:tab w:val="right" w:pos="720"/>
        <w:tab w:val="right" w:pos="1200"/>
        <w:tab w:val="right" w:pos="1680"/>
      </w:tabs>
      <w:overflowPunct w:val="0"/>
      <w:snapToGrid/>
      <w:spacing w:after="80" w:line="260" w:lineRule="exact"/>
    </w:pPr>
    <w:rPr>
      <w:rFonts w:ascii="Times New Roman" w:eastAsia="細明體" w:hAnsi="Times New Roman"/>
      <w:sz w:val="22"/>
      <w:szCs w:val="22"/>
    </w:rPr>
  </w:style>
  <w:style w:type="character" w:customStyle="1" w:styleId="resultbrief1">
    <w:name w:val="result_brief1"/>
    <w:rsid w:val="00995019"/>
    <w:rPr>
      <w:rFonts w:ascii="Arial" w:hAnsi="Arial" w:cs="Arial" w:hint="default"/>
    </w:rPr>
  </w:style>
  <w:style w:type="paragraph" w:customStyle="1" w:styleId="b0270s-600Sandwichfors-s-subparalevel6e">
    <w:name w:val="b0270s-600 Sandwich for s-s-subpara level 6@e"/>
    <w:basedOn w:val="Normal"/>
    <w:rsid w:val="00E31F00"/>
    <w:pPr>
      <w:widowControl/>
      <w:overflowPunct w:val="0"/>
      <w:snapToGrid/>
      <w:spacing w:after="80" w:line="260" w:lineRule="exact"/>
      <w:ind w:left="4080"/>
    </w:pPr>
    <w:rPr>
      <w:rFonts w:ascii="Times New Roman" w:eastAsia="細明體" w:hAnsi="Times New Roman"/>
      <w:sz w:val="22"/>
      <w:szCs w:val="22"/>
    </w:rPr>
  </w:style>
  <w:style w:type="character" w:customStyle="1" w:styleId="Heading6Char">
    <w:name w:val="Heading 6 Char"/>
    <w:link w:val="Heading6"/>
    <w:rsid w:val="000A6B0C"/>
    <w:rPr>
      <w:rFonts w:ascii="Arial" w:hAnsi="Arial"/>
      <w:b/>
      <w:i/>
      <w:color w:val="000000"/>
      <w:sz w:val="22"/>
      <w:lang w:val="en-GB" w:eastAsia="zh-TW"/>
    </w:rPr>
  </w:style>
  <w:style w:type="character" w:customStyle="1" w:styleId="Heading7Char">
    <w:name w:val="Heading 7 Char"/>
    <w:link w:val="Heading7"/>
    <w:rsid w:val="000A6B0C"/>
    <w:rPr>
      <w:rFonts w:ascii="Arial" w:hAnsi="Arial"/>
      <w:b/>
      <w:sz w:val="24"/>
      <w:lang w:val="en-GB" w:eastAsia="zh-TW"/>
    </w:rPr>
  </w:style>
  <w:style w:type="character" w:customStyle="1" w:styleId="Heading8Char">
    <w:name w:val="Heading 8 Char"/>
    <w:link w:val="Heading8"/>
    <w:rsid w:val="000A6B0C"/>
    <w:rPr>
      <w:rFonts w:ascii="Arial" w:hAnsi="Arial"/>
      <w:b/>
      <w:sz w:val="28"/>
      <w:lang w:val="en-GB" w:eastAsia="zh-TW"/>
    </w:rPr>
  </w:style>
  <w:style w:type="character" w:customStyle="1" w:styleId="Heading9Char">
    <w:name w:val="Heading 9 Char"/>
    <w:link w:val="Heading9"/>
    <w:rsid w:val="000A6B0C"/>
    <w:rPr>
      <w:rFonts w:ascii="Arial" w:hAnsi="Arial"/>
      <w:sz w:val="36"/>
      <w:lang w:val="en-AU" w:eastAsia="zh-TW"/>
    </w:rPr>
  </w:style>
  <w:style w:type="character" w:customStyle="1" w:styleId="BodyTextIndentChar">
    <w:name w:val="Body Text Indent Char"/>
    <w:link w:val="BodyTextIndent"/>
    <w:rsid w:val="000A6B0C"/>
    <w:rPr>
      <w:rFonts w:ascii="Arial" w:hAnsi="Arial"/>
      <w:sz w:val="24"/>
      <w:lang w:val="en-AU" w:eastAsia="zh-TW"/>
    </w:rPr>
  </w:style>
  <w:style w:type="character" w:customStyle="1" w:styleId="BodyTextIndent2Char">
    <w:name w:val="Body Text Indent 2 Char"/>
    <w:link w:val="BodyTextIndent2"/>
    <w:rsid w:val="000A6B0C"/>
    <w:rPr>
      <w:rFonts w:ascii="Arial" w:hAnsi="Arial"/>
      <w:sz w:val="24"/>
      <w:lang w:val="en-AU" w:eastAsia="zh-TW"/>
    </w:rPr>
  </w:style>
  <w:style w:type="character" w:customStyle="1" w:styleId="BodyTextIndent3Char">
    <w:name w:val="Body Text Indent 3 Char"/>
    <w:link w:val="BodyTextIndent3"/>
    <w:rsid w:val="000A6B0C"/>
    <w:rPr>
      <w:rFonts w:ascii="Arial" w:hAnsi="Arial"/>
      <w:sz w:val="24"/>
      <w:lang w:val="en-AU" w:eastAsia="zh-TW"/>
    </w:rPr>
  </w:style>
  <w:style w:type="character" w:customStyle="1" w:styleId="BodyText2Char">
    <w:name w:val="Body Text 2 Char"/>
    <w:link w:val="BodyText2"/>
    <w:rsid w:val="000A6B0C"/>
    <w:rPr>
      <w:rFonts w:ascii="Arial" w:hAnsi="Arial"/>
      <w:i/>
      <w:sz w:val="24"/>
      <w:lang w:val="en-AU" w:eastAsia="zh-TW"/>
    </w:rPr>
  </w:style>
  <w:style w:type="character" w:customStyle="1" w:styleId="BodyText3Char">
    <w:name w:val="Body Text 3 Char"/>
    <w:link w:val="BodyText3"/>
    <w:rsid w:val="000A6B0C"/>
    <w:rPr>
      <w:rFonts w:ascii="Arial" w:hAnsi="Arial"/>
      <w:sz w:val="24"/>
      <w:lang w:val="en-AU" w:eastAsia="zh-TW"/>
    </w:rPr>
  </w:style>
  <w:style w:type="paragraph" w:customStyle="1" w:styleId="Para2">
    <w:name w:val="Para 2"/>
    <w:basedOn w:val="Heading2"/>
    <w:qFormat/>
    <w:rsid w:val="000A6B0C"/>
    <w:pPr>
      <w:spacing w:before="100"/>
    </w:pPr>
    <w:rPr>
      <w:b w:val="0"/>
      <w:bCs/>
    </w:rPr>
  </w:style>
  <w:style w:type="paragraph" w:customStyle="1" w:styleId="AlphaBrackets">
    <w:name w:val="AlphaBrackets"/>
    <w:basedOn w:val="BodyText"/>
    <w:uiPriority w:val="4"/>
    <w:qFormat/>
    <w:rsid w:val="000A6B0C"/>
    <w:pPr>
      <w:widowControl w:val="0"/>
      <w:numPr>
        <w:numId w:val="8"/>
      </w:numPr>
      <w:tabs>
        <w:tab w:val="clear" w:pos="1440"/>
        <w:tab w:val="left" w:pos="1418"/>
      </w:tabs>
      <w:spacing w:before="100" w:after="100"/>
    </w:pPr>
    <w:rPr>
      <w:rFonts w:eastAsia="Times New Roman"/>
      <w:b w:val="0"/>
      <w:szCs w:val="24"/>
      <w:lang w:val="en-GB" w:eastAsia="en-US"/>
    </w:rPr>
  </w:style>
  <w:style w:type="paragraph" w:styleId="Revision">
    <w:name w:val="Revision"/>
    <w:hidden/>
    <w:uiPriority w:val="99"/>
    <w:semiHidden/>
    <w:rsid w:val="004F68A5"/>
    <w:rPr>
      <w:rFonts w:ascii="Arial" w:eastAsia="Arial" w:hAnsi="Arial"/>
      <w:kern w:val="2"/>
      <w:sz w:val="24"/>
      <w:szCs w:val="24"/>
      <w:lang w:eastAsia="zh-TW"/>
    </w:rPr>
  </w:style>
  <w:style w:type="paragraph" w:customStyle="1" w:styleId="a07100-000Sublegtitlee">
    <w:name w:val="a07100-000 Subleg title%#@e"/>
    <w:basedOn w:val="Normal"/>
    <w:next w:val="a07150-000Sublegenactingformulae"/>
    <w:rsid w:val="001238F2"/>
    <w:pPr>
      <w:keepNext/>
      <w:widowControl/>
      <w:overflowPunct w:val="0"/>
      <w:snapToGrid/>
      <w:spacing w:before="240" w:after="80" w:line="320" w:lineRule="exact"/>
      <w:jc w:val="center"/>
    </w:pPr>
    <w:rPr>
      <w:rFonts w:ascii="Times New Roman" w:eastAsia="細明體" w:hAnsi="Times New Roman"/>
      <w:b/>
      <w:sz w:val="28"/>
      <w:szCs w:val="22"/>
    </w:rPr>
  </w:style>
  <w:style w:type="paragraph" w:customStyle="1" w:styleId="a07150-000Sublegenactingformulae">
    <w:name w:val="a07150-000 Subleg enacting formula%@e"/>
    <w:basedOn w:val="Normal"/>
    <w:next w:val="a01700-000Sectionheadinge"/>
    <w:rsid w:val="001238F2"/>
    <w:pPr>
      <w:keepNext/>
      <w:widowControl/>
      <w:overflowPunct w:val="0"/>
      <w:snapToGrid/>
      <w:spacing w:before="240" w:after="80" w:line="260" w:lineRule="exact"/>
      <w:jc w:val="center"/>
    </w:pPr>
    <w:rPr>
      <w:rFonts w:ascii="Times New Roman" w:eastAsia="細明體" w:hAnsi="Times New Roman"/>
      <w:sz w:val="22"/>
      <w:szCs w:val="22"/>
    </w:rPr>
  </w:style>
  <w:style w:type="paragraph" w:customStyle="1" w:styleId="a0220s-000Sandwichforsubsectione">
    <w:name w:val="a0220s-000 Sandwich for subsection@e"/>
    <w:basedOn w:val="Normal"/>
    <w:rsid w:val="001238F2"/>
    <w:pPr>
      <w:widowControl/>
      <w:overflowPunct w:val="0"/>
      <w:snapToGrid/>
      <w:spacing w:after="80" w:line="260" w:lineRule="exact"/>
      <w:ind w:left="1200"/>
    </w:pPr>
    <w:rPr>
      <w:rFonts w:ascii="Times New Roman" w:eastAsia="細明體" w:hAnsi="Times New Roman"/>
      <w:sz w:val="22"/>
      <w:szCs w:val="22"/>
    </w:rPr>
  </w:style>
  <w:style w:type="paragraph" w:customStyle="1" w:styleId="a06300-000Exmemonoteparae">
    <w:name w:val="a06300-000 Ex memo/note para@e"/>
    <w:basedOn w:val="Normal"/>
    <w:rsid w:val="002125E0"/>
    <w:pPr>
      <w:widowControl/>
      <w:tabs>
        <w:tab w:val="clear" w:pos="1418"/>
      </w:tabs>
      <w:overflowPunct w:val="0"/>
      <w:adjustRightInd/>
      <w:snapToGrid/>
      <w:spacing w:before="120" w:after="80" w:line="260" w:lineRule="exact"/>
      <w:ind w:left="720" w:hanging="720"/>
    </w:pPr>
    <w:rPr>
      <w:rFonts w:ascii="Times New Roman" w:eastAsia="細明體" w:hAnsi="Times New Roman"/>
      <w:sz w:val="22"/>
      <w:szCs w:val="22"/>
    </w:rPr>
  </w:style>
  <w:style w:type="paragraph" w:customStyle="1" w:styleId="a08400-000Endingseparatore">
    <w:name w:val="a08400-000 Ending separator@e"/>
    <w:basedOn w:val="Normal"/>
    <w:next w:val="Normal"/>
    <w:rsid w:val="002125E0"/>
    <w:pPr>
      <w:widowControl/>
      <w:tabs>
        <w:tab w:val="clear" w:pos="1418"/>
      </w:tabs>
      <w:overflowPunct w:val="0"/>
      <w:adjustRightInd/>
      <w:snapToGrid/>
      <w:spacing w:after="80" w:line="260" w:lineRule="exact"/>
      <w:jc w:val="center"/>
    </w:pPr>
    <w:rPr>
      <w:rFonts w:ascii="Times New Roman" w:eastAsia="細明體"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966950">
      <w:bodyDiv w:val="1"/>
      <w:marLeft w:val="0"/>
      <w:marRight w:val="0"/>
      <w:marTop w:val="0"/>
      <w:marBottom w:val="0"/>
      <w:divBdr>
        <w:top w:val="none" w:sz="0" w:space="0" w:color="auto"/>
        <w:left w:val="none" w:sz="0" w:space="0" w:color="auto"/>
        <w:bottom w:val="none" w:sz="0" w:space="0" w:color="auto"/>
        <w:right w:val="none" w:sz="0" w:space="0" w:color="auto"/>
      </w:divBdr>
      <w:divsChild>
        <w:div w:id="1677078806">
          <w:marLeft w:val="0"/>
          <w:marRight w:val="0"/>
          <w:marTop w:val="0"/>
          <w:marBottom w:val="0"/>
          <w:divBdr>
            <w:top w:val="none" w:sz="0" w:space="0" w:color="auto"/>
            <w:left w:val="none" w:sz="0" w:space="0" w:color="auto"/>
            <w:bottom w:val="none" w:sz="0" w:space="0" w:color="auto"/>
            <w:right w:val="none" w:sz="0" w:space="0" w:color="auto"/>
          </w:divBdr>
          <w:divsChild>
            <w:div w:id="1479221059">
              <w:marLeft w:val="0"/>
              <w:marRight w:val="0"/>
              <w:marTop w:val="0"/>
              <w:marBottom w:val="0"/>
              <w:divBdr>
                <w:top w:val="none" w:sz="0" w:space="0" w:color="auto"/>
                <w:left w:val="none" w:sz="0" w:space="0" w:color="auto"/>
                <w:bottom w:val="none" w:sz="0" w:space="0" w:color="auto"/>
                <w:right w:val="none" w:sz="0" w:space="0" w:color="auto"/>
              </w:divBdr>
              <w:divsChild>
                <w:div w:id="16978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5812">
      <w:bodyDiv w:val="1"/>
      <w:marLeft w:val="0"/>
      <w:marRight w:val="0"/>
      <w:marTop w:val="0"/>
      <w:marBottom w:val="0"/>
      <w:divBdr>
        <w:top w:val="none" w:sz="0" w:space="0" w:color="auto"/>
        <w:left w:val="none" w:sz="0" w:space="0" w:color="auto"/>
        <w:bottom w:val="none" w:sz="0" w:space="0" w:color="auto"/>
        <w:right w:val="none" w:sz="0" w:space="0" w:color="auto"/>
      </w:divBdr>
    </w:div>
    <w:div w:id="1512140468">
      <w:bodyDiv w:val="1"/>
      <w:marLeft w:val="0"/>
      <w:marRight w:val="0"/>
      <w:marTop w:val="0"/>
      <w:marBottom w:val="0"/>
      <w:divBdr>
        <w:top w:val="none" w:sz="0" w:space="0" w:color="auto"/>
        <w:left w:val="none" w:sz="0" w:space="0" w:color="auto"/>
        <w:bottom w:val="none" w:sz="0" w:space="0" w:color="auto"/>
        <w:right w:val="none" w:sz="0" w:space="0" w:color="auto"/>
      </w:divBdr>
      <w:divsChild>
        <w:div w:id="1870412423">
          <w:marLeft w:val="0"/>
          <w:marRight w:val="0"/>
          <w:marTop w:val="0"/>
          <w:marBottom w:val="0"/>
          <w:divBdr>
            <w:top w:val="single" w:sz="2" w:space="0" w:color="99BBE8"/>
            <w:left w:val="single" w:sz="2" w:space="0" w:color="99BBE8"/>
            <w:bottom w:val="single" w:sz="2" w:space="0" w:color="99BBE8"/>
            <w:right w:val="single" w:sz="2" w:space="0" w:color="99BBE8"/>
          </w:divBdr>
          <w:divsChild>
            <w:div w:id="1817259775">
              <w:marLeft w:val="0"/>
              <w:marRight w:val="0"/>
              <w:marTop w:val="0"/>
              <w:marBottom w:val="0"/>
              <w:divBdr>
                <w:top w:val="none" w:sz="0" w:space="0" w:color="auto"/>
                <w:left w:val="none" w:sz="0" w:space="0" w:color="auto"/>
                <w:bottom w:val="none" w:sz="0" w:space="0" w:color="auto"/>
                <w:right w:val="none" w:sz="0" w:space="0" w:color="auto"/>
              </w:divBdr>
              <w:divsChild>
                <w:div w:id="1444374354">
                  <w:marLeft w:val="0"/>
                  <w:marRight w:val="0"/>
                  <w:marTop w:val="0"/>
                  <w:marBottom w:val="0"/>
                  <w:divBdr>
                    <w:top w:val="none" w:sz="0" w:space="0" w:color="auto"/>
                    <w:left w:val="single" w:sz="6" w:space="0" w:color="99BBE8"/>
                    <w:bottom w:val="single" w:sz="6" w:space="0" w:color="99BBE8"/>
                    <w:right w:val="single" w:sz="6" w:space="0" w:color="99BBE8"/>
                  </w:divBdr>
                  <w:divsChild>
                    <w:div w:id="1218786780">
                      <w:marLeft w:val="0"/>
                      <w:marRight w:val="0"/>
                      <w:marTop w:val="0"/>
                      <w:marBottom w:val="0"/>
                      <w:divBdr>
                        <w:top w:val="single" w:sz="2" w:space="0" w:color="99BBE8"/>
                        <w:left w:val="single" w:sz="2" w:space="0" w:color="99BBE8"/>
                        <w:bottom w:val="single" w:sz="2" w:space="0" w:color="99BBE8"/>
                        <w:right w:val="single" w:sz="2" w:space="0" w:color="99BBE8"/>
                      </w:divBdr>
                      <w:divsChild>
                        <w:div w:id="262567436">
                          <w:marLeft w:val="0"/>
                          <w:marRight w:val="0"/>
                          <w:marTop w:val="0"/>
                          <w:marBottom w:val="0"/>
                          <w:divBdr>
                            <w:top w:val="none" w:sz="0" w:space="0" w:color="auto"/>
                            <w:left w:val="none" w:sz="0" w:space="0" w:color="auto"/>
                            <w:bottom w:val="none" w:sz="0" w:space="0" w:color="auto"/>
                            <w:right w:val="none" w:sz="0" w:space="0" w:color="auto"/>
                          </w:divBdr>
                          <w:divsChild>
                            <w:div w:id="1448114882">
                              <w:marLeft w:val="0"/>
                              <w:marRight w:val="0"/>
                              <w:marTop w:val="0"/>
                              <w:marBottom w:val="0"/>
                              <w:divBdr>
                                <w:top w:val="none" w:sz="0" w:space="0" w:color="auto"/>
                                <w:left w:val="none" w:sz="0" w:space="0" w:color="auto"/>
                                <w:bottom w:val="none" w:sz="0" w:space="0" w:color="auto"/>
                                <w:right w:val="none" w:sz="0" w:space="0" w:color="auto"/>
                              </w:divBdr>
                              <w:divsChild>
                                <w:div w:id="12203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504721">
      <w:bodyDiv w:val="1"/>
      <w:marLeft w:val="0"/>
      <w:marRight w:val="0"/>
      <w:marTop w:val="0"/>
      <w:marBottom w:val="0"/>
      <w:divBdr>
        <w:top w:val="none" w:sz="0" w:space="0" w:color="auto"/>
        <w:left w:val="none" w:sz="0" w:space="0" w:color="auto"/>
        <w:bottom w:val="none" w:sz="0" w:space="0" w:color="auto"/>
        <w:right w:val="none" w:sz="0" w:space="0" w:color="auto"/>
      </w:divBdr>
      <w:divsChild>
        <w:div w:id="825900048">
          <w:marLeft w:val="0"/>
          <w:marRight w:val="0"/>
          <w:marTop w:val="0"/>
          <w:marBottom w:val="0"/>
          <w:divBdr>
            <w:top w:val="none" w:sz="0" w:space="0" w:color="auto"/>
            <w:left w:val="none" w:sz="0" w:space="0" w:color="auto"/>
            <w:bottom w:val="none" w:sz="0" w:space="0" w:color="auto"/>
            <w:right w:val="none" w:sz="0" w:space="0" w:color="auto"/>
          </w:divBdr>
          <w:divsChild>
            <w:div w:id="838926511">
              <w:marLeft w:val="0"/>
              <w:marRight w:val="0"/>
              <w:marTop w:val="0"/>
              <w:marBottom w:val="0"/>
              <w:divBdr>
                <w:top w:val="single" w:sz="2" w:space="0" w:color="FFFFFF"/>
                <w:left w:val="single" w:sz="6" w:space="0" w:color="FFFFFF"/>
                <w:bottom w:val="single" w:sz="6" w:space="0" w:color="FFFFFF"/>
                <w:right w:val="single" w:sz="6" w:space="0" w:color="FFFFFF"/>
              </w:divBdr>
              <w:divsChild>
                <w:div w:id="1347172644">
                  <w:marLeft w:val="0"/>
                  <w:marRight w:val="0"/>
                  <w:marTop w:val="0"/>
                  <w:marBottom w:val="0"/>
                  <w:divBdr>
                    <w:top w:val="single" w:sz="6" w:space="1" w:color="D3D3D3"/>
                    <w:left w:val="none" w:sz="0" w:space="0" w:color="auto"/>
                    <w:bottom w:val="none" w:sz="0" w:space="0" w:color="auto"/>
                    <w:right w:val="none" w:sz="0" w:space="0" w:color="auto"/>
                  </w:divBdr>
                  <w:divsChild>
                    <w:div w:id="1564439595">
                      <w:marLeft w:val="0"/>
                      <w:marRight w:val="0"/>
                      <w:marTop w:val="0"/>
                      <w:marBottom w:val="0"/>
                      <w:divBdr>
                        <w:top w:val="none" w:sz="0" w:space="0" w:color="auto"/>
                        <w:left w:val="none" w:sz="0" w:space="0" w:color="auto"/>
                        <w:bottom w:val="none" w:sz="0" w:space="0" w:color="auto"/>
                        <w:right w:val="none" w:sz="0" w:space="0" w:color="auto"/>
                      </w:divBdr>
                      <w:divsChild>
                        <w:div w:id="456685188">
                          <w:marLeft w:val="0"/>
                          <w:marRight w:val="0"/>
                          <w:marTop w:val="0"/>
                          <w:marBottom w:val="0"/>
                          <w:divBdr>
                            <w:top w:val="none" w:sz="0" w:space="0" w:color="auto"/>
                            <w:left w:val="none" w:sz="0" w:space="0" w:color="auto"/>
                            <w:bottom w:val="none" w:sz="0" w:space="0" w:color="auto"/>
                            <w:right w:val="none" w:sz="0" w:space="0" w:color="auto"/>
                          </w:divBdr>
                          <w:divsChild>
                            <w:div w:id="1000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 Id="rId27"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YLEE\AppData\Roaming\Microsoft\Templates\LRC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E31FA-93D0-447E-806E-E0D777C47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LRCstyle</Template>
  <TotalTime>2</TotalTime>
  <Pages>118</Pages>
  <Words>33645</Words>
  <Characters>191777</Characters>
  <Application>Microsoft Office Word</Application>
  <DocSecurity>0</DocSecurity>
  <Lines>1598</Lines>
  <Paragraphs>449</Paragraphs>
  <ScaleCrop>false</ScaleCrop>
  <HeadingPairs>
    <vt:vector size="2" baseType="variant">
      <vt:variant>
        <vt:lpstr>Title</vt:lpstr>
      </vt:variant>
      <vt:variant>
        <vt:i4>1</vt:i4>
      </vt:variant>
    </vt:vector>
  </HeadingPairs>
  <TitlesOfParts>
    <vt:vector size="1" baseType="lpstr">
      <vt:lpstr>Consultation Paper</vt:lpstr>
    </vt:vector>
  </TitlesOfParts>
  <Company>D of J,HKSARG</Company>
  <LinksUpToDate>false</LinksUpToDate>
  <CharactersWithSpaces>224973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Paper</dc:title>
  <dc:subject/>
  <dc:creator>CWAN</dc:creator>
  <cp:keywords/>
  <dc:description/>
  <cp:lastModifiedBy>LEE , Fiann FY</cp:lastModifiedBy>
  <cp:revision>2</cp:revision>
  <cp:lastPrinted>2021-11-17T09:13:00Z</cp:lastPrinted>
  <dcterms:created xsi:type="dcterms:W3CDTF">2021-12-10T06:58:00Z</dcterms:created>
  <dcterms:modified xsi:type="dcterms:W3CDTF">2021-12-10T06:58:00Z</dcterms:modified>
</cp:coreProperties>
</file>