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41E3720" w14:textId="17C10A30" w:rsidR="00BB6168" w:rsidRPr="00581C3B" w:rsidRDefault="00BB6168" w:rsidP="00DB6D0D">
      <w:pPr>
        <w:jc w:val="center"/>
        <w:rPr>
          <w:rFonts w:cs="Arial"/>
          <w:b/>
          <w:smallCaps/>
          <w:sz w:val="28"/>
          <w:szCs w:val="28"/>
        </w:rPr>
      </w:pPr>
      <w:bookmarkStart w:id="0" w:name="_Toc409448629"/>
      <w:bookmarkStart w:id="1" w:name="_Toc406836881"/>
      <w:r w:rsidRPr="00581C3B">
        <w:rPr>
          <w:rFonts w:cs="Arial"/>
          <w:b/>
          <w:smallCaps/>
          <w:sz w:val="28"/>
          <w:szCs w:val="28"/>
        </w:rPr>
        <w:t>T</w:t>
      </w:r>
      <w:r w:rsidR="001511D0" w:rsidRPr="00581C3B">
        <w:rPr>
          <w:rFonts w:cs="Arial"/>
          <w:b/>
          <w:smallCaps/>
          <w:sz w:val="28"/>
          <w:szCs w:val="28"/>
        </w:rPr>
        <w:t>he</w:t>
      </w:r>
      <w:r w:rsidRPr="00581C3B">
        <w:rPr>
          <w:rFonts w:cs="Arial"/>
          <w:b/>
          <w:smallCaps/>
          <w:sz w:val="28"/>
          <w:szCs w:val="28"/>
        </w:rPr>
        <w:t xml:space="preserve"> L</w:t>
      </w:r>
      <w:r w:rsidR="001511D0" w:rsidRPr="00581C3B">
        <w:rPr>
          <w:rFonts w:cs="Arial"/>
          <w:b/>
          <w:smallCaps/>
          <w:sz w:val="28"/>
          <w:szCs w:val="28"/>
        </w:rPr>
        <w:t>aw</w:t>
      </w:r>
      <w:r w:rsidRPr="00581C3B">
        <w:rPr>
          <w:rFonts w:cs="Arial"/>
          <w:b/>
          <w:smallCaps/>
          <w:sz w:val="28"/>
          <w:szCs w:val="28"/>
        </w:rPr>
        <w:t xml:space="preserve"> R</w:t>
      </w:r>
      <w:r w:rsidR="001511D0" w:rsidRPr="00581C3B">
        <w:rPr>
          <w:rFonts w:cs="Arial"/>
          <w:b/>
          <w:smallCaps/>
          <w:sz w:val="28"/>
          <w:szCs w:val="28"/>
        </w:rPr>
        <w:t>eform</w:t>
      </w:r>
      <w:r w:rsidRPr="00581C3B">
        <w:rPr>
          <w:rFonts w:cs="Arial"/>
          <w:b/>
          <w:smallCaps/>
          <w:sz w:val="28"/>
          <w:szCs w:val="28"/>
        </w:rPr>
        <w:t xml:space="preserve"> C</w:t>
      </w:r>
      <w:r w:rsidR="001511D0" w:rsidRPr="00581C3B">
        <w:rPr>
          <w:rFonts w:cs="Arial"/>
          <w:b/>
          <w:smallCaps/>
          <w:sz w:val="28"/>
          <w:szCs w:val="28"/>
        </w:rPr>
        <w:t>ommission</w:t>
      </w:r>
      <w:r w:rsidRPr="00581C3B">
        <w:rPr>
          <w:rFonts w:cs="Arial"/>
          <w:b/>
          <w:smallCaps/>
          <w:sz w:val="28"/>
          <w:szCs w:val="28"/>
        </w:rPr>
        <w:t xml:space="preserve"> </w:t>
      </w:r>
      <w:r w:rsidR="00A04B2D" w:rsidRPr="00581C3B">
        <w:rPr>
          <w:rFonts w:cs="Arial"/>
          <w:b/>
          <w:smallCaps/>
          <w:sz w:val="28"/>
          <w:szCs w:val="28"/>
        </w:rPr>
        <w:t>o</w:t>
      </w:r>
      <w:r w:rsidR="001511D0" w:rsidRPr="00581C3B">
        <w:rPr>
          <w:rFonts w:cs="Arial"/>
          <w:b/>
          <w:smallCaps/>
          <w:sz w:val="28"/>
          <w:szCs w:val="28"/>
        </w:rPr>
        <w:t xml:space="preserve">f </w:t>
      </w:r>
      <w:r w:rsidRPr="00581C3B">
        <w:rPr>
          <w:rFonts w:cs="Arial"/>
          <w:b/>
          <w:smallCaps/>
          <w:sz w:val="28"/>
          <w:szCs w:val="28"/>
        </w:rPr>
        <w:t>H</w:t>
      </w:r>
      <w:r w:rsidR="001511D0" w:rsidRPr="00581C3B">
        <w:rPr>
          <w:rFonts w:cs="Arial"/>
          <w:b/>
          <w:smallCaps/>
          <w:sz w:val="28"/>
          <w:szCs w:val="28"/>
        </w:rPr>
        <w:t>ong</w:t>
      </w:r>
      <w:r w:rsidRPr="00581C3B">
        <w:rPr>
          <w:rFonts w:cs="Arial"/>
          <w:b/>
          <w:smallCaps/>
          <w:sz w:val="28"/>
          <w:szCs w:val="28"/>
        </w:rPr>
        <w:t xml:space="preserve"> K</w:t>
      </w:r>
      <w:r w:rsidR="001511D0" w:rsidRPr="00581C3B">
        <w:rPr>
          <w:rFonts w:cs="Arial"/>
          <w:b/>
          <w:smallCaps/>
          <w:sz w:val="28"/>
          <w:szCs w:val="28"/>
        </w:rPr>
        <w:t>ong</w:t>
      </w:r>
    </w:p>
    <w:p w14:paraId="0635924E" w14:textId="77777777" w:rsidR="00BB6168" w:rsidRPr="00581C3B" w:rsidRDefault="00BB6168" w:rsidP="00DB6D0D">
      <w:pPr>
        <w:tabs>
          <w:tab w:val="clear" w:pos="1418"/>
          <w:tab w:val="left" w:pos="1440"/>
        </w:tabs>
        <w:jc w:val="center"/>
        <w:rPr>
          <w:rFonts w:cs="Arial"/>
          <w:smallCaps/>
        </w:rPr>
      </w:pPr>
    </w:p>
    <w:p w14:paraId="6F3437F8" w14:textId="77777777" w:rsidR="00BB6168" w:rsidRPr="00581C3B" w:rsidRDefault="00BB6168" w:rsidP="00DB6D0D">
      <w:pPr>
        <w:jc w:val="center"/>
        <w:rPr>
          <w:rFonts w:cs="Arial"/>
          <w:b/>
          <w:smallCaps/>
        </w:rPr>
      </w:pPr>
    </w:p>
    <w:p w14:paraId="41541F9A" w14:textId="0230CE13" w:rsidR="00405EF9" w:rsidRPr="00581C3B" w:rsidRDefault="009029D8" w:rsidP="00DB6D0D">
      <w:pPr>
        <w:jc w:val="center"/>
        <w:rPr>
          <w:rFonts w:cs="Arial"/>
          <w:b/>
          <w:smallCaps/>
          <w:sz w:val="32"/>
          <w:szCs w:val="32"/>
        </w:rPr>
      </w:pPr>
      <w:r w:rsidRPr="00581C3B">
        <w:rPr>
          <w:rFonts w:cs="Arial"/>
          <w:b/>
          <w:smallCaps/>
          <w:sz w:val="32"/>
          <w:szCs w:val="32"/>
        </w:rPr>
        <w:t>Report</w:t>
      </w:r>
      <w:r w:rsidR="00A13850" w:rsidRPr="00581C3B">
        <w:rPr>
          <w:rFonts w:cs="Arial"/>
          <w:b/>
          <w:smallCaps/>
          <w:sz w:val="32"/>
          <w:szCs w:val="32"/>
        </w:rPr>
        <w:t xml:space="preserve"> on</w:t>
      </w:r>
    </w:p>
    <w:p w14:paraId="534D302F" w14:textId="723B12E5" w:rsidR="00BB6168" w:rsidRPr="00581C3B" w:rsidRDefault="00A13850" w:rsidP="00DB6D0D">
      <w:pPr>
        <w:jc w:val="center"/>
        <w:rPr>
          <w:rFonts w:cs="Arial"/>
          <w:b/>
          <w:smallCaps/>
          <w:sz w:val="32"/>
          <w:szCs w:val="32"/>
        </w:rPr>
      </w:pPr>
      <w:r w:rsidRPr="00581C3B">
        <w:rPr>
          <w:rFonts w:cs="Arial"/>
          <w:b/>
          <w:smallCaps/>
          <w:sz w:val="32"/>
          <w:szCs w:val="32"/>
        </w:rPr>
        <w:t>Cyber-Dependent Crime</w:t>
      </w:r>
      <w:r w:rsidR="00CD48B8" w:rsidRPr="00581C3B">
        <w:rPr>
          <w:rFonts w:cs="Arial"/>
          <w:b/>
          <w:smallCaps/>
          <w:sz w:val="32"/>
          <w:szCs w:val="32"/>
        </w:rPr>
        <w:t>s</w:t>
      </w:r>
      <w:r w:rsidR="00405EF9" w:rsidRPr="00581C3B">
        <w:rPr>
          <w:rFonts w:cs="Arial"/>
          <w:b/>
          <w:smallCaps/>
          <w:sz w:val="32"/>
          <w:szCs w:val="32"/>
        </w:rPr>
        <w:t xml:space="preserve"> </w:t>
      </w:r>
      <w:r w:rsidRPr="00581C3B">
        <w:rPr>
          <w:rFonts w:cs="Arial"/>
          <w:b/>
          <w:smallCaps/>
          <w:sz w:val="32"/>
          <w:szCs w:val="32"/>
        </w:rPr>
        <w:t>and Jurisdictional Issues</w:t>
      </w:r>
    </w:p>
    <w:p w14:paraId="533E61BA" w14:textId="77777777" w:rsidR="00BB6168" w:rsidRPr="00581C3B" w:rsidRDefault="00BB6168" w:rsidP="00DB6D0D">
      <w:pPr>
        <w:jc w:val="center"/>
        <w:rPr>
          <w:rFonts w:cs="Arial"/>
          <w:b/>
          <w:smallCaps/>
          <w:sz w:val="28"/>
          <w:szCs w:val="28"/>
        </w:rPr>
      </w:pPr>
    </w:p>
    <w:p w14:paraId="1B37F091" w14:textId="77777777" w:rsidR="00922E7C" w:rsidRPr="00581C3B" w:rsidRDefault="00BB6168" w:rsidP="00DB6D0D">
      <w:pPr>
        <w:pStyle w:val="Normal1"/>
        <w:tabs>
          <w:tab w:val="clear" w:pos="720"/>
          <w:tab w:val="clear" w:pos="1418"/>
          <w:tab w:val="center" w:pos="4453"/>
        </w:tabs>
        <w:spacing w:after="0"/>
        <w:ind w:left="0"/>
        <w:jc w:val="center"/>
        <w:rPr>
          <w:rFonts w:ascii="Arial" w:hAnsi="Arial" w:cs="Arial"/>
          <w:b/>
          <w:smallCaps/>
          <w:sz w:val="36"/>
          <w:szCs w:val="36"/>
        </w:rPr>
      </w:pPr>
      <w:r w:rsidRPr="00581C3B">
        <w:rPr>
          <w:rFonts w:ascii="Arial" w:hAnsi="Arial" w:cs="Arial"/>
          <w:b/>
          <w:smallCaps/>
          <w:sz w:val="28"/>
          <w:szCs w:val="28"/>
        </w:rPr>
        <w:t>E</w:t>
      </w:r>
      <w:r w:rsidR="001511D0" w:rsidRPr="00581C3B">
        <w:rPr>
          <w:rFonts w:ascii="Arial" w:hAnsi="Arial" w:cs="Arial"/>
          <w:b/>
          <w:smallCaps/>
          <w:sz w:val="28"/>
          <w:szCs w:val="28"/>
        </w:rPr>
        <w:t>xecutive</w:t>
      </w:r>
      <w:r w:rsidRPr="00581C3B">
        <w:rPr>
          <w:rFonts w:ascii="Arial" w:hAnsi="Arial" w:cs="Arial"/>
          <w:b/>
          <w:smallCaps/>
          <w:sz w:val="28"/>
          <w:szCs w:val="28"/>
        </w:rPr>
        <w:t xml:space="preserve"> S</w:t>
      </w:r>
      <w:r w:rsidR="001511D0" w:rsidRPr="00581C3B">
        <w:rPr>
          <w:rFonts w:ascii="Arial" w:hAnsi="Arial" w:cs="Arial"/>
          <w:b/>
          <w:smallCaps/>
          <w:sz w:val="28"/>
          <w:szCs w:val="28"/>
        </w:rPr>
        <w:t>ummary</w:t>
      </w:r>
    </w:p>
    <w:p w14:paraId="4C14B5E7" w14:textId="4D269A70" w:rsidR="00922E7C" w:rsidRPr="00581C3B" w:rsidRDefault="00922E7C" w:rsidP="00DB6D0D">
      <w:pPr>
        <w:pStyle w:val="Normal1"/>
        <w:tabs>
          <w:tab w:val="clear" w:pos="720"/>
          <w:tab w:val="clear" w:pos="1418"/>
        </w:tabs>
        <w:spacing w:after="0"/>
        <w:ind w:left="0"/>
        <w:jc w:val="center"/>
        <w:rPr>
          <w:rFonts w:ascii="Arial" w:hAnsi="Arial" w:cs="Arial"/>
        </w:rPr>
      </w:pPr>
    </w:p>
    <w:p w14:paraId="5CFFA0D0" w14:textId="77777777" w:rsidR="007349FD" w:rsidRPr="00581C3B" w:rsidRDefault="007349FD" w:rsidP="007349FD">
      <w:pPr>
        <w:pStyle w:val="NormalIndent"/>
      </w:pPr>
    </w:p>
    <w:p w14:paraId="31C71AA4" w14:textId="073A32FC" w:rsidR="000D18D9" w:rsidRPr="00581C3B" w:rsidRDefault="000D18D9" w:rsidP="009029D8">
      <w:pPr>
        <w:spacing w:after="240"/>
        <w:rPr>
          <w:rFonts w:cs="Arial"/>
          <w:i/>
          <w:sz w:val="22"/>
        </w:rPr>
      </w:pPr>
      <w:r w:rsidRPr="00581C3B">
        <w:rPr>
          <w:rFonts w:cs="Arial"/>
          <w:i/>
          <w:sz w:val="22"/>
        </w:rPr>
        <w:t>(</w:t>
      </w:r>
      <w:r w:rsidR="00BB6168" w:rsidRPr="00581C3B">
        <w:rPr>
          <w:rFonts w:cs="Arial"/>
          <w:i/>
          <w:sz w:val="22"/>
        </w:rPr>
        <w:t xml:space="preserve">This executive summary is an outline of the </w:t>
      </w:r>
      <w:r w:rsidR="009029D8" w:rsidRPr="00581C3B">
        <w:rPr>
          <w:rFonts w:cs="Arial"/>
          <w:i/>
          <w:sz w:val="22"/>
        </w:rPr>
        <w:t>Report.  Copies of the full Report</w:t>
      </w:r>
      <w:r w:rsidR="00BB6168" w:rsidRPr="00581C3B">
        <w:rPr>
          <w:rFonts w:cs="Arial"/>
          <w:i/>
          <w:sz w:val="22"/>
        </w:rPr>
        <w:t xml:space="preserve"> can be </w:t>
      </w:r>
      <w:r w:rsidR="00747BE0" w:rsidRPr="00581C3B">
        <w:rPr>
          <w:rFonts w:cs="Arial"/>
          <w:i/>
          <w:sz w:val="22"/>
        </w:rPr>
        <w:t xml:space="preserve">downloaded from the </w:t>
      </w:r>
      <w:r w:rsidR="00353F30" w:rsidRPr="00581C3B">
        <w:rPr>
          <w:rFonts w:cs="Arial"/>
          <w:i/>
          <w:sz w:val="22"/>
        </w:rPr>
        <w:t>website</w:t>
      </w:r>
      <w:r w:rsidR="00B86BA8">
        <w:rPr>
          <w:rFonts w:cs="Arial"/>
          <w:i/>
          <w:sz w:val="22"/>
        </w:rPr>
        <w:t xml:space="preserve"> of the Law Reform Commission (“</w:t>
      </w:r>
      <w:r w:rsidR="00B86BA8" w:rsidRPr="00B86BA8">
        <w:rPr>
          <w:rFonts w:cs="Arial"/>
          <w:b/>
          <w:i/>
          <w:sz w:val="22"/>
        </w:rPr>
        <w:t>LRC</w:t>
      </w:r>
      <w:r w:rsidR="00B86BA8">
        <w:rPr>
          <w:rFonts w:cs="Arial"/>
          <w:i/>
          <w:sz w:val="22"/>
        </w:rPr>
        <w:t>”)</w:t>
      </w:r>
      <w:r w:rsidR="00747BE0" w:rsidRPr="00581C3B">
        <w:rPr>
          <w:rFonts w:cs="Arial"/>
          <w:i/>
          <w:sz w:val="22"/>
        </w:rPr>
        <w:t xml:space="preserve"> </w:t>
      </w:r>
      <w:r w:rsidR="00353F30" w:rsidRPr="00581C3B">
        <w:rPr>
          <w:rFonts w:cs="Arial"/>
          <w:i/>
          <w:sz w:val="22"/>
        </w:rPr>
        <w:t xml:space="preserve">at </w:t>
      </w:r>
      <w:r w:rsidR="00EA5747" w:rsidRPr="00581C3B">
        <w:rPr>
          <w:i/>
          <w:sz w:val="22"/>
        </w:rPr>
        <w:t>http</w:t>
      </w:r>
      <w:r w:rsidR="00747BE0" w:rsidRPr="00581C3B">
        <w:rPr>
          <w:i/>
          <w:sz w:val="22"/>
        </w:rPr>
        <w:t>s</w:t>
      </w:r>
      <w:r w:rsidR="00EA5747" w:rsidRPr="00581C3B">
        <w:rPr>
          <w:i/>
          <w:sz w:val="22"/>
        </w:rPr>
        <w:t xml:space="preserve">://www.hkreform.gov.hk </w:t>
      </w:r>
      <w:r w:rsidR="00353F30" w:rsidRPr="00581C3B">
        <w:rPr>
          <w:rFonts w:cs="Arial"/>
          <w:i/>
          <w:sz w:val="22"/>
        </w:rPr>
        <w:t xml:space="preserve">or </w:t>
      </w:r>
      <w:r w:rsidR="00BB6168" w:rsidRPr="00581C3B">
        <w:rPr>
          <w:rFonts w:cs="Arial"/>
          <w:i/>
          <w:sz w:val="22"/>
        </w:rPr>
        <w:t>obtained from the</w:t>
      </w:r>
      <w:r w:rsidR="00747BE0" w:rsidRPr="00581C3B">
        <w:rPr>
          <w:rFonts w:cs="Arial"/>
          <w:i/>
          <w:sz w:val="22"/>
        </w:rPr>
        <w:t xml:space="preserve"> LRC</w:t>
      </w:r>
      <w:r w:rsidR="00BB6168" w:rsidRPr="00581C3B">
        <w:rPr>
          <w:rFonts w:cs="Arial"/>
          <w:i/>
          <w:sz w:val="22"/>
        </w:rPr>
        <w:t xml:space="preserve"> Secretar</w:t>
      </w:r>
      <w:r w:rsidR="00353F30" w:rsidRPr="00581C3B">
        <w:rPr>
          <w:rFonts w:cs="Arial"/>
          <w:i/>
          <w:sz w:val="22"/>
        </w:rPr>
        <w:t xml:space="preserve">iat </w:t>
      </w:r>
      <w:r w:rsidR="00747BE0" w:rsidRPr="00581C3B">
        <w:rPr>
          <w:rFonts w:cs="Arial"/>
          <w:i/>
          <w:sz w:val="22"/>
        </w:rPr>
        <w:t>at</w:t>
      </w:r>
      <w:r w:rsidR="00BB6168" w:rsidRPr="00581C3B">
        <w:rPr>
          <w:rFonts w:cs="Arial"/>
          <w:i/>
          <w:sz w:val="22"/>
        </w:rPr>
        <w:t xml:space="preserve"> </w:t>
      </w:r>
      <w:r w:rsidR="009029D8" w:rsidRPr="00581C3B">
        <w:rPr>
          <w:rFonts w:cs="Arial"/>
          <w:i/>
          <w:sz w:val="22"/>
        </w:rPr>
        <w:t>9</w:t>
      </w:r>
      <w:r w:rsidR="00747BE0" w:rsidRPr="00581C3B">
        <w:rPr>
          <w:rFonts w:cs="Arial"/>
          <w:i/>
          <w:sz w:val="22"/>
          <w:vertAlign w:val="superscript"/>
        </w:rPr>
        <w:t>th</w:t>
      </w:r>
      <w:r w:rsidR="00747BE0" w:rsidRPr="00581C3B">
        <w:rPr>
          <w:rFonts w:cs="Arial"/>
          <w:i/>
          <w:sz w:val="22"/>
        </w:rPr>
        <w:t xml:space="preserve"> </w:t>
      </w:r>
      <w:r w:rsidR="00BB6168" w:rsidRPr="00581C3B">
        <w:rPr>
          <w:rFonts w:cs="Arial"/>
          <w:i/>
          <w:sz w:val="22"/>
        </w:rPr>
        <w:t>Floor,</w:t>
      </w:r>
      <w:r w:rsidR="009029D8" w:rsidRPr="00581C3B">
        <w:rPr>
          <w:rFonts w:cs="Arial"/>
          <w:i/>
          <w:sz w:val="22"/>
        </w:rPr>
        <w:t xml:space="preserve"> Champion Tower</w:t>
      </w:r>
      <w:r w:rsidR="00BB6168" w:rsidRPr="00581C3B">
        <w:rPr>
          <w:rFonts w:cs="Arial"/>
          <w:i/>
          <w:sz w:val="22"/>
        </w:rPr>
        <w:t xml:space="preserve">, </w:t>
      </w:r>
      <w:r w:rsidR="009029D8" w:rsidRPr="00581C3B">
        <w:rPr>
          <w:rFonts w:cs="Arial"/>
          <w:i/>
          <w:sz w:val="22"/>
        </w:rPr>
        <w:t>3 Garden</w:t>
      </w:r>
      <w:r w:rsidR="00BB6168" w:rsidRPr="00581C3B">
        <w:rPr>
          <w:rFonts w:cs="Arial"/>
          <w:i/>
          <w:sz w:val="22"/>
        </w:rPr>
        <w:t xml:space="preserve"> Road, Central, Hong Kong.</w:t>
      </w:r>
      <w:r w:rsidRPr="00581C3B">
        <w:rPr>
          <w:rFonts w:cs="Arial"/>
          <w:i/>
          <w:sz w:val="22"/>
        </w:rPr>
        <w:t>)</w:t>
      </w:r>
    </w:p>
    <w:p w14:paraId="7CB9DC73" w14:textId="76D58B45" w:rsidR="00C26177" w:rsidRPr="00581C3B" w:rsidRDefault="009029D8" w:rsidP="007349FD">
      <w:pPr>
        <w:pStyle w:val="Heading2"/>
        <w:spacing w:beforeLines="200" w:before="480" w:afterLines="100" w:after="240"/>
        <w:rPr>
          <w:rFonts w:cs="Arial"/>
          <w:snapToGrid w:val="0"/>
          <w:szCs w:val="28"/>
        </w:rPr>
      </w:pPr>
      <w:bookmarkStart w:id="2" w:name="Contents"/>
      <w:bookmarkStart w:id="3" w:name="Contents2"/>
      <w:bookmarkStart w:id="4" w:name="Contents3"/>
      <w:bookmarkStart w:id="5" w:name="Definedterms"/>
      <w:bookmarkStart w:id="6" w:name="Preface"/>
      <w:bookmarkEnd w:id="0"/>
      <w:bookmarkEnd w:id="1"/>
      <w:bookmarkEnd w:id="2"/>
      <w:bookmarkEnd w:id="3"/>
      <w:bookmarkEnd w:id="4"/>
      <w:bookmarkEnd w:id="5"/>
      <w:bookmarkEnd w:id="6"/>
      <w:r w:rsidRPr="00581C3B">
        <w:rPr>
          <w:rFonts w:cs="Arial"/>
          <w:snapToGrid w:val="0"/>
          <w:szCs w:val="28"/>
        </w:rPr>
        <w:t>Consultation process</w:t>
      </w:r>
    </w:p>
    <w:p w14:paraId="39585061" w14:textId="311476E6" w:rsidR="0018182E" w:rsidRPr="00581C3B" w:rsidRDefault="009029D8"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In July 2022, the L</w:t>
      </w:r>
      <w:r w:rsidR="00B86BA8">
        <w:rPr>
          <w:rFonts w:cs="Arial"/>
          <w:sz w:val="24"/>
          <w:szCs w:val="24"/>
          <w:lang w:val="en-GB"/>
        </w:rPr>
        <w:t>RC</w:t>
      </w:r>
      <w:r w:rsidRPr="00581C3B">
        <w:rPr>
          <w:rFonts w:cs="Arial"/>
          <w:sz w:val="24"/>
          <w:szCs w:val="24"/>
          <w:lang w:val="en-GB"/>
        </w:rPr>
        <w:t>’s Cybercrime Sub-committee (“</w:t>
      </w:r>
      <w:r w:rsidR="00747BE0" w:rsidRPr="00581C3B">
        <w:rPr>
          <w:rFonts w:cs="Arial"/>
          <w:b/>
          <w:sz w:val="24"/>
          <w:szCs w:val="24"/>
          <w:lang w:val="en-GB"/>
        </w:rPr>
        <w:t>Sub-committee</w:t>
      </w:r>
      <w:r w:rsidRPr="00581C3B">
        <w:rPr>
          <w:rFonts w:cs="Arial"/>
          <w:sz w:val="24"/>
          <w:szCs w:val="24"/>
          <w:lang w:val="en-GB"/>
        </w:rPr>
        <w:t>”) published the Consultation Paper on Cyber-dependent Crimes and Jurisdictional Issues (“</w:t>
      </w:r>
      <w:r w:rsidRPr="00581C3B">
        <w:rPr>
          <w:rFonts w:cs="Arial"/>
          <w:b/>
          <w:sz w:val="24"/>
          <w:szCs w:val="24"/>
          <w:lang w:val="en-GB"/>
        </w:rPr>
        <w:t>CP</w:t>
      </w:r>
      <w:r w:rsidRPr="00581C3B">
        <w:rPr>
          <w:rFonts w:cs="Arial"/>
          <w:sz w:val="24"/>
          <w:szCs w:val="24"/>
          <w:lang w:val="en-GB"/>
        </w:rPr>
        <w:t>”), pursuant to the following</w:t>
      </w:r>
      <w:r w:rsidR="00747BE0" w:rsidRPr="00581C3B">
        <w:rPr>
          <w:rFonts w:cs="Arial"/>
          <w:sz w:val="24"/>
          <w:szCs w:val="24"/>
          <w:lang w:val="en-GB"/>
        </w:rPr>
        <w:t xml:space="preserve"> Terms of Reference</w:t>
      </w:r>
      <w:r w:rsidR="0018182E" w:rsidRPr="00581C3B">
        <w:rPr>
          <w:rFonts w:cs="Arial"/>
          <w:sz w:val="24"/>
          <w:szCs w:val="24"/>
          <w:lang w:val="en-GB"/>
        </w:rPr>
        <w:t>:</w:t>
      </w:r>
    </w:p>
    <w:p w14:paraId="0C10709C" w14:textId="77777777" w:rsidR="00747BE0" w:rsidRPr="00581C3B" w:rsidRDefault="00A13850" w:rsidP="00DB6D0D">
      <w:pPr>
        <w:pStyle w:val="BlockText"/>
        <w:spacing w:after="240"/>
        <w:rPr>
          <w:rFonts w:cs="Arial"/>
        </w:rPr>
      </w:pPr>
      <w:r w:rsidRPr="00581C3B">
        <w:rPr>
          <w:rFonts w:cs="Arial"/>
          <w:i w:val="0"/>
        </w:rPr>
        <w:t>“</w:t>
      </w:r>
      <w:r w:rsidR="00747BE0" w:rsidRPr="00581C3B">
        <w:rPr>
          <w:rFonts w:cs="Arial"/>
        </w:rPr>
        <w:t xml:space="preserve">Having regard to the rapid developments associated with information technology, the computer and internet, and the potential for them to be exploited for carrying out criminal activities, to — </w:t>
      </w:r>
    </w:p>
    <w:p w14:paraId="6DBCC7AB" w14:textId="77777777" w:rsidR="00747BE0" w:rsidRPr="00581C3B" w:rsidRDefault="00747BE0" w:rsidP="00101505">
      <w:pPr>
        <w:pStyle w:val="BlockText"/>
        <w:tabs>
          <w:tab w:val="clear" w:pos="1418"/>
        </w:tabs>
        <w:spacing w:afterLines="100" w:after="240"/>
        <w:ind w:left="1440" w:hanging="720"/>
        <w:rPr>
          <w:rFonts w:cs="Arial"/>
        </w:rPr>
      </w:pPr>
      <w:r w:rsidRPr="00581C3B">
        <w:rPr>
          <w:rFonts w:cs="Arial"/>
        </w:rPr>
        <w:t>(a)</w:t>
      </w:r>
      <w:r w:rsidRPr="00581C3B">
        <w:rPr>
          <w:rFonts w:cs="Arial"/>
        </w:rPr>
        <w:tab/>
        <w:t>identify, from a criminal law point of view, the challenges to protection of individuals’ rights and law enforcement arising from such developments;</w:t>
      </w:r>
    </w:p>
    <w:p w14:paraId="7E44D165" w14:textId="77777777" w:rsidR="00747BE0" w:rsidRPr="00581C3B" w:rsidRDefault="00747BE0" w:rsidP="00202792">
      <w:pPr>
        <w:pStyle w:val="BlockText"/>
        <w:tabs>
          <w:tab w:val="clear" w:pos="1418"/>
        </w:tabs>
        <w:spacing w:after="240"/>
        <w:ind w:left="1440" w:hanging="720"/>
        <w:rPr>
          <w:rFonts w:cs="Arial"/>
        </w:rPr>
      </w:pPr>
      <w:r w:rsidRPr="00581C3B">
        <w:rPr>
          <w:rFonts w:cs="Arial"/>
        </w:rPr>
        <w:t>(b)</w:t>
      </w:r>
      <w:r w:rsidRPr="00581C3B">
        <w:rPr>
          <w:rFonts w:cs="Arial"/>
        </w:rPr>
        <w:tab/>
        <w:t>review existing legislation and other relevant measures dealing with the challenges identified in (a) above;</w:t>
      </w:r>
    </w:p>
    <w:p w14:paraId="31220DA6" w14:textId="77777777" w:rsidR="00747BE0" w:rsidRPr="00581C3B" w:rsidRDefault="00747BE0" w:rsidP="00202792">
      <w:pPr>
        <w:pStyle w:val="BlockText"/>
        <w:tabs>
          <w:tab w:val="clear" w:pos="1418"/>
        </w:tabs>
        <w:spacing w:after="240"/>
        <w:ind w:left="1440" w:hanging="720"/>
        <w:rPr>
          <w:rFonts w:cs="Arial"/>
        </w:rPr>
      </w:pPr>
      <w:r w:rsidRPr="00581C3B">
        <w:rPr>
          <w:rFonts w:cs="Arial"/>
        </w:rPr>
        <w:t>(c)</w:t>
      </w:r>
      <w:r w:rsidRPr="00581C3B">
        <w:rPr>
          <w:rFonts w:cs="Arial"/>
        </w:rPr>
        <w:tab/>
        <w:t>examine relevant developments in other jurisdictions; and</w:t>
      </w:r>
    </w:p>
    <w:p w14:paraId="027259D2" w14:textId="77777777" w:rsidR="0018182E" w:rsidRPr="00581C3B" w:rsidRDefault="00747BE0" w:rsidP="00202792">
      <w:pPr>
        <w:pStyle w:val="BlockText"/>
        <w:tabs>
          <w:tab w:val="clear" w:pos="1418"/>
        </w:tabs>
        <w:spacing w:after="240"/>
        <w:ind w:left="1440" w:hanging="720"/>
        <w:rPr>
          <w:rFonts w:cs="Arial"/>
        </w:rPr>
      </w:pPr>
      <w:r w:rsidRPr="00581C3B">
        <w:rPr>
          <w:rFonts w:cs="Arial"/>
        </w:rPr>
        <w:t>(d)</w:t>
      </w:r>
      <w:r w:rsidRPr="00581C3B">
        <w:rPr>
          <w:rFonts w:cs="Arial"/>
        </w:rPr>
        <w:tab/>
        <w:t>make recommendations on possible law reforms to address the above matters.</w:t>
      </w:r>
      <w:r w:rsidR="00A13850" w:rsidRPr="00581C3B">
        <w:rPr>
          <w:rFonts w:cs="Arial"/>
          <w:i w:val="0"/>
        </w:rPr>
        <w:t>”</w:t>
      </w:r>
    </w:p>
    <w:p w14:paraId="151B95CB" w14:textId="4679A6E1" w:rsidR="00880A09" w:rsidRPr="00581C3B" w:rsidRDefault="00C47B4B" w:rsidP="00260871">
      <w:pPr>
        <w:pStyle w:val="ListParagraph"/>
        <w:numPr>
          <w:ilvl w:val="0"/>
          <w:numId w:val="14"/>
        </w:numPr>
        <w:spacing w:afterLines="200" w:after="480" w:line="240" w:lineRule="auto"/>
        <w:ind w:left="0" w:firstLine="0"/>
        <w:contextualSpacing w:val="0"/>
        <w:rPr>
          <w:rFonts w:cs="Arial"/>
          <w:sz w:val="24"/>
          <w:szCs w:val="24"/>
          <w:lang w:val="en-GB"/>
        </w:rPr>
      </w:pPr>
      <w:r w:rsidRPr="00581C3B">
        <w:rPr>
          <w:rFonts w:cs="Arial"/>
          <w:sz w:val="24"/>
          <w:szCs w:val="24"/>
          <w:lang w:val="en-GB"/>
        </w:rPr>
        <w:t>Th</w:t>
      </w:r>
      <w:r w:rsidR="0016200F" w:rsidRPr="00581C3B">
        <w:rPr>
          <w:rFonts w:cs="Arial"/>
          <w:sz w:val="24"/>
          <w:szCs w:val="24"/>
          <w:lang w:val="en-GB"/>
        </w:rPr>
        <w:t>e</w:t>
      </w:r>
      <w:r w:rsidRPr="00581C3B">
        <w:rPr>
          <w:rFonts w:cs="Arial"/>
          <w:sz w:val="24"/>
          <w:szCs w:val="24"/>
          <w:lang w:val="en-GB"/>
        </w:rPr>
        <w:t xml:space="preserve"> </w:t>
      </w:r>
      <w:r w:rsidR="00197549" w:rsidRPr="00581C3B">
        <w:rPr>
          <w:rFonts w:cs="Arial"/>
          <w:sz w:val="24"/>
          <w:szCs w:val="24"/>
          <w:lang w:val="en-GB"/>
        </w:rPr>
        <w:t xml:space="preserve">Sub-committee received 65 submissions </w:t>
      </w:r>
      <w:r w:rsidR="00975694" w:rsidRPr="00581C3B">
        <w:rPr>
          <w:rFonts w:cs="Arial"/>
          <w:sz w:val="24"/>
          <w:szCs w:val="24"/>
          <w:lang w:val="en-GB"/>
        </w:rPr>
        <w:t>during</w:t>
      </w:r>
      <w:r w:rsidR="00197549" w:rsidRPr="00581C3B">
        <w:rPr>
          <w:rFonts w:cs="Arial"/>
          <w:sz w:val="24"/>
          <w:szCs w:val="24"/>
          <w:lang w:val="en-GB"/>
        </w:rPr>
        <w:t xml:space="preserve"> the public consultation.  We are most grateful to all those who have </w:t>
      </w:r>
      <w:r w:rsidR="00975694" w:rsidRPr="00581C3B">
        <w:rPr>
          <w:rFonts w:cs="Arial"/>
          <w:sz w:val="24"/>
          <w:szCs w:val="24"/>
          <w:lang w:val="en-GB"/>
        </w:rPr>
        <w:t>respond</w:t>
      </w:r>
      <w:r w:rsidR="00197549" w:rsidRPr="00581C3B">
        <w:rPr>
          <w:rFonts w:cs="Arial"/>
          <w:sz w:val="24"/>
          <w:szCs w:val="24"/>
          <w:lang w:val="en-GB"/>
        </w:rPr>
        <w:t>ed (“</w:t>
      </w:r>
      <w:r w:rsidR="00197549" w:rsidRPr="00581C3B">
        <w:rPr>
          <w:rFonts w:cs="Arial"/>
          <w:b/>
          <w:sz w:val="24"/>
          <w:szCs w:val="24"/>
          <w:lang w:val="en-GB"/>
        </w:rPr>
        <w:t>Respondents</w:t>
      </w:r>
      <w:r w:rsidR="00197549" w:rsidRPr="00581C3B">
        <w:rPr>
          <w:rFonts w:cs="Arial"/>
          <w:sz w:val="24"/>
          <w:szCs w:val="24"/>
          <w:lang w:val="en-GB"/>
        </w:rPr>
        <w:t>”).</w:t>
      </w:r>
      <w:r w:rsidR="00B2679E" w:rsidRPr="00581C3B">
        <w:rPr>
          <w:rFonts w:cs="Arial"/>
          <w:sz w:val="24"/>
          <w:szCs w:val="24"/>
          <w:lang w:val="en-GB"/>
        </w:rPr>
        <w:t xml:space="preserve">  </w:t>
      </w:r>
      <w:r w:rsidR="00EC19DD" w:rsidRPr="00581C3B">
        <w:rPr>
          <w:rFonts w:cs="Arial"/>
          <w:sz w:val="24"/>
          <w:szCs w:val="24"/>
          <w:lang w:val="en-GB"/>
        </w:rPr>
        <w:t>A</w:t>
      </w:r>
      <w:r w:rsidR="00B2679E" w:rsidRPr="00581C3B">
        <w:rPr>
          <w:rFonts w:cs="Arial"/>
          <w:sz w:val="24"/>
          <w:szCs w:val="24"/>
          <w:lang w:val="en-GB"/>
        </w:rPr>
        <w:t xml:space="preserve"> list of Respondents </w:t>
      </w:r>
      <w:r w:rsidR="00EC19DD" w:rsidRPr="00581C3B">
        <w:rPr>
          <w:rFonts w:cs="Arial"/>
          <w:sz w:val="24"/>
          <w:szCs w:val="24"/>
          <w:lang w:val="en-GB"/>
        </w:rPr>
        <w:t>is</w:t>
      </w:r>
      <w:r w:rsidR="00B2679E" w:rsidRPr="00581C3B">
        <w:rPr>
          <w:rFonts w:cs="Arial"/>
          <w:sz w:val="24"/>
          <w:szCs w:val="24"/>
          <w:lang w:val="en-GB"/>
        </w:rPr>
        <w:t xml:space="preserve"> at the </w:t>
      </w:r>
      <w:r w:rsidR="00EC19DD" w:rsidRPr="00581C3B">
        <w:rPr>
          <w:rFonts w:cs="Arial"/>
          <w:sz w:val="24"/>
          <w:szCs w:val="24"/>
          <w:lang w:val="en-GB"/>
        </w:rPr>
        <w:t xml:space="preserve">Annex </w:t>
      </w:r>
      <w:r w:rsidR="00B2679E" w:rsidRPr="00581C3B">
        <w:rPr>
          <w:rFonts w:cs="Arial"/>
          <w:sz w:val="24"/>
          <w:szCs w:val="24"/>
          <w:lang w:val="en-GB"/>
        </w:rPr>
        <w:t>of the Report.</w:t>
      </w:r>
    </w:p>
    <w:p w14:paraId="7B4B4EF7" w14:textId="636E2224" w:rsidR="00197549" w:rsidRPr="00581C3B" w:rsidRDefault="00197549" w:rsidP="00877653">
      <w:pPr>
        <w:pStyle w:val="ListParagraph"/>
        <w:spacing w:beforeLines="200" w:before="480" w:after="240" w:line="240" w:lineRule="auto"/>
        <w:ind w:left="0"/>
        <w:contextualSpacing w:val="0"/>
        <w:rPr>
          <w:rFonts w:cs="Arial"/>
          <w:b/>
          <w:snapToGrid w:val="0"/>
          <w:sz w:val="28"/>
          <w:szCs w:val="28"/>
        </w:rPr>
      </w:pPr>
      <w:r w:rsidRPr="00581C3B">
        <w:rPr>
          <w:rFonts w:cs="Arial"/>
          <w:b/>
          <w:snapToGrid w:val="0"/>
          <w:sz w:val="28"/>
          <w:szCs w:val="28"/>
        </w:rPr>
        <w:t>Structure of the Report</w:t>
      </w:r>
    </w:p>
    <w:p w14:paraId="7DF0D040" w14:textId="5FDE5627" w:rsidR="00C47B4B" w:rsidRPr="00581C3B" w:rsidRDefault="003B73DD"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Th</w:t>
      </w:r>
      <w:r w:rsidR="0016200F" w:rsidRPr="00581C3B">
        <w:rPr>
          <w:rFonts w:cs="Arial"/>
          <w:sz w:val="24"/>
          <w:szCs w:val="24"/>
          <w:lang w:val="en-GB"/>
        </w:rPr>
        <w:t>e</w:t>
      </w:r>
      <w:r w:rsidR="00D6342D" w:rsidRPr="00581C3B">
        <w:rPr>
          <w:rFonts w:cs="Arial"/>
          <w:sz w:val="24"/>
          <w:szCs w:val="24"/>
          <w:lang w:val="en-GB"/>
        </w:rPr>
        <w:t xml:space="preserve"> </w:t>
      </w:r>
      <w:r w:rsidR="00197549" w:rsidRPr="00581C3B">
        <w:rPr>
          <w:rFonts w:cs="Arial"/>
          <w:sz w:val="24"/>
          <w:szCs w:val="24"/>
          <w:lang w:val="en-GB"/>
        </w:rPr>
        <w:t>Report</w:t>
      </w:r>
      <w:r w:rsidR="00EE4272" w:rsidRPr="00581C3B">
        <w:rPr>
          <w:rFonts w:cs="Arial"/>
          <w:sz w:val="24"/>
          <w:szCs w:val="24"/>
          <w:lang w:val="en-GB"/>
        </w:rPr>
        <w:t xml:space="preserve"> relates to Part One of the Sub-committee’s study</w:t>
      </w:r>
      <w:r w:rsidR="00E85D7A" w:rsidRPr="00581C3B">
        <w:rPr>
          <w:rFonts w:cs="Arial"/>
          <w:sz w:val="24"/>
          <w:szCs w:val="24"/>
          <w:lang w:val="en-GB"/>
        </w:rPr>
        <w:t>.</w:t>
      </w:r>
      <w:r w:rsidR="00EE4272" w:rsidRPr="00581C3B">
        <w:rPr>
          <w:rFonts w:eastAsia="Arial Unicode MS" w:cs="Arial"/>
          <w:kern w:val="2"/>
          <w:sz w:val="24"/>
          <w:szCs w:val="24"/>
          <w:vertAlign w:val="superscript"/>
        </w:rPr>
        <w:footnoteReference w:id="1"/>
      </w:r>
      <w:r w:rsidR="00197549" w:rsidRPr="00581C3B">
        <w:rPr>
          <w:rFonts w:cs="Arial"/>
          <w:sz w:val="24"/>
          <w:szCs w:val="24"/>
          <w:lang w:val="en-GB"/>
        </w:rPr>
        <w:t xml:space="preserve"> </w:t>
      </w:r>
      <w:r w:rsidR="00E85D7A" w:rsidRPr="00581C3B">
        <w:rPr>
          <w:rFonts w:cs="Arial"/>
          <w:sz w:val="24"/>
          <w:szCs w:val="24"/>
          <w:lang w:val="en-GB"/>
        </w:rPr>
        <w:t xml:space="preserve"> </w:t>
      </w:r>
      <w:r w:rsidR="00E85D7A" w:rsidRPr="00581C3B">
        <w:rPr>
          <w:rFonts w:cs="Arial"/>
          <w:sz w:val="24"/>
          <w:szCs w:val="24"/>
          <w:lang w:val="en-GB"/>
        </w:rPr>
        <w:lastRenderedPageBreak/>
        <w:t>There are</w:t>
      </w:r>
      <w:r w:rsidR="00197549" w:rsidRPr="00581C3B">
        <w:rPr>
          <w:rFonts w:cs="Arial"/>
          <w:sz w:val="24"/>
          <w:szCs w:val="24"/>
          <w:lang w:val="en-GB"/>
        </w:rPr>
        <w:t xml:space="preserve"> nine chapters dealing with 16 Final Recommendations</w:t>
      </w:r>
      <w:r w:rsidR="00D6342D" w:rsidRPr="00581C3B">
        <w:rPr>
          <w:rFonts w:cs="Arial"/>
          <w:sz w:val="24"/>
          <w:szCs w:val="24"/>
          <w:lang w:val="en-GB"/>
        </w:rPr>
        <w:t>:</w:t>
      </w:r>
    </w:p>
    <w:p w14:paraId="1A721FBD" w14:textId="2F663419" w:rsidR="00D6342D" w:rsidRPr="00581C3B" w:rsidRDefault="00197549" w:rsidP="00F133D1">
      <w:pPr>
        <w:pStyle w:val="ListParagraph"/>
        <w:numPr>
          <w:ilvl w:val="1"/>
          <w:numId w:val="15"/>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Chapter 1 describ</w:t>
      </w:r>
      <w:r w:rsidR="00654AEC" w:rsidRPr="00581C3B">
        <w:rPr>
          <w:rFonts w:cs="Arial"/>
          <w:sz w:val="24"/>
          <w:szCs w:val="24"/>
          <w:lang w:val="en-GB"/>
        </w:rPr>
        <w:t>es</w:t>
      </w:r>
      <w:r w:rsidRPr="00581C3B">
        <w:rPr>
          <w:rFonts w:cs="Arial"/>
          <w:sz w:val="24"/>
          <w:szCs w:val="24"/>
          <w:lang w:val="en-GB"/>
        </w:rPr>
        <w:t xml:space="preserve"> the ways in which international organisations and initiatives have categorised cybercrime.</w:t>
      </w:r>
      <w:r w:rsidR="002F23E5" w:rsidRPr="00581C3B">
        <w:rPr>
          <w:rFonts w:cs="Arial"/>
          <w:sz w:val="24"/>
          <w:szCs w:val="24"/>
          <w:lang w:val="en-GB"/>
        </w:rPr>
        <w:t xml:space="preserve">  </w:t>
      </w:r>
      <w:r w:rsidR="00725D52" w:rsidRPr="00581C3B">
        <w:rPr>
          <w:rFonts w:cs="Arial"/>
          <w:sz w:val="24"/>
          <w:szCs w:val="24"/>
          <w:lang w:val="en-GB"/>
        </w:rPr>
        <w:t>T</w:t>
      </w:r>
      <w:r w:rsidR="002F23E5" w:rsidRPr="00581C3B">
        <w:rPr>
          <w:rFonts w:cs="Arial"/>
          <w:sz w:val="24"/>
          <w:szCs w:val="24"/>
          <w:lang w:val="en-GB"/>
        </w:rPr>
        <w:t>he “</w:t>
      </w:r>
      <w:r w:rsidR="002F23E5" w:rsidRPr="00581C3B">
        <w:rPr>
          <w:rFonts w:cs="Arial"/>
          <w:i/>
          <w:sz w:val="24"/>
          <w:szCs w:val="24"/>
          <w:lang w:val="en-GB"/>
        </w:rPr>
        <w:t>offences against the confidentiality, integrity and availability of computer data and systems</w:t>
      </w:r>
      <w:r w:rsidR="002F23E5" w:rsidRPr="00581C3B">
        <w:rPr>
          <w:rFonts w:cs="Arial"/>
          <w:sz w:val="24"/>
          <w:szCs w:val="24"/>
          <w:lang w:val="en-GB"/>
        </w:rPr>
        <w:t xml:space="preserve">” </w:t>
      </w:r>
      <w:r w:rsidR="00725D52" w:rsidRPr="00581C3B">
        <w:rPr>
          <w:rFonts w:cs="Arial"/>
          <w:sz w:val="24"/>
          <w:szCs w:val="24"/>
          <w:lang w:val="en-GB"/>
        </w:rPr>
        <w:t>tackled by the Council of Europe’s Convention on Cybercrime (“</w:t>
      </w:r>
      <w:r w:rsidR="00725D52" w:rsidRPr="00581C3B">
        <w:rPr>
          <w:rFonts w:cs="Arial"/>
          <w:b/>
          <w:sz w:val="24"/>
          <w:szCs w:val="24"/>
          <w:lang w:val="en-GB"/>
        </w:rPr>
        <w:t>Budapest</w:t>
      </w:r>
      <w:r w:rsidR="00725D52" w:rsidRPr="00581C3B">
        <w:rPr>
          <w:rFonts w:cs="Arial"/>
          <w:sz w:val="24"/>
          <w:szCs w:val="24"/>
          <w:lang w:val="en-GB"/>
        </w:rPr>
        <w:t xml:space="preserve"> </w:t>
      </w:r>
      <w:r w:rsidR="00725D52" w:rsidRPr="00581C3B">
        <w:rPr>
          <w:rFonts w:cs="Arial"/>
          <w:b/>
          <w:sz w:val="24"/>
          <w:szCs w:val="24"/>
          <w:lang w:val="en-GB"/>
        </w:rPr>
        <w:t>Convention</w:t>
      </w:r>
      <w:r w:rsidR="00725D52" w:rsidRPr="00581C3B">
        <w:rPr>
          <w:rFonts w:cs="Arial"/>
          <w:sz w:val="24"/>
          <w:szCs w:val="24"/>
          <w:lang w:val="en-GB"/>
        </w:rPr>
        <w:t>”)</w:t>
      </w:r>
      <w:r w:rsidR="00725D52" w:rsidRPr="00581C3B">
        <w:rPr>
          <w:rFonts w:eastAsia="Arial Unicode MS" w:cs="Arial"/>
          <w:kern w:val="2"/>
          <w:sz w:val="24"/>
          <w:szCs w:val="24"/>
          <w:vertAlign w:val="superscript"/>
        </w:rPr>
        <w:footnoteReference w:id="2"/>
      </w:r>
      <w:r w:rsidR="00725D52" w:rsidRPr="00581C3B">
        <w:rPr>
          <w:rFonts w:cs="Arial"/>
          <w:sz w:val="24"/>
          <w:szCs w:val="24"/>
        </w:rPr>
        <w:t xml:space="preserve"> </w:t>
      </w:r>
      <w:r w:rsidR="002F23E5" w:rsidRPr="00581C3B">
        <w:rPr>
          <w:rFonts w:cs="Arial"/>
          <w:sz w:val="24"/>
          <w:szCs w:val="24"/>
          <w:lang w:val="en-GB"/>
        </w:rPr>
        <w:t>broadly corresponds to the focus of the Report.</w:t>
      </w:r>
    </w:p>
    <w:p w14:paraId="7EE96324" w14:textId="3D65B51F" w:rsidR="006E469E" w:rsidRPr="00581C3B" w:rsidRDefault="006E469E" w:rsidP="00F133D1">
      <w:pPr>
        <w:pStyle w:val="ListParagraph"/>
        <w:numPr>
          <w:ilvl w:val="1"/>
          <w:numId w:val="15"/>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Chapters 2 to 6 address the five cyber-dependent offences respectively, namely:</w:t>
      </w:r>
    </w:p>
    <w:p w14:paraId="678991F2" w14:textId="4D1B5F24" w:rsidR="006E469E" w:rsidRPr="00581C3B" w:rsidRDefault="006E469E" w:rsidP="00A4586B">
      <w:pPr>
        <w:pStyle w:val="ListParagraph"/>
        <w:numPr>
          <w:ilvl w:val="0"/>
          <w:numId w:val="67"/>
        </w:numPr>
        <w:tabs>
          <w:tab w:val="clear" w:pos="1418"/>
        </w:tabs>
        <w:spacing w:afterLines="50" w:after="120" w:line="240" w:lineRule="auto"/>
        <w:ind w:left="2160" w:hanging="720"/>
        <w:contextualSpacing w:val="0"/>
        <w:rPr>
          <w:rFonts w:cs="Arial"/>
          <w:sz w:val="24"/>
          <w:szCs w:val="24"/>
          <w:lang w:val="en-GB"/>
        </w:rPr>
      </w:pPr>
      <w:r w:rsidRPr="00581C3B">
        <w:rPr>
          <w:rFonts w:cs="Arial"/>
          <w:sz w:val="24"/>
          <w:szCs w:val="24"/>
          <w:lang w:val="en-GB"/>
        </w:rPr>
        <w:t>illegal access to program or data;</w:t>
      </w:r>
    </w:p>
    <w:p w14:paraId="2E1DB688" w14:textId="0E34B017" w:rsidR="006E469E" w:rsidRPr="00581C3B" w:rsidRDefault="006E469E" w:rsidP="00A4586B">
      <w:pPr>
        <w:pStyle w:val="ListParagraph"/>
        <w:numPr>
          <w:ilvl w:val="0"/>
          <w:numId w:val="67"/>
        </w:numPr>
        <w:tabs>
          <w:tab w:val="clear" w:pos="1418"/>
        </w:tabs>
        <w:spacing w:afterLines="50" w:after="120" w:line="240" w:lineRule="auto"/>
        <w:ind w:left="2160" w:hanging="720"/>
        <w:contextualSpacing w:val="0"/>
        <w:rPr>
          <w:rFonts w:cs="Arial"/>
          <w:sz w:val="24"/>
          <w:szCs w:val="24"/>
          <w:lang w:val="en-GB"/>
        </w:rPr>
      </w:pPr>
      <w:r w:rsidRPr="00581C3B">
        <w:rPr>
          <w:rFonts w:cs="Arial"/>
          <w:sz w:val="24"/>
          <w:szCs w:val="24"/>
          <w:lang w:val="en-GB"/>
        </w:rPr>
        <w:t>illegal interception of computer data;</w:t>
      </w:r>
    </w:p>
    <w:p w14:paraId="16540D24" w14:textId="1661DA83" w:rsidR="006E469E" w:rsidRPr="00581C3B" w:rsidRDefault="006E469E" w:rsidP="00A4586B">
      <w:pPr>
        <w:pStyle w:val="ListParagraph"/>
        <w:numPr>
          <w:ilvl w:val="0"/>
          <w:numId w:val="67"/>
        </w:numPr>
        <w:tabs>
          <w:tab w:val="clear" w:pos="1418"/>
        </w:tabs>
        <w:spacing w:afterLines="50" w:after="120" w:line="240" w:lineRule="auto"/>
        <w:ind w:left="2160" w:hanging="720"/>
        <w:contextualSpacing w:val="0"/>
        <w:rPr>
          <w:rFonts w:cs="Arial"/>
          <w:sz w:val="24"/>
          <w:szCs w:val="24"/>
          <w:lang w:val="en-GB"/>
        </w:rPr>
      </w:pPr>
      <w:r w:rsidRPr="00581C3B">
        <w:rPr>
          <w:rFonts w:cs="Arial"/>
          <w:sz w:val="24"/>
          <w:szCs w:val="24"/>
          <w:lang w:val="en-GB"/>
        </w:rPr>
        <w:t>illegal interference with computer data;</w:t>
      </w:r>
    </w:p>
    <w:p w14:paraId="430896A7" w14:textId="7C1A1560" w:rsidR="006E469E" w:rsidRPr="00581C3B" w:rsidRDefault="006E469E" w:rsidP="00A4586B">
      <w:pPr>
        <w:pStyle w:val="ListParagraph"/>
        <w:numPr>
          <w:ilvl w:val="0"/>
          <w:numId w:val="67"/>
        </w:numPr>
        <w:tabs>
          <w:tab w:val="clear" w:pos="1418"/>
        </w:tabs>
        <w:spacing w:afterLines="50" w:after="120" w:line="240" w:lineRule="auto"/>
        <w:ind w:left="2160" w:hanging="720"/>
        <w:contextualSpacing w:val="0"/>
        <w:rPr>
          <w:rFonts w:cs="Arial"/>
          <w:sz w:val="24"/>
          <w:szCs w:val="24"/>
          <w:lang w:val="en-GB"/>
        </w:rPr>
      </w:pPr>
      <w:r w:rsidRPr="00581C3B">
        <w:rPr>
          <w:rFonts w:cs="Arial"/>
          <w:sz w:val="24"/>
          <w:szCs w:val="24"/>
          <w:lang w:val="en-GB"/>
        </w:rPr>
        <w:t>illegal</w:t>
      </w:r>
      <w:r w:rsidRPr="00581C3B">
        <w:rPr>
          <w:rFonts w:cs="Arial"/>
          <w:sz w:val="24"/>
          <w:szCs w:val="24"/>
        </w:rPr>
        <w:t xml:space="preserve"> interference with computer system; and</w:t>
      </w:r>
    </w:p>
    <w:p w14:paraId="0FB2F432" w14:textId="26FF8A74" w:rsidR="006E469E" w:rsidRPr="00581C3B" w:rsidRDefault="006E469E" w:rsidP="00F01EBA">
      <w:pPr>
        <w:pStyle w:val="ListParagraph"/>
        <w:numPr>
          <w:ilvl w:val="0"/>
          <w:numId w:val="67"/>
        </w:numPr>
        <w:tabs>
          <w:tab w:val="clear" w:pos="1418"/>
        </w:tabs>
        <w:spacing w:after="240" w:line="240" w:lineRule="auto"/>
        <w:ind w:left="2160" w:hanging="720"/>
        <w:contextualSpacing w:val="0"/>
        <w:rPr>
          <w:rFonts w:cs="Arial"/>
          <w:sz w:val="24"/>
          <w:szCs w:val="24"/>
          <w:lang w:val="en-GB"/>
        </w:rPr>
      </w:pPr>
      <w:r w:rsidRPr="00581C3B">
        <w:rPr>
          <w:rFonts w:cs="Arial"/>
          <w:sz w:val="24"/>
          <w:szCs w:val="24"/>
          <w:lang w:val="en-GB"/>
        </w:rPr>
        <w:t>making available or possessing a device, program or data for committing a cyber-related crime.</w:t>
      </w:r>
    </w:p>
    <w:p w14:paraId="7D6B235F" w14:textId="737397DA" w:rsidR="00197549" w:rsidRPr="00581C3B" w:rsidRDefault="00197549" w:rsidP="00F133D1">
      <w:pPr>
        <w:pStyle w:val="ListParagraph"/>
        <w:numPr>
          <w:ilvl w:val="1"/>
          <w:numId w:val="15"/>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 xml:space="preserve">Chapter 7 </w:t>
      </w:r>
      <w:r w:rsidR="00E85D7A" w:rsidRPr="00581C3B">
        <w:rPr>
          <w:rFonts w:cs="Arial"/>
          <w:sz w:val="24"/>
          <w:szCs w:val="24"/>
          <w:lang w:val="en-GB"/>
        </w:rPr>
        <w:t>addresses</w:t>
      </w:r>
      <w:r w:rsidRPr="00581C3B">
        <w:rPr>
          <w:rFonts w:cs="Arial"/>
          <w:sz w:val="24"/>
          <w:szCs w:val="24"/>
          <w:lang w:val="en-GB"/>
        </w:rPr>
        <w:t xml:space="preserve"> the criteria for the Hong Kong court to ass</w:t>
      </w:r>
      <w:r w:rsidR="008706C7">
        <w:rPr>
          <w:rFonts w:cs="Arial"/>
          <w:sz w:val="24"/>
          <w:szCs w:val="24"/>
          <w:lang w:val="en-GB"/>
        </w:rPr>
        <w:t>u</w:t>
      </w:r>
      <w:r w:rsidRPr="00581C3B">
        <w:rPr>
          <w:rFonts w:cs="Arial"/>
          <w:sz w:val="24"/>
          <w:szCs w:val="24"/>
          <w:lang w:val="en-GB"/>
        </w:rPr>
        <w:t>me jurisdiction.</w:t>
      </w:r>
    </w:p>
    <w:p w14:paraId="293F17BE" w14:textId="63070C50" w:rsidR="00197549" w:rsidRPr="00581C3B" w:rsidRDefault="00197549" w:rsidP="00F133D1">
      <w:pPr>
        <w:pStyle w:val="ListParagraph"/>
        <w:numPr>
          <w:ilvl w:val="1"/>
          <w:numId w:val="15"/>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Chapter 8 tackles the issue of sentencing f</w:t>
      </w:r>
      <w:r w:rsidR="003614FF" w:rsidRPr="00581C3B">
        <w:rPr>
          <w:rFonts w:cs="Arial"/>
          <w:sz w:val="24"/>
          <w:szCs w:val="24"/>
          <w:lang w:val="en-GB"/>
        </w:rPr>
        <w:t>or</w:t>
      </w:r>
      <w:r w:rsidRPr="00581C3B">
        <w:rPr>
          <w:rFonts w:cs="Arial"/>
          <w:sz w:val="24"/>
          <w:szCs w:val="24"/>
          <w:lang w:val="en-GB"/>
        </w:rPr>
        <w:t xml:space="preserve"> the offences.</w:t>
      </w:r>
    </w:p>
    <w:p w14:paraId="69E40DEB" w14:textId="458B10F1" w:rsidR="00197549" w:rsidRPr="00581C3B" w:rsidRDefault="00197549" w:rsidP="00F133D1">
      <w:pPr>
        <w:pStyle w:val="ListParagraph"/>
        <w:numPr>
          <w:ilvl w:val="1"/>
          <w:numId w:val="15"/>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Chapter 9 summarises our Final Recommendations.</w:t>
      </w:r>
    </w:p>
    <w:p w14:paraId="2FFFEE09" w14:textId="4B19907F" w:rsidR="00062E44" w:rsidRPr="00581C3B" w:rsidRDefault="0024442E" w:rsidP="008706C7">
      <w:pPr>
        <w:pStyle w:val="Heading1"/>
        <w:keepNext w:val="0"/>
        <w:spacing w:beforeLines="200" w:before="480" w:after="240"/>
        <w:jc w:val="both"/>
        <w:rPr>
          <w:rFonts w:cs="Arial"/>
          <w:sz w:val="28"/>
          <w:szCs w:val="28"/>
        </w:rPr>
      </w:pPr>
      <w:r w:rsidRPr="00581C3B">
        <w:rPr>
          <w:rFonts w:eastAsia="SimHei" w:cs="Arial"/>
          <w:sz w:val="28"/>
          <w:szCs w:val="28"/>
          <w:lang w:eastAsia="zh-CN"/>
        </w:rPr>
        <w:t xml:space="preserve">Chapter 2: </w:t>
      </w:r>
      <w:r w:rsidR="004B7EC6" w:rsidRPr="00581C3B">
        <w:rPr>
          <w:rFonts w:eastAsia="SimHei" w:cs="Arial"/>
          <w:sz w:val="28"/>
          <w:szCs w:val="28"/>
          <w:lang w:eastAsia="zh-CN"/>
        </w:rPr>
        <w:t>Illegal access to program or data</w:t>
      </w:r>
      <w:r w:rsidR="00684D21" w:rsidRPr="00581C3B">
        <w:rPr>
          <w:rFonts w:eastAsia="SimHei" w:cs="Arial"/>
          <w:sz w:val="28"/>
          <w:szCs w:val="28"/>
          <w:lang w:eastAsia="zh-CN"/>
        </w:rPr>
        <w:t xml:space="preserve"> (“Access Offence”)</w:t>
      </w:r>
    </w:p>
    <w:p w14:paraId="2BF6E102" w14:textId="51DBD66B" w:rsidR="0063307A" w:rsidRPr="00581C3B" w:rsidRDefault="00495911"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Recommendation 1 in the CP proposed that unauthorised access to program or data should be a summary offence, and that such access with intent to carry out further criminal activity should constitute an aggravated offence</w:t>
      </w:r>
      <w:r w:rsidR="001258E2" w:rsidRPr="00581C3B">
        <w:rPr>
          <w:rFonts w:cs="Arial"/>
          <w:sz w:val="24"/>
          <w:szCs w:val="24"/>
          <w:lang w:val="en-GB"/>
        </w:rPr>
        <w:t>.</w:t>
      </w:r>
      <w:r w:rsidRPr="00581C3B">
        <w:rPr>
          <w:rFonts w:cs="Arial"/>
          <w:sz w:val="24"/>
          <w:szCs w:val="24"/>
          <w:lang w:val="en-GB"/>
        </w:rPr>
        <w:t xml:space="preserve">  </w:t>
      </w:r>
      <w:r w:rsidR="00684D21" w:rsidRPr="00581C3B">
        <w:rPr>
          <w:rFonts w:cs="Arial"/>
          <w:sz w:val="24"/>
          <w:szCs w:val="24"/>
          <w:lang w:val="en-GB"/>
        </w:rPr>
        <w:t xml:space="preserve">The provisions should be modelled on sections 1, 2 and 17 of the Computer Misuse Act of </w:t>
      </w:r>
      <w:r w:rsidR="008706C7">
        <w:rPr>
          <w:rFonts w:cs="Arial"/>
          <w:sz w:val="24"/>
          <w:szCs w:val="24"/>
          <w:lang w:val="en-GB"/>
        </w:rPr>
        <w:t>E</w:t>
      </w:r>
      <w:r w:rsidR="00684D21" w:rsidRPr="00581C3B">
        <w:rPr>
          <w:rFonts w:cs="Arial"/>
          <w:sz w:val="24"/>
          <w:szCs w:val="24"/>
          <w:lang w:val="en-GB"/>
        </w:rPr>
        <w:t>ngland and Wales (“</w:t>
      </w:r>
      <w:r w:rsidR="00684D21" w:rsidRPr="00581C3B">
        <w:rPr>
          <w:rFonts w:cs="Arial"/>
          <w:b/>
          <w:sz w:val="24"/>
          <w:szCs w:val="24"/>
          <w:lang w:val="en-GB"/>
        </w:rPr>
        <w:t>CMA-EW</w:t>
      </w:r>
      <w:r w:rsidR="00684D21" w:rsidRPr="00581C3B">
        <w:rPr>
          <w:rFonts w:cs="Arial"/>
          <w:sz w:val="24"/>
          <w:szCs w:val="24"/>
          <w:lang w:val="en-GB"/>
        </w:rPr>
        <w:t xml:space="preserve">”).  </w:t>
      </w:r>
      <w:r w:rsidRPr="00581C3B">
        <w:rPr>
          <w:rFonts w:cs="Arial"/>
          <w:sz w:val="24"/>
          <w:szCs w:val="24"/>
          <w:lang w:val="en-GB"/>
        </w:rPr>
        <w:t xml:space="preserve">The Respondents generally agreed </w:t>
      </w:r>
      <w:r w:rsidR="00186706" w:rsidRPr="00581C3B">
        <w:rPr>
          <w:rFonts w:cs="Arial"/>
          <w:sz w:val="24"/>
          <w:szCs w:val="24"/>
          <w:lang w:val="en-GB"/>
        </w:rPr>
        <w:t>with Recommendation 1, but</w:t>
      </w:r>
      <w:r w:rsidRPr="00581C3B">
        <w:rPr>
          <w:rFonts w:cs="Arial"/>
          <w:sz w:val="24"/>
          <w:szCs w:val="24"/>
          <w:lang w:val="en-GB"/>
        </w:rPr>
        <w:t xml:space="preserve"> some doubt</w:t>
      </w:r>
      <w:r w:rsidR="007309E2" w:rsidRPr="00581C3B">
        <w:rPr>
          <w:rFonts w:cs="Arial"/>
          <w:sz w:val="24"/>
          <w:szCs w:val="24"/>
          <w:lang w:val="en-GB"/>
        </w:rPr>
        <w:t>ed</w:t>
      </w:r>
      <w:r w:rsidRPr="00581C3B">
        <w:rPr>
          <w:rFonts w:cs="Arial"/>
          <w:sz w:val="24"/>
          <w:szCs w:val="24"/>
          <w:lang w:val="en-GB"/>
        </w:rPr>
        <w:t xml:space="preserve"> whether </w:t>
      </w:r>
      <w:r w:rsidR="00961358" w:rsidRPr="00581C3B">
        <w:rPr>
          <w:rFonts w:cs="Arial"/>
          <w:sz w:val="24"/>
          <w:szCs w:val="24"/>
          <w:lang w:val="en-GB"/>
        </w:rPr>
        <w:t xml:space="preserve">mere </w:t>
      </w:r>
      <w:r w:rsidRPr="00581C3B">
        <w:rPr>
          <w:rFonts w:cs="Arial"/>
          <w:sz w:val="24"/>
          <w:szCs w:val="24"/>
          <w:lang w:val="en-GB"/>
        </w:rPr>
        <w:t xml:space="preserve">unauthorised access </w:t>
      </w:r>
      <w:r w:rsidR="004A6382" w:rsidRPr="00581C3B">
        <w:rPr>
          <w:rFonts w:cs="Arial"/>
          <w:sz w:val="24"/>
          <w:szCs w:val="24"/>
          <w:lang w:val="en-GB"/>
        </w:rPr>
        <w:t>(ie</w:t>
      </w:r>
      <w:r w:rsidRPr="00581C3B">
        <w:rPr>
          <w:rFonts w:cs="Arial"/>
          <w:sz w:val="24"/>
          <w:szCs w:val="24"/>
          <w:lang w:val="en-GB"/>
        </w:rPr>
        <w:t xml:space="preserve"> “without criminal intent”) should be </w:t>
      </w:r>
      <w:r w:rsidR="00186706" w:rsidRPr="00581C3B">
        <w:rPr>
          <w:rFonts w:cs="Arial"/>
          <w:sz w:val="24"/>
          <w:szCs w:val="24"/>
          <w:lang w:val="en-GB"/>
        </w:rPr>
        <w:t>criminalised</w:t>
      </w:r>
      <w:r w:rsidRPr="00581C3B">
        <w:rPr>
          <w:rFonts w:cs="Arial"/>
          <w:sz w:val="24"/>
          <w:szCs w:val="24"/>
          <w:lang w:val="en-GB"/>
        </w:rPr>
        <w:t>.  Others suggested clarifying the coverage of the “reasonable excuse” defence.</w:t>
      </w:r>
    </w:p>
    <w:p w14:paraId="6DBEBBC7" w14:textId="77841914" w:rsidR="00186706" w:rsidRPr="00581C3B" w:rsidRDefault="00186706" w:rsidP="0093100A">
      <w:pPr>
        <w:pStyle w:val="ListParagraph"/>
        <w:spacing w:beforeLines="100" w:before="240" w:after="240" w:line="240" w:lineRule="auto"/>
        <w:ind w:left="0"/>
        <w:contextualSpacing w:val="0"/>
        <w:rPr>
          <w:rFonts w:cs="Arial"/>
          <w:b/>
          <w:i/>
          <w:sz w:val="24"/>
          <w:szCs w:val="24"/>
        </w:rPr>
      </w:pPr>
      <w:r w:rsidRPr="00581C3B">
        <w:rPr>
          <w:rFonts w:cs="Arial"/>
          <w:b/>
          <w:i/>
          <w:sz w:val="24"/>
          <w:szCs w:val="24"/>
          <w:lang w:val="en-GB"/>
        </w:rPr>
        <w:t>The mental element of the Access Offence</w:t>
      </w:r>
      <w:r w:rsidR="00800DC2" w:rsidRPr="00581C3B">
        <w:rPr>
          <w:rFonts w:eastAsia="Arial Unicode MS" w:cs="Arial"/>
          <w:kern w:val="2"/>
          <w:sz w:val="24"/>
          <w:szCs w:val="24"/>
          <w:vertAlign w:val="superscript"/>
        </w:rPr>
        <w:footnoteReference w:id="3"/>
      </w:r>
    </w:p>
    <w:p w14:paraId="63D3AA19" w14:textId="19F296A9" w:rsidR="00495911" w:rsidRPr="00581C3B" w:rsidRDefault="00800DC2"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eastAsiaTheme="minorEastAsia" w:cs="Arial"/>
          <w:sz w:val="24"/>
          <w:szCs w:val="24"/>
          <w:lang w:val="en-GB"/>
        </w:rPr>
        <w:t xml:space="preserve">It </w:t>
      </w:r>
      <w:r w:rsidR="007309E2" w:rsidRPr="00581C3B">
        <w:rPr>
          <w:rFonts w:eastAsiaTheme="minorEastAsia" w:cs="Arial"/>
          <w:sz w:val="24"/>
          <w:szCs w:val="24"/>
          <w:lang w:val="en-GB"/>
        </w:rPr>
        <w:t>is useful to note</w:t>
      </w:r>
      <w:r w:rsidR="0039265F" w:rsidRPr="00581C3B">
        <w:rPr>
          <w:rFonts w:eastAsiaTheme="minorEastAsia" w:cs="Arial" w:hint="eastAsia"/>
          <w:sz w:val="24"/>
          <w:szCs w:val="24"/>
          <w:lang w:val="en-GB"/>
        </w:rPr>
        <w:t xml:space="preserve"> that</w:t>
      </w:r>
      <w:r w:rsidR="00EE657F" w:rsidRPr="00581C3B">
        <w:rPr>
          <w:rFonts w:eastAsiaTheme="minorEastAsia" w:cs="Arial"/>
          <w:sz w:val="24"/>
          <w:szCs w:val="24"/>
          <w:lang w:val="en-GB"/>
        </w:rPr>
        <w:t>, as far as</w:t>
      </w:r>
      <w:r w:rsidR="0039265F" w:rsidRPr="00581C3B">
        <w:rPr>
          <w:rFonts w:eastAsiaTheme="minorEastAsia" w:cs="Arial" w:hint="eastAsia"/>
          <w:sz w:val="24"/>
          <w:szCs w:val="24"/>
          <w:lang w:val="en-GB"/>
        </w:rPr>
        <w:t xml:space="preserve"> </w:t>
      </w:r>
      <w:r w:rsidR="0039265F" w:rsidRPr="00581C3B">
        <w:rPr>
          <w:rFonts w:eastAsiaTheme="minorEastAsia" w:cs="Arial"/>
          <w:sz w:val="24"/>
          <w:szCs w:val="24"/>
          <w:lang w:val="en-GB"/>
        </w:rPr>
        <w:t xml:space="preserve">the </w:t>
      </w:r>
      <w:r w:rsidR="0039265F" w:rsidRPr="00581C3B">
        <w:rPr>
          <w:rFonts w:eastAsiaTheme="minorEastAsia" w:cs="Arial"/>
          <w:i/>
          <w:sz w:val="24"/>
          <w:szCs w:val="24"/>
          <w:lang w:val="en-GB"/>
        </w:rPr>
        <w:t>mens rea</w:t>
      </w:r>
      <w:r w:rsidR="0039265F" w:rsidRPr="00581C3B">
        <w:rPr>
          <w:rFonts w:eastAsiaTheme="minorEastAsia" w:cs="Arial"/>
          <w:sz w:val="24"/>
          <w:szCs w:val="24"/>
          <w:lang w:val="en-GB"/>
        </w:rPr>
        <w:t xml:space="preserve"> of </w:t>
      </w:r>
      <w:r w:rsidR="002B3241" w:rsidRPr="00581C3B">
        <w:rPr>
          <w:rFonts w:eastAsiaTheme="minorEastAsia" w:cs="Arial"/>
          <w:sz w:val="24"/>
          <w:szCs w:val="24"/>
          <w:lang w:val="en-GB"/>
        </w:rPr>
        <w:t xml:space="preserve">both </w:t>
      </w:r>
      <w:r w:rsidR="0039265F" w:rsidRPr="00581C3B">
        <w:rPr>
          <w:rFonts w:eastAsiaTheme="minorEastAsia" w:cs="Arial"/>
          <w:sz w:val="24"/>
          <w:szCs w:val="24"/>
          <w:lang w:val="en-GB"/>
        </w:rPr>
        <w:t xml:space="preserve">the summary </w:t>
      </w:r>
      <w:r w:rsidR="002B3241" w:rsidRPr="00581C3B">
        <w:rPr>
          <w:rFonts w:eastAsiaTheme="minorEastAsia" w:cs="Arial"/>
          <w:sz w:val="24"/>
          <w:szCs w:val="24"/>
          <w:lang w:val="en-GB"/>
        </w:rPr>
        <w:t xml:space="preserve">and aggravated </w:t>
      </w:r>
      <w:r w:rsidR="0039265F" w:rsidRPr="00581C3B">
        <w:rPr>
          <w:rFonts w:eastAsiaTheme="minorEastAsia" w:cs="Arial"/>
          <w:sz w:val="24"/>
          <w:szCs w:val="24"/>
          <w:lang w:val="en-GB"/>
        </w:rPr>
        <w:t>offence</w:t>
      </w:r>
      <w:r w:rsidR="002B3241" w:rsidRPr="00581C3B">
        <w:rPr>
          <w:rFonts w:eastAsiaTheme="minorEastAsia" w:cs="Arial"/>
          <w:sz w:val="24"/>
          <w:szCs w:val="24"/>
          <w:lang w:val="en-GB"/>
        </w:rPr>
        <w:t>s</w:t>
      </w:r>
      <w:r w:rsidR="0039265F" w:rsidRPr="00581C3B">
        <w:rPr>
          <w:rFonts w:eastAsiaTheme="minorEastAsia" w:cs="Arial"/>
          <w:sz w:val="24"/>
          <w:szCs w:val="24"/>
          <w:lang w:val="en-GB"/>
        </w:rPr>
        <w:t xml:space="preserve"> </w:t>
      </w:r>
      <w:r w:rsidR="00EE657F" w:rsidRPr="00581C3B">
        <w:rPr>
          <w:rFonts w:eastAsiaTheme="minorEastAsia" w:cs="Arial"/>
          <w:sz w:val="24"/>
          <w:szCs w:val="24"/>
          <w:lang w:val="en-GB"/>
        </w:rPr>
        <w:t>are concerned,</w:t>
      </w:r>
      <w:r w:rsidRPr="00581C3B">
        <w:rPr>
          <w:rFonts w:eastAsiaTheme="minorEastAsia" w:cs="Arial"/>
          <w:sz w:val="24"/>
          <w:szCs w:val="24"/>
          <w:lang w:val="en-GB"/>
        </w:rPr>
        <w:t xml:space="preserve"> </w:t>
      </w:r>
      <w:r w:rsidR="00EE657F" w:rsidRPr="00581C3B">
        <w:rPr>
          <w:rFonts w:eastAsiaTheme="minorEastAsia" w:cs="Arial"/>
          <w:sz w:val="24"/>
          <w:szCs w:val="24"/>
          <w:lang w:val="en-GB"/>
        </w:rPr>
        <w:t>t</w:t>
      </w:r>
      <w:r w:rsidRPr="00581C3B">
        <w:rPr>
          <w:rFonts w:eastAsiaTheme="minorEastAsia" w:cs="Arial"/>
          <w:sz w:val="24"/>
          <w:szCs w:val="24"/>
          <w:lang w:val="en-GB"/>
        </w:rPr>
        <w:t>he prosecution must prove that at the time th</w:t>
      </w:r>
      <w:r w:rsidR="00680707" w:rsidRPr="00581C3B">
        <w:rPr>
          <w:rFonts w:eastAsiaTheme="minorEastAsia" w:cs="Arial"/>
          <w:sz w:val="24"/>
          <w:szCs w:val="24"/>
          <w:lang w:val="en-GB"/>
        </w:rPr>
        <w:t>at</w:t>
      </w:r>
      <w:r w:rsidRPr="00581C3B">
        <w:rPr>
          <w:rFonts w:eastAsiaTheme="minorEastAsia" w:cs="Arial"/>
          <w:sz w:val="24"/>
          <w:szCs w:val="24"/>
          <w:lang w:val="en-GB"/>
        </w:rPr>
        <w:t xml:space="preserve"> the unauthorised access</w:t>
      </w:r>
      <w:r w:rsidR="00680707" w:rsidRPr="00581C3B">
        <w:rPr>
          <w:rFonts w:eastAsiaTheme="minorEastAsia" w:cs="Arial"/>
          <w:sz w:val="24"/>
          <w:szCs w:val="24"/>
          <w:lang w:val="en-GB"/>
        </w:rPr>
        <w:t xml:space="preserve"> was made</w:t>
      </w:r>
      <w:r w:rsidRPr="00581C3B">
        <w:rPr>
          <w:rFonts w:eastAsiaTheme="minorEastAsia" w:cs="Arial"/>
          <w:sz w:val="24"/>
          <w:szCs w:val="24"/>
          <w:lang w:val="en-GB"/>
        </w:rPr>
        <w:t xml:space="preserve">, </w:t>
      </w:r>
      <w:r w:rsidR="00680707" w:rsidRPr="00581C3B">
        <w:rPr>
          <w:rFonts w:eastAsiaTheme="minorEastAsia" w:cs="Arial"/>
          <w:sz w:val="24"/>
          <w:szCs w:val="24"/>
          <w:lang w:val="en-GB"/>
        </w:rPr>
        <w:t>t</w:t>
      </w:r>
      <w:r w:rsidRPr="00581C3B">
        <w:rPr>
          <w:rFonts w:eastAsiaTheme="minorEastAsia" w:cs="Arial"/>
          <w:sz w:val="24"/>
          <w:szCs w:val="24"/>
          <w:lang w:val="en-GB"/>
        </w:rPr>
        <w:t xml:space="preserve">he </w:t>
      </w:r>
      <w:r w:rsidR="00680707" w:rsidRPr="00581C3B">
        <w:rPr>
          <w:rFonts w:eastAsiaTheme="minorEastAsia" w:cs="Arial"/>
          <w:sz w:val="24"/>
          <w:szCs w:val="24"/>
          <w:lang w:val="en-GB"/>
        </w:rPr>
        <w:t xml:space="preserve">defendant </w:t>
      </w:r>
      <w:r w:rsidRPr="00581C3B">
        <w:rPr>
          <w:rFonts w:eastAsiaTheme="minorEastAsia" w:cs="Arial"/>
          <w:sz w:val="24"/>
          <w:szCs w:val="24"/>
          <w:lang w:val="en-GB"/>
        </w:rPr>
        <w:t xml:space="preserve">knew that </w:t>
      </w:r>
      <w:r w:rsidR="00D43A7B" w:rsidRPr="00581C3B">
        <w:rPr>
          <w:rFonts w:eastAsiaTheme="minorEastAsia" w:cs="Arial"/>
          <w:sz w:val="24"/>
          <w:szCs w:val="24"/>
          <w:lang w:val="en-GB"/>
        </w:rPr>
        <w:t>such</w:t>
      </w:r>
      <w:r w:rsidRPr="00581C3B">
        <w:rPr>
          <w:rFonts w:eastAsiaTheme="minorEastAsia" w:cs="Arial"/>
          <w:sz w:val="24"/>
          <w:szCs w:val="24"/>
          <w:lang w:val="en-GB"/>
        </w:rPr>
        <w:t xml:space="preserve"> access was unauthorised</w:t>
      </w:r>
      <w:r w:rsidR="00EE657F" w:rsidRPr="00581C3B">
        <w:rPr>
          <w:rFonts w:eastAsiaTheme="minorEastAsia" w:cs="Arial"/>
          <w:sz w:val="24"/>
          <w:szCs w:val="24"/>
          <w:lang w:val="en-GB"/>
        </w:rPr>
        <w:t xml:space="preserve"> as is the case under section 1(1) of the CMA-EW</w:t>
      </w:r>
      <w:r w:rsidRPr="00581C3B">
        <w:rPr>
          <w:rFonts w:eastAsiaTheme="minorEastAsia" w:cs="Arial"/>
          <w:sz w:val="24"/>
          <w:szCs w:val="24"/>
          <w:lang w:val="en-GB"/>
        </w:rPr>
        <w:t>.</w:t>
      </w:r>
    </w:p>
    <w:p w14:paraId="26658B2E" w14:textId="300FF62C" w:rsidR="00FC1330" w:rsidRPr="00581C3B" w:rsidRDefault="00FC1330"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lastRenderedPageBreak/>
        <w:t>We agree that the characteristics of the design and functioning of the cyberspace means that in certain widely accepted circumstances, authorisation to access program or data is implicitly granted by an online user, and the customary practices of not seeking prior express authorisation for access in situations that are generally accepted when using the cyberspace should continue to be tolerated.</w:t>
      </w:r>
      <w:r w:rsidR="00CA0A67">
        <w:rPr>
          <w:rFonts w:cs="Arial"/>
        </w:rPr>
        <w:t xml:space="preserve"> </w:t>
      </w:r>
      <w:r w:rsidR="00CA0A67" w:rsidRPr="00CA0A67">
        <w:rPr>
          <w:rFonts w:eastAsiaTheme="minorEastAsia" w:cs="Arial"/>
          <w:sz w:val="24"/>
          <w:szCs w:val="24"/>
          <w:lang w:val="en-GB"/>
        </w:rPr>
        <w:t xml:space="preserve"> Further examples of circumstances involving implied authorisation include, but are not limited to, situations where access to program or data occurs by virtue of automatic connections by design and practical necessity.</w:t>
      </w:r>
      <w:r w:rsidR="00C33D09" w:rsidRPr="00581C3B">
        <w:rPr>
          <w:rFonts w:eastAsia="Arial Unicode MS" w:cs="Arial"/>
          <w:kern w:val="2"/>
          <w:sz w:val="24"/>
          <w:szCs w:val="24"/>
          <w:vertAlign w:val="superscript"/>
        </w:rPr>
        <w:footnoteReference w:id="4"/>
      </w:r>
    </w:p>
    <w:p w14:paraId="2C973A89" w14:textId="77F7CCF7" w:rsidR="0039265F" w:rsidRPr="00581C3B" w:rsidRDefault="0039265F"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 xml:space="preserve">We </w:t>
      </w:r>
      <w:r w:rsidR="00FC1330" w:rsidRPr="00581C3B">
        <w:rPr>
          <w:rFonts w:eastAsiaTheme="minorEastAsia" w:cs="Arial"/>
          <w:sz w:val="24"/>
          <w:szCs w:val="24"/>
          <w:lang w:val="en-GB"/>
        </w:rPr>
        <w:t xml:space="preserve">therefore </w:t>
      </w:r>
      <w:r w:rsidR="00B97C53" w:rsidRPr="00581C3B">
        <w:rPr>
          <w:rFonts w:eastAsiaTheme="minorEastAsia" w:cs="Arial"/>
          <w:sz w:val="24"/>
          <w:szCs w:val="24"/>
          <w:lang w:val="en-GB"/>
        </w:rPr>
        <w:t>continue to be of</w:t>
      </w:r>
      <w:r w:rsidRPr="00581C3B">
        <w:rPr>
          <w:rFonts w:eastAsiaTheme="minorEastAsia" w:cs="Arial"/>
          <w:sz w:val="24"/>
          <w:szCs w:val="24"/>
          <w:lang w:val="en-GB"/>
        </w:rPr>
        <w:t xml:space="preserve"> </w:t>
      </w:r>
      <w:r w:rsidR="002B3241" w:rsidRPr="00581C3B">
        <w:rPr>
          <w:rFonts w:eastAsiaTheme="minorEastAsia" w:cs="Arial"/>
          <w:sz w:val="24"/>
          <w:szCs w:val="24"/>
          <w:lang w:val="en-GB"/>
        </w:rPr>
        <w:t>the</w:t>
      </w:r>
      <w:r w:rsidRPr="00581C3B">
        <w:rPr>
          <w:rFonts w:eastAsiaTheme="minorEastAsia" w:cs="Arial"/>
          <w:sz w:val="24"/>
          <w:szCs w:val="24"/>
          <w:lang w:val="en-GB"/>
        </w:rPr>
        <w:t xml:space="preserve"> view that it is fair for the </w:t>
      </w:r>
      <w:r w:rsidR="00186706" w:rsidRPr="00581C3B">
        <w:rPr>
          <w:rFonts w:eastAsiaTheme="minorEastAsia" w:cs="Arial"/>
          <w:sz w:val="24"/>
          <w:szCs w:val="24"/>
          <w:lang w:val="en-GB"/>
        </w:rPr>
        <w:t>A</w:t>
      </w:r>
      <w:r w:rsidRPr="00581C3B">
        <w:rPr>
          <w:rFonts w:eastAsiaTheme="minorEastAsia" w:cs="Arial"/>
          <w:sz w:val="24"/>
          <w:szCs w:val="24"/>
          <w:lang w:val="en-GB"/>
        </w:rPr>
        <w:t xml:space="preserve">ccess </w:t>
      </w:r>
      <w:r w:rsidR="00186706" w:rsidRPr="00581C3B">
        <w:rPr>
          <w:rFonts w:eastAsiaTheme="minorEastAsia" w:cs="Arial"/>
          <w:sz w:val="24"/>
          <w:szCs w:val="24"/>
          <w:lang w:val="en-GB"/>
        </w:rPr>
        <w:t>O</w:t>
      </w:r>
      <w:r w:rsidRPr="00581C3B">
        <w:rPr>
          <w:rFonts w:eastAsiaTheme="minorEastAsia" w:cs="Arial"/>
          <w:sz w:val="24"/>
          <w:szCs w:val="24"/>
          <w:lang w:val="en-GB"/>
        </w:rPr>
        <w:t xml:space="preserve">ffence to be premised on a person’s knowledge that the access </w:t>
      </w:r>
      <w:r w:rsidR="00680707" w:rsidRPr="00581C3B">
        <w:rPr>
          <w:rFonts w:eastAsiaTheme="minorEastAsia" w:cs="Arial"/>
          <w:sz w:val="24"/>
          <w:szCs w:val="24"/>
          <w:lang w:val="en-GB"/>
        </w:rPr>
        <w:t>being</w:t>
      </w:r>
      <w:r w:rsidRPr="00581C3B">
        <w:rPr>
          <w:rFonts w:eastAsiaTheme="minorEastAsia" w:cs="Arial"/>
          <w:sz w:val="24"/>
          <w:szCs w:val="24"/>
          <w:lang w:val="en-GB"/>
        </w:rPr>
        <w:t xml:space="preserve"> performed is unauthorised.  </w:t>
      </w:r>
      <w:r w:rsidR="00FA0E9D" w:rsidRPr="00581C3B">
        <w:rPr>
          <w:rFonts w:eastAsiaTheme="minorEastAsia" w:cs="Arial"/>
          <w:sz w:val="24"/>
          <w:szCs w:val="24"/>
          <w:lang w:val="en-GB"/>
        </w:rPr>
        <w:t>Ultimately, it will be a matter for the court to determine in all the circumstances of the case whether or not the evidence permits draw</w:t>
      </w:r>
      <w:r w:rsidR="004A6382" w:rsidRPr="00581C3B">
        <w:rPr>
          <w:rFonts w:eastAsiaTheme="minorEastAsia" w:cs="Arial"/>
          <w:sz w:val="24"/>
          <w:szCs w:val="24"/>
          <w:lang w:val="en-GB"/>
        </w:rPr>
        <w:t>ing</w:t>
      </w:r>
      <w:r w:rsidR="00FA0E9D" w:rsidRPr="00581C3B">
        <w:rPr>
          <w:rFonts w:eastAsiaTheme="minorEastAsia" w:cs="Arial"/>
          <w:sz w:val="24"/>
          <w:szCs w:val="24"/>
          <w:lang w:val="en-GB"/>
        </w:rPr>
        <w:t xml:space="preserve"> the necessary inference </w:t>
      </w:r>
      <w:r w:rsidR="00876966" w:rsidRPr="00581C3B">
        <w:rPr>
          <w:rFonts w:eastAsiaTheme="minorEastAsia" w:cs="Arial"/>
          <w:sz w:val="24"/>
          <w:szCs w:val="24"/>
          <w:lang w:val="en-GB"/>
        </w:rPr>
        <w:t>of</w:t>
      </w:r>
      <w:r w:rsidR="007F0C1A" w:rsidRPr="00581C3B">
        <w:rPr>
          <w:rFonts w:eastAsiaTheme="minorEastAsia" w:cs="Arial"/>
          <w:sz w:val="24"/>
          <w:szCs w:val="24"/>
          <w:lang w:val="en-GB"/>
        </w:rPr>
        <w:t xml:space="preserve"> the defendant’s</w:t>
      </w:r>
      <w:r w:rsidR="00876966" w:rsidRPr="00581C3B">
        <w:rPr>
          <w:rFonts w:eastAsiaTheme="minorEastAsia" w:cs="Arial"/>
          <w:sz w:val="24"/>
          <w:szCs w:val="24"/>
          <w:lang w:val="en-GB"/>
        </w:rPr>
        <w:t xml:space="preserve"> knowledge</w:t>
      </w:r>
      <w:r w:rsidRPr="00581C3B">
        <w:rPr>
          <w:rFonts w:eastAsiaTheme="minorEastAsia" w:cs="Arial"/>
          <w:sz w:val="24"/>
          <w:szCs w:val="24"/>
          <w:lang w:val="en-GB"/>
        </w:rPr>
        <w:t>.</w:t>
      </w:r>
      <w:r w:rsidR="00FA0E9D" w:rsidRPr="00581C3B">
        <w:rPr>
          <w:rFonts w:eastAsia="Arial Unicode MS" w:cs="Arial"/>
          <w:kern w:val="2"/>
          <w:sz w:val="24"/>
          <w:szCs w:val="24"/>
          <w:vertAlign w:val="superscript"/>
        </w:rPr>
        <w:footnoteReference w:id="5"/>
      </w:r>
    </w:p>
    <w:p w14:paraId="30A1C4BC" w14:textId="7F9F23C5" w:rsidR="0039265F" w:rsidRPr="00581C3B" w:rsidRDefault="0039265F" w:rsidP="0039265F">
      <w:pPr>
        <w:pStyle w:val="ListParagraph"/>
        <w:spacing w:after="240" w:line="240" w:lineRule="auto"/>
        <w:ind w:left="0"/>
        <w:contextualSpacing w:val="0"/>
        <w:rPr>
          <w:rFonts w:eastAsiaTheme="minorEastAsia" w:cs="Arial"/>
          <w:b/>
          <w:sz w:val="24"/>
          <w:szCs w:val="24"/>
          <w:lang w:val="en-GB"/>
        </w:rPr>
      </w:pPr>
      <w:r w:rsidRPr="00581C3B">
        <w:rPr>
          <w:rFonts w:cs="Arial"/>
          <w:b/>
          <w:i/>
          <w:sz w:val="24"/>
          <w:szCs w:val="24"/>
        </w:rPr>
        <w:t xml:space="preserve">Mere unauthorised </w:t>
      </w:r>
      <w:r w:rsidRPr="00581C3B">
        <w:rPr>
          <w:rFonts w:hint="eastAsia"/>
          <w:b/>
          <w:i/>
          <w:sz w:val="24"/>
          <w:szCs w:val="24"/>
        </w:rPr>
        <w:t>access should be an offence</w:t>
      </w:r>
      <w:r w:rsidR="00800DC2" w:rsidRPr="00581C3B">
        <w:rPr>
          <w:rFonts w:eastAsia="Arial Unicode MS" w:cs="Arial"/>
          <w:kern w:val="2"/>
          <w:sz w:val="24"/>
          <w:szCs w:val="24"/>
          <w:vertAlign w:val="superscript"/>
        </w:rPr>
        <w:footnoteReference w:id="6"/>
      </w:r>
    </w:p>
    <w:p w14:paraId="3B82E19C" w14:textId="1A62E3DD" w:rsidR="001462B7" w:rsidRPr="00581C3B" w:rsidRDefault="0039265F" w:rsidP="00765211">
      <w:pPr>
        <w:pStyle w:val="ListParagraph"/>
        <w:numPr>
          <w:ilvl w:val="0"/>
          <w:numId w:val="14"/>
        </w:numPr>
        <w:spacing w:after="240" w:line="240" w:lineRule="auto"/>
        <w:ind w:left="0" w:firstLine="0"/>
        <w:contextualSpacing w:val="0"/>
        <w:rPr>
          <w:rFonts w:eastAsiaTheme="minorEastAsia" w:cs="Arial"/>
          <w:color w:val="0000CC"/>
          <w:sz w:val="24"/>
          <w:szCs w:val="24"/>
          <w:lang w:val="en-GB"/>
        </w:rPr>
      </w:pPr>
      <w:r w:rsidRPr="00581C3B">
        <w:rPr>
          <w:rFonts w:eastAsiaTheme="minorEastAsia" w:cs="Arial"/>
          <w:sz w:val="24"/>
          <w:szCs w:val="24"/>
          <w:lang w:val="en-GB"/>
        </w:rPr>
        <w:t>T</w:t>
      </w:r>
      <w:r w:rsidRPr="00581C3B">
        <w:rPr>
          <w:rFonts w:eastAsiaTheme="minorEastAsia" w:cs="Arial" w:hint="eastAsia"/>
          <w:sz w:val="24"/>
          <w:szCs w:val="24"/>
          <w:lang w:val="en-GB"/>
        </w:rPr>
        <w:t>he Respondents</w:t>
      </w:r>
      <w:r w:rsidRPr="00581C3B">
        <w:rPr>
          <w:rFonts w:eastAsiaTheme="minorEastAsia" w:cs="Arial"/>
          <w:sz w:val="24"/>
          <w:szCs w:val="24"/>
          <w:lang w:val="en-GB"/>
        </w:rPr>
        <w:t xml:space="preserve">’ comments on the mental element of the </w:t>
      </w:r>
      <w:r w:rsidR="00FC7D0E" w:rsidRPr="00581C3B">
        <w:rPr>
          <w:rFonts w:eastAsiaTheme="minorEastAsia" w:cs="Arial"/>
          <w:sz w:val="24"/>
          <w:szCs w:val="24"/>
          <w:lang w:val="en-GB"/>
        </w:rPr>
        <w:t>A</w:t>
      </w:r>
      <w:r w:rsidRPr="00581C3B">
        <w:rPr>
          <w:rFonts w:eastAsiaTheme="minorEastAsia" w:cs="Arial"/>
          <w:sz w:val="24"/>
          <w:szCs w:val="24"/>
          <w:lang w:val="en-GB"/>
        </w:rPr>
        <w:t xml:space="preserve">ccess </w:t>
      </w:r>
      <w:r w:rsidR="00FC7D0E" w:rsidRPr="00581C3B">
        <w:rPr>
          <w:rFonts w:eastAsiaTheme="minorEastAsia" w:cs="Arial"/>
          <w:sz w:val="24"/>
          <w:szCs w:val="24"/>
          <w:lang w:val="en-GB"/>
        </w:rPr>
        <w:t>O</w:t>
      </w:r>
      <w:r w:rsidRPr="00581C3B">
        <w:rPr>
          <w:rFonts w:eastAsiaTheme="minorEastAsia" w:cs="Arial"/>
          <w:sz w:val="24"/>
          <w:szCs w:val="24"/>
          <w:lang w:val="en-GB"/>
        </w:rPr>
        <w:t xml:space="preserve">ffence relate to the question of whether mere unauthorised access to program or data should be </w:t>
      </w:r>
      <w:r w:rsidR="00FC7D0E" w:rsidRPr="00581C3B">
        <w:rPr>
          <w:rFonts w:eastAsiaTheme="minorEastAsia" w:cs="Arial"/>
          <w:sz w:val="24"/>
          <w:szCs w:val="24"/>
          <w:lang w:val="en-GB"/>
        </w:rPr>
        <w:t>criminalised</w:t>
      </w:r>
      <w:r w:rsidRPr="00581C3B">
        <w:rPr>
          <w:rFonts w:eastAsiaTheme="minorEastAsia" w:cs="Arial"/>
          <w:sz w:val="24"/>
          <w:szCs w:val="24"/>
          <w:lang w:val="en-GB"/>
        </w:rPr>
        <w:t xml:space="preserve">, which was discussed in the </w:t>
      </w:r>
      <w:r w:rsidRPr="00581C3B">
        <w:rPr>
          <w:rFonts w:eastAsiaTheme="minorEastAsia" w:cs="Arial" w:hint="eastAsia"/>
          <w:sz w:val="24"/>
          <w:szCs w:val="24"/>
          <w:lang w:val="en-GB"/>
        </w:rPr>
        <w:t>CP</w:t>
      </w:r>
      <w:r w:rsidRPr="00581C3B">
        <w:rPr>
          <w:rFonts w:eastAsiaTheme="minorEastAsia" w:cs="Arial"/>
          <w:sz w:val="24"/>
          <w:szCs w:val="24"/>
          <w:lang w:val="en-GB"/>
        </w:rPr>
        <w:t>.</w:t>
      </w:r>
      <w:r w:rsidRPr="00581C3B">
        <w:rPr>
          <w:rFonts w:eastAsiaTheme="minorEastAsia" w:cs="Arial"/>
          <w:sz w:val="24"/>
          <w:szCs w:val="24"/>
          <w:vertAlign w:val="superscript"/>
          <w:lang w:val="en-GB"/>
        </w:rPr>
        <w:footnoteReference w:id="7"/>
      </w:r>
    </w:p>
    <w:p w14:paraId="21EFF519" w14:textId="7DA76495" w:rsidR="00090C42" w:rsidRPr="00581C3B" w:rsidRDefault="001462B7"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 xml:space="preserve">The offence of mere unauthorised access </w:t>
      </w:r>
      <w:r w:rsidR="00090C42" w:rsidRPr="00581C3B">
        <w:rPr>
          <w:rFonts w:eastAsiaTheme="minorEastAsia" w:cs="Arial"/>
          <w:sz w:val="24"/>
          <w:szCs w:val="24"/>
          <w:lang w:val="en-GB"/>
        </w:rPr>
        <w:t xml:space="preserve">under the CMA-EW </w:t>
      </w:r>
      <w:r w:rsidRPr="00581C3B">
        <w:rPr>
          <w:rFonts w:eastAsiaTheme="minorEastAsia" w:cs="Arial"/>
          <w:sz w:val="24"/>
          <w:szCs w:val="24"/>
          <w:lang w:val="en-GB"/>
        </w:rPr>
        <w:t>was a response</w:t>
      </w:r>
      <w:r w:rsidR="00090C42" w:rsidRPr="00581C3B">
        <w:rPr>
          <w:rFonts w:eastAsiaTheme="minorEastAsia" w:cs="Arial"/>
          <w:sz w:val="24"/>
          <w:szCs w:val="24"/>
          <w:lang w:val="en-GB"/>
        </w:rPr>
        <w:t>, because of the uncertainty and cost caused by hacking attempts,</w:t>
      </w:r>
      <w:r w:rsidRPr="00581C3B">
        <w:rPr>
          <w:rFonts w:eastAsiaTheme="minorEastAsia" w:cs="Arial"/>
          <w:sz w:val="24"/>
          <w:szCs w:val="24"/>
          <w:lang w:val="en-GB"/>
        </w:rPr>
        <w:t xml:space="preserve"> to</w:t>
      </w:r>
      <w:r w:rsidRPr="00581C3B">
        <w:rPr>
          <w:rFonts w:eastAsiaTheme="minorEastAsia" w:cs="Arial" w:hint="eastAsia"/>
          <w:sz w:val="24"/>
          <w:szCs w:val="24"/>
          <w:lang w:val="en-GB"/>
        </w:rPr>
        <w:t xml:space="preserve"> </w:t>
      </w:r>
      <w:r w:rsidRPr="00581C3B">
        <w:rPr>
          <w:rFonts w:eastAsiaTheme="minorEastAsia" w:cs="Arial"/>
          <w:sz w:val="24"/>
          <w:szCs w:val="24"/>
          <w:lang w:val="en-GB"/>
        </w:rPr>
        <w:t xml:space="preserve">the need to protect the integrity and security of computer systems from attacks from unauthorised persons, whatever their intention may be.  </w:t>
      </w:r>
      <w:r w:rsidR="00BA083A" w:rsidRPr="00581C3B">
        <w:rPr>
          <w:rFonts w:eastAsiaTheme="minorEastAsia" w:cs="Arial"/>
          <w:sz w:val="24"/>
          <w:szCs w:val="24"/>
          <w:lang w:val="en-GB"/>
        </w:rPr>
        <w:t>Whether there is implied authorisation for access in a particular case would depend on the facts and circumstances as disclosed in the evidence.</w:t>
      </w:r>
    </w:p>
    <w:p w14:paraId="16B1A5EC" w14:textId="3121FCAB" w:rsidR="0039265F" w:rsidRPr="00581C3B" w:rsidRDefault="004A01AC" w:rsidP="00A227D0">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 xml:space="preserve">As the internet permeates most aspects of public and private life nowadays, there is all the more a need to ensure the integrity of computer systems and networks against unauthorised access.  </w:t>
      </w:r>
      <w:r w:rsidR="008C07E1" w:rsidRPr="00581C3B">
        <w:rPr>
          <w:rFonts w:eastAsiaTheme="minorEastAsia" w:cs="Arial"/>
          <w:sz w:val="24"/>
          <w:szCs w:val="24"/>
          <w:lang w:val="en-GB"/>
        </w:rPr>
        <w:t>The summary and aggravated offences are intended to operate together to provide an effect</w:t>
      </w:r>
      <w:r w:rsidR="006A101C" w:rsidRPr="00581C3B">
        <w:rPr>
          <w:rFonts w:eastAsiaTheme="minorEastAsia" w:cs="Arial"/>
          <w:sz w:val="24"/>
          <w:szCs w:val="24"/>
          <w:lang w:val="en-GB"/>
        </w:rPr>
        <w:t>ive</w:t>
      </w:r>
      <w:r w:rsidR="008C07E1" w:rsidRPr="00581C3B">
        <w:rPr>
          <w:rFonts w:eastAsiaTheme="minorEastAsia" w:cs="Arial"/>
          <w:sz w:val="24"/>
          <w:szCs w:val="24"/>
          <w:lang w:val="en-GB"/>
        </w:rPr>
        <w:t xml:space="preserve"> deterrent against all forms of unauthorised access.  </w:t>
      </w:r>
      <w:r w:rsidR="001462B7" w:rsidRPr="00581C3B">
        <w:rPr>
          <w:rFonts w:eastAsiaTheme="minorEastAsia" w:cs="Arial"/>
          <w:sz w:val="24"/>
          <w:szCs w:val="24"/>
          <w:lang w:val="en-GB"/>
        </w:rPr>
        <w:t>Thus, w</w:t>
      </w:r>
      <w:r w:rsidR="0039265F" w:rsidRPr="00581C3B">
        <w:rPr>
          <w:rFonts w:eastAsiaTheme="minorEastAsia" w:cs="Arial"/>
          <w:sz w:val="24"/>
          <w:szCs w:val="24"/>
          <w:lang w:val="en-GB"/>
        </w:rPr>
        <w:t xml:space="preserve">e maintain </w:t>
      </w:r>
      <w:r w:rsidR="008C07E1" w:rsidRPr="00581C3B">
        <w:rPr>
          <w:rFonts w:eastAsiaTheme="minorEastAsia" w:cs="Arial"/>
          <w:sz w:val="24"/>
          <w:szCs w:val="24"/>
          <w:lang w:val="en-GB"/>
        </w:rPr>
        <w:t>the</w:t>
      </w:r>
      <w:r w:rsidR="0039265F" w:rsidRPr="00581C3B">
        <w:rPr>
          <w:rFonts w:eastAsiaTheme="minorEastAsia" w:cs="Arial"/>
          <w:sz w:val="24"/>
          <w:szCs w:val="24"/>
          <w:lang w:val="en-GB"/>
        </w:rPr>
        <w:t xml:space="preserve"> view that mere unauthorised access to program or data should constitute an offence.</w:t>
      </w:r>
    </w:p>
    <w:p w14:paraId="139467F5" w14:textId="4420B786" w:rsidR="00FC7D0E" w:rsidRPr="00581C3B" w:rsidRDefault="00FC7D0E" w:rsidP="00FC7D0E">
      <w:pPr>
        <w:pStyle w:val="ListParagraph"/>
        <w:spacing w:after="240" w:line="240" w:lineRule="auto"/>
        <w:ind w:left="0"/>
        <w:contextualSpacing w:val="0"/>
        <w:rPr>
          <w:rFonts w:eastAsiaTheme="minorEastAsia" w:cs="Arial"/>
          <w:b/>
          <w:i/>
          <w:sz w:val="24"/>
          <w:szCs w:val="24"/>
          <w:lang w:val="en-GB"/>
        </w:rPr>
      </w:pPr>
      <w:r w:rsidRPr="00581C3B">
        <w:rPr>
          <w:rFonts w:cs="Arial"/>
          <w:b/>
          <w:i/>
          <w:sz w:val="24"/>
          <w:szCs w:val="24"/>
          <w:lang w:val="en-GB"/>
        </w:rPr>
        <w:t>General reasonable excuse defence and specific defences</w:t>
      </w:r>
      <w:r w:rsidR="00800DC2" w:rsidRPr="00581C3B">
        <w:rPr>
          <w:rFonts w:eastAsia="Arial Unicode MS" w:cs="Arial"/>
          <w:kern w:val="2"/>
          <w:sz w:val="24"/>
          <w:szCs w:val="24"/>
          <w:vertAlign w:val="superscript"/>
        </w:rPr>
        <w:footnoteReference w:id="8"/>
      </w:r>
    </w:p>
    <w:p w14:paraId="1FFB5357" w14:textId="789D2C9F" w:rsidR="00180336" w:rsidRPr="00581C3B" w:rsidRDefault="0054330D"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We take the view that any attempt to provide an interpretation of “reasonable excuse”</w:t>
      </w:r>
      <w:r w:rsidR="003C23DB" w:rsidRPr="00581C3B">
        <w:rPr>
          <w:rFonts w:eastAsiaTheme="minorEastAsia" w:cs="Arial"/>
          <w:sz w:val="24"/>
          <w:szCs w:val="24"/>
          <w:lang w:val="en-GB"/>
        </w:rPr>
        <w:t xml:space="preserve"> or, for that matter, a list of examples</w:t>
      </w:r>
      <w:r w:rsidRPr="00581C3B">
        <w:rPr>
          <w:rFonts w:eastAsiaTheme="minorEastAsia" w:cs="Arial"/>
          <w:sz w:val="24"/>
          <w:szCs w:val="24"/>
          <w:lang w:val="en-GB"/>
        </w:rPr>
        <w:t xml:space="preserve"> in the cybercrime legislation to illuminate the legislative intent may run the risk of narrowing the scope of the reasonable excuse defence</w:t>
      </w:r>
      <w:r w:rsidR="008A79E0" w:rsidRPr="00581C3B">
        <w:rPr>
          <w:rFonts w:eastAsiaTheme="minorEastAsia" w:cs="Arial"/>
          <w:sz w:val="24"/>
          <w:szCs w:val="24"/>
          <w:lang w:val="en-GB"/>
        </w:rPr>
        <w:t xml:space="preserve"> inadvertently</w:t>
      </w:r>
      <w:r w:rsidRPr="00581C3B">
        <w:rPr>
          <w:rFonts w:eastAsiaTheme="minorEastAsia" w:cs="Arial"/>
          <w:sz w:val="24"/>
          <w:szCs w:val="24"/>
          <w:lang w:val="en-GB"/>
        </w:rPr>
        <w:t>.</w:t>
      </w:r>
    </w:p>
    <w:p w14:paraId="77707713" w14:textId="01EDBA68" w:rsidR="0054330D" w:rsidRPr="00581C3B" w:rsidRDefault="003C23DB"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While we conclude that “reasonable excuse” should be left undefined</w:t>
      </w:r>
      <w:r w:rsidR="00FC7D0E" w:rsidRPr="00581C3B">
        <w:rPr>
          <w:rFonts w:eastAsiaTheme="minorEastAsia" w:cs="Arial"/>
          <w:sz w:val="24"/>
          <w:szCs w:val="24"/>
          <w:lang w:val="en-GB"/>
        </w:rPr>
        <w:t>,</w:t>
      </w:r>
      <w:r w:rsidR="0054330D" w:rsidRPr="00581C3B">
        <w:rPr>
          <w:rFonts w:eastAsiaTheme="minorEastAsia" w:cs="Arial"/>
          <w:sz w:val="24"/>
          <w:szCs w:val="24"/>
          <w:lang w:val="en-GB"/>
        </w:rPr>
        <w:t xml:space="preserve"> we recommend that specific defence(s) should be </w:t>
      </w:r>
      <w:r w:rsidRPr="00581C3B">
        <w:rPr>
          <w:rFonts w:eastAsiaTheme="minorEastAsia" w:cs="Arial"/>
          <w:sz w:val="24"/>
          <w:szCs w:val="24"/>
          <w:lang w:val="en-GB"/>
        </w:rPr>
        <w:t>ad</w:t>
      </w:r>
      <w:r w:rsidR="0054330D" w:rsidRPr="00581C3B">
        <w:rPr>
          <w:rFonts w:eastAsiaTheme="minorEastAsia" w:cs="Arial"/>
          <w:sz w:val="24"/>
          <w:szCs w:val="24"/>
          <w:lang w:val="en-GB"/>
        </w:rPr>
        <w:t>ded alongside to exclude those types of behaviour that plainly should not</w:t>
      </w:r>
      <w:r w:rsidRPr="00581C3B">
        <w:rPr>
          <w:rFonts w:eastAsiaTheme="minorEastAsia" w:cs="Arial"/>
          <w:sz w:val="24"/>
          <w:szCs w:val="24"/>
          <w:lang w:val="en-GB"/>
        </w:rPr>
        <w:t>, in our view,</w:t>
      </w:r>
      <w:r w:rsidR="0054330D" w:rsidRPr="00581C3B">
        <w:rPr>
          <w:rFonts w:eastAsiaTheme="minorEastAsia" w:cs="Arial"/>
          <w:sz w:val="24"/>
          <w:szCs w:val="24"/>
          <w:lang w:val="en-GB"/>
        </w:rPr>
        <w:t xml:space="preserve"> be </w:t>
      </w:r>
      <w:r w:rsidR="0054330D" w:rsidRPr="00581C3B">
        <w:rPr>
          <w:rFonts w:eastAsiaTheme="minorEastAsia" w:cs="Arial"/>
          <w:sz w:val="24"/>
          <w:szCs w:val="24"/>
          <w:lang w:val="en-GB"/>
        </w:rPr>
        <w:lastRenderedPageBreak/>
        <w:t>regarded as illegal.</w:t>
      </w:r>
      <w:r w:rsidR="002B03E0" w:rsidRPr="00581C3B">
        <w:rPr>
          <w:rFonts w:eastAsia="Arial Unicode MS" w:cs="Arial"/>
          <w:kern w:val="2"/>
          <w:sz w:val="24"/>
          <w:szCs w:val="24"/>
          <w:vertAlign w:val="superscript"/>
        </w:rPr>
        <w:footnoteReference w:id="9"/>
      </w:r>
      <w:r w:rsidR="0054330D" w:rsidRPr="00581C3B">
        <w:rPr>
          <w:rFonts w:eastAsiaTheme="minorEastAsia" w:cs="Arial"/>
          <w:sz w:val="24"/>
          <w:szCs w:val="24"/>
          <w:lang w:val="en-GB"/>
        </w:rPr>
        <w:t xml:space="preserve">  This will dispel the public’s doubt as to whether certain activities fall within the ambit of the reasonable excuse defence</w:t>
      </w:r>
      <w:r w:rsidRPr="00581C3B">
        <w:rPr>
          <w:rFonts w:eastAsiaTheme="minorEastAsia" w:cs="Arial"/>
          <w:sz w:val="24"/>
          <w:szCs w:val="24"/>
          <w:lang w:val="en-GB"/>
        </w:rPr>
        <w:t xml:space="preserve">, hence enhancing clarity of the </w:t>
      </w:r>
      <w:r w:rsidR="00CD4C76" w:rsidRPr="00581C3B">
        <w:rPr>
          <w:rFonts w:eastAsiaTheme="minorEastAsia" w:cs="Arial"/>
          <w:sz w:val="24"/>
          <w:szCs w:val="24"/>
          <w:lang w:val="en-GB"/>
        </w:rPr>
        <w:t xml:space="preserve">new </w:t>
      </w:r>
      <w:r w:rsidRPr="00581C3B">
        <w:rPr>
          <w:rFonts w:eastAsiaTheme="minorEastAsia" w:cs="Arial"/>
          <w:sz w:val="24"/>
          <w:szCs w:val="24"/>
          <w:lang w:val="en-GB"/>
        </w:rPr>
        <w:t>law</w:t>
      </w:r>
      <w:r w:rsidR="0054330D" w:rsidRPr="00581C3B">
        <w:rPr>
          <w:rFonts w:eastAsiaTheme="minorEastAsia" w:cs="Arial"/>
          <w:sz w:val="24"/>
          <w:szCs w:val="24"/>
          <w:lang w:val="en-GB"/>
        </w:rPr>
        <w:t>.</w:t>
      </w:r>
    </w:p>
    <w:p w14:paraId="31D9C831" w14:textId="46240185" w:rsidR="00FC7D0E" w:rsidRPr="00581C3B" w:rsidRDefault="00FC7D0E" w:rsidP="00FC7D0E">
      <w:pPr>
        <w:pStyle w:val="ListParagraph"/>
        <w:spacing w:after="240" w:line="240" w:lineRule="auto"/>
        <w:ind w:left="0"/>
        <w:contextualSpacing w:val="0"/>
        <w:rPr>
          <w:rFonts w:eastAsiaTheme="minorEastAsia" w:cs="Arial"/>
          <w:sz w:val="24"/>
          <w:szCs w:val="24"/>
          <w:lang w:val="en-GB"/>
        </w:rPr>
      </w:pPr>
      <w:r w:rsidRPr="00581C3B">
        <w:rPr>
          <w:rFonts w:cs="Arial"/>
          <w:b/>
          <w:i/>
          <w:sz w:val="24"/>
          <w:szCs w:val="24"/>
          <w:lang w:val="en-GB"/>
        </w:rPr>
        <w:t xml:space="preserve">Lawful activities conducted by </w:t>
      </w:r>
      <w:r w:rsidR="00472CB5" w:rsidRPr="00581C3B">
        <w:rPr>
          <w:rFonts w:eastAsia="DengXian" w:cs="Arial"/>
          <w:b/>
          <w:i/>
          <w:sz w:val="24"/>
          <w:szCs w:val="24"/>
        </w:rPr>
        <w:t>law enforcement agencies</w:t>
      </w:r>
      <w:r w:rsidR="00472CB5" w:rsidRPr="00581C3B">
        <w:rPr>
          <w:rFonts w:cs="Arial"/>
          <w:b/>
          <w:i/>
          <w:sz w:val="24"/>
          <w:szCs w:val="24"/>
          <w:lang w:val="en-GB"/>
        </w:rPr>
        <w:t xml:space="preserve"> (“</w:t>
      </w:r>
      <w:r w:rsidRPr="00581C3B">
        <w:rPr>
          <w:rFonts w:cs="Arial"/>
          <w:b/>
          <w:i/>
          <w:sz w:val="24"/>
          <w:szCs w:val="24"/>
          <w:lang w:val="en-GB"/>
        </w:rPr>
        <w:t>LEAs</w:t>
      </w:r>
      <w:r w:rsidR="00472CB5" w:rsidRPr="00581C3B">
        <w:rPr>
          <w:rFonts w:cs="Arial"/>
          <w:b/>
          <w:i/>
          <w:sz w:val="24"/>
          <w:szCs w:val="24"/>
          <w:lang w:val="en-GB"/>
        </w:rPr>
        <w:t>”</w:t>
      </w:r>
      <w:r w:rsidR="000852DD" w:rsidRPr="00581C3B">
        <w:rPr>
          <w:rFonts w:cs="Arial"/>
          <w:b/>
          <w:i/>
          <w:sz w:val="24"/>
          <w:szCs w:val="24"/>
          <w:lang w:val="en-GB"/>
        </w:rPr>
        <w:t>)</w:t>
      </w:r>
      <w:r w:rsidR="000852DD" w:rsidRPr="00581C3B">
        <w:rPr>
          <w:rFonts w:eastAsia="Arial Unicode MS" w:cs="Arial"/>
          <w:kern w:val="2"/>
          <w:sz w:val="24"/>
          <w:szCs w:val="24"/>
          <w:vertAlign w:val="superscript"/>
        </w:rPr>
        <w:footnoteReference w:id="10"/>
      </w:r>
    </w:p>
    <w:p w14:paraId="32B5AA7E" w14:textId="7ABF74BC" w:rsidR="00F2114E" w:rsidRPr="00A83F75" w:rsidRDefault="00472CB5"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Some Respondents sought clarifications as to whether LEAs which access computer program</w:t>
      </w:r>
      <w:r w:rsidR="000852DD" w:rsidRPr="00581C3B">
        <w:rPr>
          <w:rFonts w:eastAsiaTheme="minorEastAsia" w:cs="Arial"/>
          <w:sz w:val="24"/>
          <w:szCs w:val="24"/>
          <w:lang w:val="en-GB"/>
        </w:rPr>
        <w:t>s</w:t>
      </w:r>
      <w:r w:rsidRPr="00581C3B">
        <w:rPr>
          <w:rFonts w:eastAsiaTheme="minorEastAsia" w:cs="Arial"/>
          <w:sz w:val="24"/>
          <w:szCs w:val="24"/>
          <w:lang w:val="en-GB"/>
        </w:rPr>
        <w:t xml:space="preserve"> or data</w:t>
      </w:r>
      <w:r w:rsidR="004B7016">
        <w:rPr>
          <w:rFonts w:eastAsiaTheme="minorEastAsia" w:cs="Arial"/>
          <w:sz w:val="24"/>
          <w:szCs w:val="24"/>
          <w:lang w:val="en-GB"/>
        </w:rPr>
        <w:t xml:space="preserve"> with or without warrant</w:t>
      </w:r>
      <w:r w:rsidRPr="00581C3B">
        <w:rPr>
          <w:rFonts w:eastAsiaTheme="minorEastAsia" w:cs="Arial"/>
          <w:sz w:val="24"/>
          <w:szCs w:val="24"/>
          <w:lang w:val="en-GB"/>
        </w:rPr>
        <w:t xml:space="preserve"> for criminal investigation purposes would be exempted from criminal liability.  </w:t>
      </w:r>
      <w:r w:rsidR="00F2114E" w:rsidRPr="00581C3B">
        <w:rPr>
          <w:rFonts w:eastAsiaTheme="minorEastAsia" w:cs="Arial"/>
          <w:sz w:val="24"/>
          <w:szCs w:val="24"/>
          <w:lang w:val="en-GB"/>
        </w:rPr>
        <w:t xml:space="preserve">Since the </w:t>
      </w:r>
      <w:r w:rsidR="00FC7D0E" w:rsidRPr="00581C3B">
        <w:rPr>
          <w:rFonts w:eastAsiaTheme="minorEastAsia" w:cs="Arial"/>
          <w:sz w:val="24"/>
          <w:szCs w:val="24"/>
          <w:lang w:val="en-GB"/>
        </w:rPr>
        <w:t>A</w:t>
      </w:r>
      <w:r w:rsidR="00F2114E" w:rsidRPr="00581C3B">
        <w:rPr>
          <w:rFonts w:eastAsiaTheme="minorEastAsia" w:cs="Arial"/>
          <w:sz w:val="24"/>
          <w:szCs w:val="24"/>
          <w:lang w:val="en-GB"/>
        </w:rPr>
        <w:t xml:space="preserve">ccess </w:t>
      </w:r>
      <w:r w:rsidR="00FC7D0E" w:rsidRPr="00581C3B">
        <w:rPr>
          <w:rFonts w:eastAsiaTheme="minorEastAsia" w:cs="Arial"/>
          <w:sz w:val="24"/>
          <w:szCs w:val="24"/>
          <w:lang w:val="en-GB"/>
        </w:rPr>
        <w:t>O</w:t>
      </w:r>
      <w:r w:rsidR="00F2114E" w:rsidRPr="00581C3B">
        <w:rPr>
          <w:rFonts w:eastAsiaTheme="minorEastAsia" w:cs="Arial"/>
          <w:sz w:val="24"/>
          <w:szCs w:val="24"/>
          <w:lang w:val="en-GB"/>
        </w:rPr>
        <w:t>ffence does not intend to affect any lawful activities conducted by LEAs, we recommend adding “without lawful authority” as an element of the offence.  Whether “lawful authority” exists in a particular case is a question of fact.</w:t>
      </w:r>
      <w:r w:rsidR="00A83F75">
        <w:rPr>
          <w:rFonts w:eastAsiaTheme="minorEastAsia" w:cs="Arial"/>
          <w:sz w:val="24"/>
          <w:szCs w:val="24"/>
          <w:lang w:val="en-GB"/>
        </w:rPr>
        <w:t xml:space="preserve">  If a police officer</w:t>
      </w:r>
      <w:r w:rsidR="00A83F75" w:rsidRPr="00A83F75">
        <w:rPr>
          <w:rFonts w:eastAsiaTheme="minorEastAsia" w:cs="Arial"/>
          <w:sz w:val="24"/>
          <w:szCs w:val="24"/>
          <w:lang w:val="en-GB"/>
        </w:rPr>
        <w:t xml:space="preserve"> has </w:t>
      </w:r>
      <w:r w:rsidR="00A83F75" w:rsidRPr="00A83F75">
        <w:rPr>
          <w:rFonts w:cs="Arial"/>
          <w:sz w:val="24"/>
          <w:szCs w:val="24"/>
        </w:rPr>
        <w:t xml:space="preserve">obtained a search warrant issued by a magistrate for conducting a search on a mobile phone or other electronic devices, or has a reasonable basis for conducting a warrantless search on these devices such that the requirements laid down in </w:t>
      </w:r>
      <w:r w:rsidR="00A83F75" w:rsidRPr="00A83F75">
        <w:rPr>
          <w:rFonts w:cs="Arial"/>
          <w:i/>
          <w:sz w:val="24"/>
          <w:szCs w:val="24"/>
        </w:rPr>
        <w:t>Sham Wing Kan</w:t>
      </w:r>
      <w:r w:rsidR="00A83F75" w:rsidRPr="00A83F75">
        <w:rPr>
          <w:rFonts w:cs="Arial"/>
          <w:sz w:val="24"/>
          <w:szCs w:val="24"/>
        </w:rPr>
        <w:t xml:space="preserve"> </w:t>
      </w:r>
      <w:r w:rsidR="00FE02D6" w:rsidRPr="00FE02D6">
        <w:rPr>
          <w:rFonts w:cs="Arial"/>
          <w:i/>
          <w:sz w:val="24"/>
          <w:szCs w:val="24"/>
        </w:rPr>
        <w:t>v Commissioner of Police</w:t>
      </w:r>
      <w:r w:rsidR="00FE02D6" w:rsidRPr="00581C3B">
        <w:rPr>
          <w:rFonts w:eastAsia="Arial Unicode MS" w:cs="Arial"/>
          <w:kern w:val="2"/>
          <w:sz w:val="24"/>
          <w:szCs w:val="24"/>
          <w:vertAlign w:val="superscript"/>
        </w:rPr>
        <w:footnoteReference w:id="11"/>
      </w:r>
      <w:r w:rsidR="00FE02D6">
        <w:rPr>
          <w:rFonts w:cs="Arial"/>
          <w:sz w:val="24"/>
          <w:szCs w:val="24"/>
        </w:rPr>
        <w:t xml:space="preserve"> </w:t>
      </w:r>
      <w:r w:rsidR="00A83F75" w:rsidRPr="00A83F75">
        <w:rPr>
          <w:rFonts w:cs="Arial"/>
          <w:sz w:val="24"/>
          <w:szCs w:val="24"/>
        </w:rPr>
        <w:t>are satisfied, there is “</w:t>
      </w:r>
      <w:r w:rsidR="00A83F75" w:rsidRPr="008706C7">
        <w:rPr>
          <w:rFonts w:cs="Arial"/>
          <w:sz w:val="24"/>
          <w:szCs w:val="24"/>
        </w:rPr>
        <w:t>lawful authority”</w:t>
      </w:r>
      <w:r w:rsidR="00A83F75" w:rsidRPr="00A83F75">
        <w:rPr>
          <w:rFonts w:cs="Arial"/>
          <w:sz w:val="24"/>
          <w:szCs w:val="24"/>
        </w:rPr>
        <w:t xml:space="preserve"> for the access to program or data.  </w:t>
      </w:r>
      <w:r w:rsidR="00B16AFD">
        <w:rPr>
          <w:rFonts w:cs="Arial"/>
          <w:sz w:val="24"/>
          <w:szCs w:val="24"/>
        </w:rPr>
        <w:t xml:space="preserve">Moreover, </w:t>
      </w:r>
      <w:r w:rsidR="00A83F75" w:rsidRPr="00A83F75">
        <w:rPr>
          <w:rFonts w:cs="Arial"/>
          <w:sz w:val="24"/>
          <w:szCs w:val="24"/>
        </w:rPr>
        <w:t>access to program or data made</w:t>
      </w:r>
      <w:r w:rsidR="00B16AFD">
        <w:rPr>
          <w:rFonts w:cs="Arial"/>
          <w:sz w:val="24"/>
          <w:szCs w:val="24"/>
        </w:rPr>
        <w:t>, w</w:t>
      </w:r>
      <w:r w:rsidR="00B16AFD" w:rsidRPr="00A83F75">
        <w:rPr>
          <w:rFonts w:cs="Arial"/>
          <w:sz w:val="24"/>
          <w:szCs w:val="24"/>
        </w:rPr>
        <w:t>ith or without lawful authority,</w:t>
      </w:r>
      <w:r w:rsidR="00A83F75" w:rsidRPr="00A83F75">
        <w:rPr>
          <w:rFonts w:cs="Arial"/>
          <w:sz w:val="24"/>
          <w:szCs w:val="24"/>
        </w:rPr>
        <w:t xml:space="preserve"> in exigent situations may, in its own right, fall within the reasonable excuse defence.</w:t>
      </w:r>
      <w:r w:rsidR="00B16AFD">
        <w:rPr>
          <w:rFonts w:cs="Arial"/>
          <w:sz w:val="24"/>
          <w:szCs w:val="24"/>
        </w:rPr>
        <w:t xml:space="preserve">  Therefore, e</w:t>
      </w:r>
      <w:r w:rsidR="00A83F75" w:rsidRPr="00A83F75">
        <w:rPr>
          <w:rFonts w:cs="Arial"/>
          <w:sz w:val="24"/>
          <w:szCs w:val="24"/>
        </w:rPr>
        <w:t>ven for law enforcement purposes, we consider it appropriate that access to program or data without warrant, when it cannot be justified, should constitute the Access Offence.</w:t>
      </w:r>
    </w:p>
    <w:p w14:paraId="56993027" w14:textId="2F6749B8" w:rsidR="00F2114E" w:rsidRPr="00581C3B" w:rsidRDefault="00F2114E"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cs="Arial"/>
          <w:sz w:val="24"/>
          <w:szCs w:val="24"/>
          <w:lang w:val="en-GB"/>
        </w:rPr>
        <w:t xml:space="preserve">Our </w:t>
      </w:r>
      <w:r w:rsidRPr="00581C3B">
        <w:rPr>
          <w:rFonts w:cs="Arial"/>
          <w:b/>
          <w:sz w:val="24"/>
          <w:szCs w:val="24"/>
          <w:lang w:val="en-GB"/>
        </w:rPr>
        <w:t>Final Recommendation 1</w:t>
      </w:r>
      <w:r w:rsidRPr="00581C3B">
        <w:rPr>
          <w:rFonts w:cs="Arial"/>
          <w:sz w:val="24"/>
          <w:szCs w:val="24"/>
          <w:lang w:val="en-GB"/>
        </w:rPr>
        <w:t xml:space="preserve"> is thus as follows:</w:t>
      </w:r>
    </w:p>
    <w:p w14:paraId="2883F189" w14:textId="222DE7C0" w:rsidR="00F2114E" w:rsidRPr="00581C3B" w:rsidRDefault="00CC0AA3" w:rsidP="00ED0DF0">
      <w:pPr>
        <w:pStyle w:val="ListParagraph"/>
        <w:spacing w:after="240" w:line="240" w:lineRule="auto"/>
        <w:ind w:left="1440" w:right="720" w:hanging="720"/>
        <w:contextualSpacing w:val="0"/>
        <w:rPr>
          <w:rFonts w:eastAsiaTheme="minorEastAsia" w:cs="Arial"/>
          <w:i/>
          <w:sz w:val="24"/>
          <w:szCs w:val="24"/>
          <w:lang w:val="en-GB"/>
        </w:rPr>
      </w:pPr>
      <w:r w:rsidRPr="00581C3B">
        <w:rPr>
          <w:rFonts w:eastAsiaTheme="minorEastAsia" w:cs="Arial"/>
          <w:i/>
          <w:sz w:val="24"/>
          <w:szCs w:val="24"/>
          <w:lang w:val="en-GB"/>
        </w:rPr>
        <w:t>“We recommend that:</w:t>
      </w:r>
    </w:p>
    <w:p w14:paraId="5620698B" w14:textId="7BC07CAD" w:rsidR="00CC0AA3" w:rsidRPr="00581C3B" w:rsidRDefault="00CC0AA3" w:rsidP="00ED0DF0">
      <w:pPr>
        <w:pStyle w:val="ListParagraph"/>
        <w:numPr>
          <w:ilvl w:val="0"/>
          <w:numId w:val="19"/>
        </w:numPr>
        <w:spacing w:after="240" w:line="240" w:lineRule="auto"/>
        <w:ind w:left="1440" w:right="720" w:hanging="720"/>
        <w:contextualSpacing w:val="0"/>
        <w:rPr>
          <w:rFonts w:eastAsiaTheme="minorEastAsia" w:cs="Arial"/>
          <w:i/>
          <w:sz w:val="24"/>
          <w:szCs w:val="24"/>
          <w:lang w:val="en-GB"/>
        </w:rPr>
      </w:pPr>
      <w:r w:rsidRPr="00581C3B">
        <w:rPr>
          <w:rFonts w:eastAsiaTheme="minorEastAsia" w:cs="Arial"/>
          <w:i/>
          <w:sz w:val="24"/>
          <w:szCs w:val="24"/>
          <w:lang w:val="en-GB"/>
        </w:rPr>
        <w:t>Subject to a statutory defence of reasonable excuse, unauthorised access to program or data without lawful authority should be a summary offence under the new legislation.</w:t>
      </w:r>
    </w:p>
    <w:p w14:paraId="227C020B" w14:textId="279021CC" w:rsidR="00CC0AA3" w:rsidRPr="00581C3B" w:rsidRDefault="00CC0AA3" w:rsidP="00ED0DF0">
      <w:pPr>
        <w:pStyle w:val="ListParagraph"/>
        <w:numPr>
          <w:ilvl w:val="0"/>
          <w:numId w:val="19"/>
        </w:numPr>
        <w:spacing w:after="240" w:line="240" w:lineRule="auto"/>
        <w:ind w:left="1440" w:right="720" w:hanging="720"/>
        <w:contextualSpacing w:val="0"/>
        <w:rPr>
          <w:rFonts w:eastAsiaTheme="minorEastAsia" w:cs="Arial"/>
          <w:i/>
          <w:sz w:val="24"/>
          <w:szCs w:val="24"/>
          <w:lang w:val="en-GB"/>
        </w:rPr>
      </w:pPr>
      <w:r w:rsidRPr="00581C3B">
        <w:rPr>
          <w:rFonts w:eastAsiaTheme="minorEastAsia" w:cs="Arial"/>
          <w:i/>
          <w:sz w:val="24"/>
          <w:szCs w:val="24"/>
          <w:lang w:val="en-GB"/>
        </w:rPr>
        <w:t>The mens rea of the proposed offence are that:</w:t>
      </w:r>
    </w:p>
    <w:p w14:paraId="5F6D462E" w14:textId="3ED06157" w:rsidR="00CC0AA3" w:rsidRPr="00581C3B" w:rsidRDefault="00B16AFD" w:rsidP="008706C7">
      <w:pPr>
        <w:pStyle w:val="ListParagraph"/>
        <w:numPr>
          <w:ilvl w:val="0"/>
          <w:numId w:val="20"/>
        </w:numPr>
        <w:spacing w:afterLines="50" w:after="120" w:line="240" w:lineRule="auto"/>
        <w:ind w:left="2160" w:right="720" w:hanging="720"/>
        <w:contextualSpacing w:val="0"/>
        <w:rPr>
          <w:rFonts w:eastAsiaTheme="minorEastAsia" w:cs="Arial"/>
          <w:i/>
          <w:sz w:val="24"/>
          <w:szCs w:val="24"/>
          <w:lang w:val="en-GB"/>
        </w:rPr>
      </w:pPr>
      <w:r>
        <w:rPr>
          <w:rFonts w:eastAsiaTheme="minorEastAsia" w:cs="Arial"/>
          <w:i/>
          <w:sz w:val="24"/>
          <w:szCs w:val="24"/>
          <w:lang w:val="en-GB"/>
        </w:rPr>
        <w:t>t</w:t>
      </w:r>
      <w:r w:rsidR="00CC0AA3" w:rsidRPr="00581C3B">
        <w:rPr>
          <w:rFonts w:eastAsiaTheme="minorEastAsia" w:cs="Arial"/>
          <w:i/>
          <w:sz w:val="24"/>
          <w:szCs w:val="24"/>
          <w:lang w:val="en-GB"/>
        </w:rPr>
        <w:t>he defendant intends to secure access to the program or data, or intends to enable such access to be secured</w:t>
      </w:r>
      <w:r w:rsidR="00803091">
        <w:rPr>
          <w:rFonts w:eastAsiaTheme="minorEastAsia" w:cs="Arial"/>
          <w:i/>
          <w:sz w:val="24"/>
          <w:szCs w:val="24"/>
          <w:lang w:val="en-GB"/>
        </w:rPr>
        <w:t>; and</w:t>
      </w:r>
    </w:p>
    <w:p w14:paraId="00C993C0" w14:textId="5B331CD9" w:rsidR="00CC0AA3" w:rsidRPr="00581C3B" w:rsidRDefault="00B16AFD" w:rsidP="00891E8D">
      <w:pPr>
        <w:pStyle w:val="ListParagraph"/>
        <w:numPr>
          <w:ilvl w:val="0"/>
          <w:numId w:val="20"/>
        </w:numPr>
        <w:spacing w:after="240" w:line="240" w:lineRule="auto"/>
        <w:ind w:left="2160" w:right="720" w:hanging="720"/>
        <w:contextualSpacing w:val="0"/>
        <w:rPr>
          <w:rFonts w:eastAsiaTheme="minorEastAsia" w:cs="Arial"/>
          <w:i/>
          <w:sz w:val="24"/>
          <w:szCs w:val="24"/>
          <w:lang w:val="en-GB"/>
        </w:rPr>
      </w:pPr>
      <w:r>
        <w:rPr>
          <w:rFonts w:eastAsiaTheme="minorEastAsia" w:cs="Arial"/>
          <w:i/>
          <w:sz w:val="24"/>
          <w:szCs w:val="24"/>
          <w:lang w:val="en-GB"/>
        </w:rPr>
        <w:t>t</w:t>
      </w:r>
      <w:r w:rsidR="00CC0AA3" w:rsidRPr="00581C3B">
        <w:rPr>
          <w:rFonts w:eastAsiaTheme="minorEastAsia" w:cs="Arial"/>
          <w:i/>
          <w:sz w:val="24"/>
          <w:szCs w:val="24"/>
          <w:lang w:val="en-GB"/>
        </w:rPr>
        <w:t>he defendant knows that the intended access to the program or data was unauthorised when he makes the access.</w:t>
      </w:r>
    </w:p>
    <w:p w14:paraId="788113E2" w14:textId="2F5B7510" w:rsidR="00CC0AA3" w:rsidRPr="00581C3B" w:rsidRDefault="00CC0AA3" w:rsidP="00ED0DF0">
      <w:pPr>
        <w:pStyle w:val="ListParagraph"/>
        <w:numPr>
          <w:ilvl w:val="0"/>
          <w:numId w:val="19"/>
        </w:numPr>
        <w:spacing w:after="240"/>
        <w:ind w:left="1440" w:right="720" w:hanging="720"/>
        <w:contextualSpacing w:val="0"/>
        <w:rPr>
          <w:rFonts w:eastAsiaTheme="minorEastAsia" w:cs="Arial"/>
          <w:i/>
          <w:sz w:val="24"/>
          <w:szCs w:val="24"/>
        </w:rPr>
      </w:pPr>
      <w:r w:rsidRPr="00581C3B">
        <w:rPr>
          <w:rFonts w:cs="Arial"/>
          <w:i/>
          <w:sz w:val="24"/>
          <w:szCs w:val="24"/>
        </w:rPr>
        <w:t>Unauthorised access to program or data with intent to carry out further criminal activity should constitute an aggravated form of the offence attracting a higher sentence under the new legislation.</w:t>
      </w:r>
    </w:p>
    <w:p w14:paraId="65831323" w14:textId="01B5861F" w:rsidR="00CC0AA3" w:rsidRPr="00581C3B" w:rsidRDefault="00CC0AA3" w:rsidP="008706C7">
      <w:pPr>
        <w:pStyle w:val="ListParagraph"/>
        <w:keepNext/>
        <w:widowControl/>
        <w:numPr>
          <w:ilvl w:val="0"/>
          <w:numId w:val="19"/>
        </w:numPr>
        <w:spacing w:beforeLines="100" w:before="240" w:afterLines="100" w:after="240"/>
        <w:ind w:left="1440" w:right="720" w:hanging="720"/>
        <w:contextualSpacing w:val="0"/>
        <w:rPr>
          <w:rFonts w:eastAsiaTheme="minorEastAsia" w:cs="Arial"/>
          <w:i/>
          <w:sz w:val="24"/>
          <w:szCs w:val="24"/>
        </w:rPr>
      </w:pPr>
      <w:r w:rsidRPr="00581C3B">
        <w:rPr>
          <w:rFonts w:cs="Arial"/>
          <w:i/>
          <w:sz w:val="24"/>
          <w:szCs w:val="24"/>
        </w:rPr>
        <w:lastRenderedPageBreak/>
        <w:t xml:space="preserve">The proposed provisions of the new legislation should be modelled on </w:t>
      </w:r>
      <w:r w:rsidR="00E767AF" w:rsidRPr="00581C3B">
        <w:rPr>
          <w:rFonts w:cs="Arial"/>
          <w:i/>
          <w:sz w:val="24"/>
          <w:szCs w:val="24"/>
        </w:rPr>
        <w:t>sections 1</w:t>
      </w:r>
      <w:r w:rsidR="006B4C31">
        <w:rPr>
          <w:rFonts w:cs="Arial"/>
          <w:i/>
          <w:sz w:val="24"/>
          <w:szCs w:val="24"/>
        </w:rPr>
        <w:t>, 2</w:t>
      </w:r>
      <w:r w:rsidR="00E767AF" w:rsidRPr="00581C3B">
        <w:rPr>
          <w:rFonts w:cs="Arial"/>
          <w:i/>
          <w:sz w:val="24"/>
          <w:szCs w:val="24"/>
        </w:rPr>
        <w:t xml:space="preserve"> and </w:t>
      </w:r>
      <w:r w:rsidR="006B4C31">
        <w:rPr>
          <w:rFonts w:cs="Arial"/>
          <w:i/>
          <w:sz w:val="24"/>
          <w:szCs w:val="24"/>
        </w:rPr>
        <w:t>17</w:t>
      </w:r>
      <w:r w:rsidR="00E767AF" w:rsidRPr="00581C3B">
        <w:rPr>
          <w:rFonts w:cs="Arial"/>
          <w:i/>
          <w:sz w:val="24"/>
          <w:szCs w:val="24"/>
        </w:rPr>
        <w:t xml:space="preserve"> of the Computer Misuse Act of England and Wales</w:t>
      </w:r>
      <w:r w:rsidRPr="00581C3B">
        <w:rPr>
          <w:rFonts w:cs="Arial"/>
          <w:i/>
          <w:sz w:val="24"/>
          <w:szCs w:val="24"/>
        </w:rPr>
        <w:t>.</w:t>
      </w:r>
      <w:r w:rsidR="006D1FBA" w:rsidRPr="00581C3B">
        <w:rPr>
          <w:rFonts w:cs="Arial"/>
          <w:i/>
          <w:sz w:val="24"/>
          <w:szCs w:val="24"/>
        </w:rPr>
        <w:t>”</w:t>
      </w:r>
    </w:p>
    <w:p w14:paraId="4A389BC1" w14:textId="223EE196" w:rsidR="00F529FF" w:rsidRPr="00581C3B" w:rsidRDefault="006D1FBA" w:rsidP="006D1FBA">
      <w:pPr>
        <w:pStyle w:val="Heading2"/>
        <w:spacing w:after="240"/>
        <w:rPr>
          <w:rFonts w:cs="Arial"/>
          <w:sz w:val="24"/>
        </w:rPr>
      </w:pPr>
      <w:r w:rsidRPr="00581C3B">
        <w:rPr>
          <w:rFonts w:cs="Arial"/>
          <w:i/>
          <w:sz w:val="24"/>
        </w:rPr>
        <w:t>Consultation question</w:t>
      </w:r>
      <w:r w:rsidR="00FC7D0E" w:rsidRPr="00581C3B">
        <w:rPr>
          <w:rFonts w:cs="Arial"/>
          <w:i/>
          <w:sz w:val="24"/>
        </w:rPr>
        <w:t xml:space="preserve"> in Recommendation 2</w:t>
      </w:r>
    </w:p>
    <w:p w14:paraId="27BDCE8E" w14:textId="60BA077E" w:rsidR="007D51E9" w:rsidRPr="00581C3B" w:rsidRDefault="006D1FBA" w:rsidP="007D51E9">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Recommendation 2 in the CP invited submissions on whether there should be any specific defence or exemption for unauthorised access.  The question consisted of several parts, namely:</w:t>
      </w:r>
    </w:p>
    <w:p w14:paraId="54F3DF27" w14:textId="16C9D53E" w:rsidR="006D1FBA" w:rsidRPr="00581C3B" w:rsidRDefault="006D1FBA" w:rsidP="00891E8D">
      <w:pPr>
        <w:pStyle w:val="ListParagraph"/>
        <w:spacing w:afterLines="100" w:after="240" w:line="240" w:lineRule="auto"/>
        <w:ind w:left="1440" w:right="720" w:hanging="720"/>
        <w:contextualSpacing w:val="0"/>
        <w:rPr>
          <w:rFonts w:cs="Arial"/>
          <w:i/>
          <w:sz w:val="24"/>
          <w:szCs w:val="24"/>
        </w:rPr>
      </w:pPr>
      <w:r w:rsidRPr="00581C3B">
        <w:rPr>
          <w:rFonts w:cs="Arial"/>
          <w:sz w:val="24"/>
          <w:szCs w:val="24"/>
          <w:lang w:val="en-GB"/>
        </w:rPr>
        <w:t>“</w:t>
      </w:r>
      <w:r w:rsidRPr="00581C3B">
        <w:rPr>
          <w:rFonts w:cs="Arial"/>
          <w:i/>
          <w:sz w:val="24"/>
          <w:szCs w:val="24"/>
          <w:lang w:val="en-GB"/>
        </w:rPr>
        <w:t>(a)</w:t>
      </w:r>
      <w:r w:rsidR="00D4689F" w:rsidRPr="00581C3B">
        <w:rPr>
          <w:rFonts w:cs="Arial"/>
          <w:i/>
          <w:sz w:val="24"/>
          <w:szCs w:val="24"/>
          <w:lang w:val="en-GB"/>
        </w:rPr>
        <w:tab/>
      </w:r>
      <w:r w:rsidRPr="00581C3B">
        <w:rPr>
          <w:rFonts w:cs="Arial"/>
          <w:i/>
          <w:sz w:val="24"/>
          <w:szCs w:val="24"/>
        </w:rPr>
        <w:t>If the answer is yes for cybersecurity purposes, in what terms?  For</w:t>
      </w:r>
      <w:r w:rsidR="008706C7">
        <w:rPr>
          <w:rFonts w:cs="Arial"/>
          <w:i/>
          <w:sz w:val="24"/>
          <w:szCs w:val="24"/>
        </w:rPr>
        <w:t xml:space="preserve"> </w:t>
      </w:r>
      <w:r w:rsidRPr="00581C3B">
        <w:rPr>
          <w:rFonts w:cs="Arial"/>
          <w:i/>
          <w:sz w:val="24"/>
          <w:szCs w:val="24"/>
        </w:rPr>
        <w:t>example:</w:t>
      </w:r>
    </w:p>
    <w:p w14:paraId="15BA5E59" w14:textId="7224B11B" w:rsidR="006D1FBA" w:rsidRPr="00581C3B" w:rsidRDefault="006D1FBA" w:rsidP="008706C7">
      <w:pPr>
        <w:pStyle w:val="ListParagraph"/>
        <w:numPr>
          <w:ilvl w:val="0"/>
          <w:numId w:val="21"/>
        </w:numPr>
        <w:spacing w:afterLines="50" w:after="120" w:line="240" w:lineRule="auto"/>
        <w:ind w:left="2160" w:right="720"/>
        <w:contextualSpacing w:val="0"/>
        <w:rPr>
          <w:rFonts w:cs="Arial"/>
          <w:i/>
          <w:sz w:val="24"/>
          <w:szCs w:val="24"/>
          <w:lang w:val="en-GB"/>
        </w:rPr>
      </w:pPr>
      <w:r w:rsidRPr="00581C3B">
        <w:rPr>
          <w:rFonts w:cs="Arial"/>
          <w:i/>
          <w:sz w:val="24"/>
          <w:szCs w:val="24"/>
        </w:rPr>
        <w:t>should the defence or exemption apply only to a person who is accredited by a recognised professional or accreditation body?</w:t>
      </w:r>
    </w:p>
    <w:p w14:paraId="04AB490E" w14:textId="1C5197A8" w:rsidR="006D1FBA" w:rsidRPr="00581C3B" w:rsidRDefault="006D1FBA" w:rsidP="008706C7">
      <w:pPr>
        <w:pStyle w:val="ListParagraph"/>
        <w:numPr>
          <w:ilvl w:val="0"/>
          <w:numId w:val="21"/>
        </w:numPr>
        <w:spacing w:afterLines="50" w:after="120" w:line="240" w:lineRule="auto"/>
        <w:ind w:left="2160" w:right="720"/>
        <w:contextualSpacing w:val="0"/>
        <w:rPr>
          <w:rFonts w:cs="Arial"/>
          <w:i/>
          <w:sz w:val="24"/>
          <w:szCs w:val="24"/>
          <w:lang w:val="en-GB"/>
        </w:rPr>
      </w:pPr>
      <w:r w:rsidRPr="00581C3B">
        <w:rPr>
          <w:rFonts w:cs="Arial"/>
          <w:i/>
          <w:sz w:val="24"/>
          <w:szCs w:val="24"/>
        </w:rPr>
        <w:t xml:space="preserve">if the answer to subparagraph (i) is yes, how should the accreditation regime work </w:t>
      </w:r>
      <w:r w:rsidR="001D6403" w:rsidRPr="00581C3B">
        <w:rPr>
          <w:rFonts w:cs="Arial"/>
          <w:i/>
          <w:sz w:val="24"/>
          <w:szCs w:val="24"/>
        </w:rPr>
        <w:t>…</w:t>
      </w:r>
      <w:r w:rsidRPr="00581C3B">
        <w:rPr>
          <w:rFonts w:cs="Arial"/>
          <w:i/>
          <w:sz w:val="24"/>
          <w:szCs w:val="24"/>
        </w:rPr>
        <w:t>?</w:t>
      </w:r>
    </w:p>
    <w:p w14:paraId="1B150758" w14:textId="64C53410" w:rsidR="006D1FBA" w:rsidRPr="00581C3B" w:rsidRDefault="006D1FBA" w:rsidP="00891E8D">
      <w:pPr>
        <w:pStyle w:val="ListParagraph"/>
        <w:numPr>
          <w:ilvl w:val="0"/>
          <w:numId w:val="21"/>
        </w:numPr>
        <w:spacing w:afterLines="100" w:after="240" w:line="240" w:lineRule="auto"/>
        <w:ind w:left="2160" w:right="720"/>
        <w:contextualSpacing w:val="0"/>
        <w:rPr>
          <w:rFonts w:cs="Arial"/>
          <w:i/>
          <w:sz w:val="24"/>
          <w:szCs w:val="24"/>
          <w:lang w:val="en-GB"/>
        </w:rPr>
      </w:pPr>
      <w:r w:rsidRPr="00581C3B">
        <w:rPr>
          <w:rFonts w:cs="Arial"/>
          <w:i/>
          <w:sz w:val="24"/>
          <w:szCs w:val="24"/>
        </w:rPr>
        <w:t>alternatively, if an accreditation regime is not preferred, should the new bespoke cybercrime legislation prescribe the requirements for putative cybersecurity professionals to invoke the proposed defence or exemption for cybersecurity purposes?  If so, what should these requirements be?</w:t>
      </w:r>
    </w:p>
    <w:p w14:paraId="7C6B4883" w14:textId="67733E1F" w:rsidR="006D1FBA" w:rsidRPr="00581C3B" w:rsidRDefault="006D1FBA" w:rsidP="00891E8D">
      <w:pPr>
        <w:spacing w:afterLines="100" w:after="240"/>
        <w:ind w:left="1440" w:right="720" w:hanging="720"/>
        <w:rPr>
          <w:rFonts w:cs="Arial"/>
        </w:rPr>
      </w:pPr>
      <w:r w:rsidRPr="00581C3B">
        <w:rPr>
          <w:rFonts w:cs="Arial" w:hint="eastAsia"/>
          <w:i/>
        </w:rPr>
        <w:t>(</w:t>
      </w:r>
      <w:r w:rsidRPr="00581C3B">
        <w:rPr>
          <w:rFonts w:cs="Arial"/>
          <w:i/>
        </w:rPr>
        <w:t>b)</w:t>
      </w:r>
      <w:r w:rsidR="00891E8D" w:rsidRPr="00581C3B">
        <w:rPr>
          <w:rFonts w:cs="Arial"/>
          <w:i/>
        </w:rPr>
        <w:tab/>
      </w:r>
      <w:r w:rsidRPr="00581C3B">
        <w:rPr>
          <w:rFonts w:cs="Arial"/>
          <w:i/>
        </w:rPr>
        <w:t>Should the defence or exemption apply to non</w:t>
      </w:r>
      <w:r w:rsidRPr="00581C3B">
        <w:rPr>
          <w:rFonts w:cs="Arial"/>
          <w:i/>
        </w:rPr>
        <w:noBreakHyphen/>
        <w:t>security professionals (please see the examples in Recommendation 8(b))?</w:t>
      </w:r>
      <w:r w:rsidRPr="00581C3B">
        <w:rPr>
          <w:rFonts w:cs="Arial"/>
        </w:rPr>
        <w:t>”</w:t>
      </w:r>
    </w:p>
    <w:p w14:paraId="63B31858" w14:textId="7A4A4475" w:rsidR="001D1F64" w:rsidRPr="00581C3B" w:rsidRDefault="005E0DFE" w:rsidP="00765211">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eastAsiaTheme="minorEastAsia" w:cs="Arial" w:hint="eastAsia"/>
          <w:sz w:val="24"/>
          <w:szCs w:val="24"/>
          <w:lang w:val="en-GB"/>
        </w:rPr>
        <w:t xml:space="preserve">An overwhelming majority of the Respondents supported </w:t>
      </w:r>
      <w:r w:rsidR="00FC7D0E" w:rsidRPr="00581C3B">
        <w:rPr>
          <w:rFonts w:eastAsiaTheme="minorEastAsia" w:cs="Arial"/>
          <w:sz w:val="24"/>
          <w:szCs w:val="24"/>
          <w:lang w:val="en-GB"/>
        </w:rPr>
        <w:t>a specific cybersecurity defence as they saw value in the work of white hat hackers and other cybersecurity pr</w:t>
      </w:r>
      <w:r w:rsidR="001C3499" w:rsidRPr="00581C3B">
        <w:rPr>
          <w:rFonts w:eastAsiaTheme="minorEastAsia" w:cs="Arial"/>
          <w:sz w:val="24"/>
          <w:szCs w:val="24"/>
          <w:lang w:val="en-GB"/>
        </w:rPr>
        <w:t>ofessionals</w:t>
      </w:r>
      <w:r w:rsidR="00FC7D0E" w:rsidRPr="00581C3B">
        <w:rPr>
          <w:rFonts w:eastAsiaTheme="minorEastAsia" w:cs="Arial"/>
          <w:sz w:val="24"/>
          <w:szCs w:val="24"/>
          <w:lang w:val="en-GB"/>
        </w:rPr>
        <w:t xml:space="preserve"> in detecting cybersecurity threats and vulnerabilities</w:t>
      </w:r>
      <w:r w:rsidRPr="00581C3B">
        <w:rPr>
          <w:rFonts w:eastAsiaTheme="minorEastAsia" w:cs="Arial" w:hint="eastAsia"/>
          <w:sz w:val="24"/>
          <w:szCs w:val="24"/>
          <w:lang w:val="en-GB"/>
        </w:rPr>
        <w:t>.</w:t>
      </w:r>
      <w:r w:rsidRPr="00581C3B">
        <w:rPr>
          <w:rFonts w:eastAsiaTheme="minorEastAsia" w:cs="Arial"/>
          <w:sz w:val="24"/>
          <w:szCs w:val="24"/>
          <w:lang w:val="en-GB"/>
        </w:rPr>
        <w:t xml:space="preserve">  </w:t>
      </w:r>
      <w:r w:rsidR="003F1C90" w:rsidRPr="00581C3B">
        <w:rPr>
          <w:rFonts w:eastAsiaTheme="minorEastAsia" w:cs="Arial"/>
          <w:sz w:val="24"/>
          <w:szCs w:val="24"/>
          <w:lang w:val="en-GB"/>
        </w:rPr>
        <w:t xml:space="preserve">On the other hand, </w:t>
      </w:r>
      <w:r w:rsidR="00FC7D0E" w:rsidRPr="00581C3B">
        <w:rPr>
          <w:rFonts w:eastAsiaTheme="minorEastAsia" w:cs="Arial"/>
          <w:sz w:val="24"/>
          <w:szCs w:val="24"/>
          <w:lang w:val="en-GB"/>
        </w:rPr>
        <w:t>the</w:t>
      </w:r>
      <w:r w:rsidRPr="00581C3B">
        <w:rPr>
          <w:rFonts w:eastAsiaTheme="minorEastAsia" w:cs="Arial"/>
          <w:sz w:val="24"/>
          <w:szCs w:val="24"/>
          <w:lang w:val="en-GB"/>
        </w:rPr>
        <w:t xml:space="preserve"> few Respondents </w:t>
      </w:r>
      <w:r w:rsidR="00FC7D0E" w:rsidRPr="00581C3B">
        <w:rPr>
          <w:rFonts w:eastAsiaTheme="minorEastAsia" w:cs="Arial"/>
          <w:sz w:val="24"/>
          <w:szCs w:val="24"/>
          <w:lang w:val="en-GB"/>
        </w:rPr>
        <w:t xml:space="preserve">who </w:t>
      </w:r>
      <w:r w:rsidRPr="00581C3B">
        <w:rPr>
          <w:rFonts w:eastAsiaTheme="minorEastAsia" w:cs="Arial"/>
          <w:sz w:val="24"/>
          <w:szCs w:val="24"/>
          <w:lang w:val="en-GB"/>
        </w:rPr>
        <w:t xml:space="preserve">opposed </w:t>
      </w:r>
      <w:r w:rsidR="00C4550B" w:rsidRPr="00581C3B">
        <w:rPr>
          <w:rFonts w:eastAsiaTheme="minorEastAsia" w:cs="Arial"/>
          <w:sz w:val="24"/>
          <w:szCs w:val="24"/>
          <w:lang w:val="en-GB"/>
        </w:rPr>
        <w:t xml:space="preserve">such </w:t>
      </w:r>
      <w:r w:rsidRPr="00581C3B">
        <w:rPr>
          <w:rFonts w:eastAsiaTheme="minorEastAsia" w:cs="Arial"/>
          <w:sz w:val="24"/>
          <w:szCs w:val="24"/>
          <w:lang w:val="en-GB"/>
        </w:rPr>
        <w:t>a specific defence</w:t>
      </w:r>
      <w:r w:rsidR="00FC7D0E" w:rsidRPr="00581C3B">
        <w:rPr>
          <w:rFonts w:eastAsiaTheme="minorEastAsia" w:cs="Arial"/>
          <w:sz w:val="24"/>
          <w:szCs w:val="24"/>
          <w:lang w:val="en-GB"/>
        </w:rPr>
        <w:t xml:space="preserve"> </w:t>
      </w:r>
      <w:r w:rsidR="008A6817" w:rsidRPr="00581C3B">
        <w:rPr>
          <w:rFonts w:eastAsiaTheme="minorEastAsia" w:cs="Arial"/>
          <w:sz w:val="24"/>
          <w:szCs w:val="24"/>
          <w:lang w:val="en-GB"/>
        </w:rPr>
        <w:t>did not favour what</w:t>
      </w:r>
      <w:r w:rsidRPr="00581C3B">
        <w:rPr>
          <w:rFonts w:eastAsiaTheme="minorEastAsia" w:cs="Arial"/>
          <w:sz w:val="24"/>
          <w:szCs w:val="24"/>
          <w:lang w:val="en-GB"/>
        </w:rPr>
        <w:t xml:space="preserve"> would effectively</w:t>
      </w:r>
      <w:r w:rsidR="008A6817" w:rsidRPr="00581C3B">
        <w:rPr>
          <w:rFonts w:eastAsiaTheme="minorEastAsia" w:cs="Arial"/>
          <w:sz w:val="24"/>
          <w:szCs w:val="24"/>
          <w:lang w:val="en-GB"/>
        </w:rPr>
        <w:t xml:space="preserve"> be the</w:t>
      </w:r>
      <w:r w:rsidRPr="00581C3B">
        <w:rPr>
          <w:rFonts w:eastAsiaTheme="minorEastAsia" w:cs="Arial"/>
          <w:sz w:val="24"/>
          <w:szCs w:val="24"/>
          <w:lang w:val="en-GB"/>
        </w:rPr>
        <w:t xml:space="preserve"> creat</w:t>
      </w:r>
      <w:r w:rsidR="008A6817" w:rsidRPr="00581C3B">
        <w:rPr>
          <w:rFonts w:eastAsiaTheme="minorEastAsia" w:cs="Arial"/>
          <w:sz w:val="24"/>
          <w:szCs w:val="24"/>
          <w:lang w:val="en-GB"/>
        </w:rPr>
        <w:t>ion of</w:t>
      </w:r>
      <w:r w:rsidRPr="00581C3B">
        <w:rPr>
          <w:rFonts w:eastAsiaTheme="minorEastAsia" w:cs="Arial"/>
          <w:sz w:val="24"/>
          <w:szCs w:val="24"/>
          <w:lang w:val="en-GB"/>
        </w:rPr>
        <w:t xml:space="preserve"> a “privileged class”</w:t>
      </w:r>
      <w:r w:rsidR="00FC7D0E" w:rsidRPr="00581C3B">
        <w:rPr>
          <w:rFonts w:eastAsiaTheme="minorEastAsia" w:cs="Arial"/>
          <w:sz w:val="24"/>
          <w:szCs w:val="24"/>
          <w:lang w:val="en-GB"/>
        </w:rPr>
        <w:t xml:space="preserve">.  They opined that the specific defence </w:t>
      </w:r>
      <w:r w:rsidRPr="00581C3B">
        <w:rPr>
          <w:rFonts w:eastAsiaTheme="minorEastAsia" w:cs="Arial"/>
          <w:sz w:val="24"/>
          <w:szCs w:val="24"/>
          <w:lang w:val="en-GB"/>
        </w:rPr>
        <w:t xml:space="preserve">should </w:t>
      </w:r>
      <w:r w:rsidR="00535D40" w:rsidRPr="00581C3B">
        <w:rPr>
          <w:rFonts w:eastAsiaTheme="minorEastAsia" w:cs="Arial"/>
          <w:sz w:val="24"/>
          <w:szCs w:val="24"/>
          <w:lang w:val="en-GB"/>
        </w:rPr>
        <w:t xml:space="preserve">be available </w:t>
      </w:r>
      <w:r w:rsidRPr="00581C3B">
        <w:rPr>
          <w:rFonts w:eastAsiaTheme="minorEastAsia" w:cs="Arial"/>
          <w:sz w:val="24"/>
          <w:szCs w:val="24"/>
          <w:lang w:val="en-GB"/>
        </w:rPr>
        <w:t>to everyone, but not only to persons accredited by a recognised professional or accreditation body</w:t>
      </w:r>
      <w:r w:rsidR="00D22CB9" w:rsidRPr="00581C3B">
        <w:rPr>
          <w:rFonts w:eastAsiaTheme="minorEastAsia" w:cs="Arial"/>
          <w:sz w:val="24"/>
          <w:szCs w:val="24"/>
          <w:lang w:val="en-GB"/>
        </w:rPr>
        <w:t xml:space="preserve"> regardless of</w:t>
      </w:r>
      <w:r w:rsidR="002E0F54" w:rsidRPr="00581C3B">
        <w:rPr>
          <w:rFonts w:eastAsiaTheme="minorEastAsia" w:cs="Arial"/>
          <w:sz w:val="24"/>
          <w:szCs w:val="24"/>
          <w:lang w:val="en-GB"/>
        </w:rPr>
        <w:t xml:space="preserve"> intention</w:t>
      </w:r>
      <w:r w:rsidRPr="00581C3B">
        <w:rPr>
          <w:rFonts w:eastAsiaTheme="minorEastAsia" w:cs="Arial"/>
          <w:sz w:val="24"/>
          <w:szCs w:val="24"/>
          <w:lang w:val="en-GB"/>
        </w:rPr>
        <w:t>.</w:t>
      </w:r>
    </w:p>
    <w:p w14:paraId="1D5CDD8D" w14:textId="54D9CC96" w:rsidR="005E0DFE" w:rsidRPr="00581C3B" w:rsidRDefault="0069715F" w:rsidP="00765211">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eastAsiaTheme="minorEastAsia" w:cs="Arial"/>
          <w:sz w:val="24"/>
          <w:szCs w:val="24"/>
          <w:lang w:val="en-GB"/>
        </w:rPr>
        <w:t>In line with the general consensus that a specific defence for unauthorised access is desirable, a clear majority of the Respondents agreed that an accreditation regime should be put in place.  Some agreed that the establishment of an accreditation body and a properly recognised cybersecurity profession would bring long-term benefits to Hong Kong.</w:t>
      </w:r>
    </w:p>
    <w:p w14:paraId="68B9D0CB" w14:textId="2F9E66C2" w:rsidR="004F69BD" w:rsidRPr="00581C3B" w:rsidRDefault="0069715F" w:rsidP="004F69BD">
      <w:pPr>
        <w:pStyle w:val="ListParagraph"/>
        <w:widowControl/>
        <w:spacing w:after="240" w:line="240" w:lineRule="auto"/>
        <w:ind w:left="0"/>
        <w:contextualSpacing w:val="0"/>
        <w:rPr>
          <w:rFonts w:cs="Arial"/>
          <w:sz w:val="24"/>
          <w:szCs w:val="24"/>
          <w:lang w:val="en-GB"/>
        </w:rPr>
      </w:pPr>
      <w:r w:rsidRPr="00581C3B">
        <w:rPr>
          <w:rFonts w:cs="Arial"/>
          <w:b/>
          <w:i/>
          <w:sz w:val="24"/>
          <w:szCs w:val="24"/>
        </w:rPr>
        <w:t>Specific defence for accredited cybersecurity practitioners</w:t>
      </w:r>
      <w:r w:rsidR="00A1225C" w:rsidRPr="00581C3B">
        <w:rPr>
          <w:rFonts w:eastAsia="Arial Unicode MS" w:cs="Arial"/>
          <w:kern w:val="2"/>
          <w:sz w:val="24"/>
          <w:szCs w:val="24"/>
          <w:vertAlign w:val="superscript"/>
        </w:rPr>
        <w:footnoteReference w:id="12"/>
      </w:r>
    </w:p>
    <w:p w14:paraId="563447A8" w14:textId="7FC90A4B" w:rsidR="0069715F" w:rsidRPr="00581C3B" w:rsidRDefault="00AD703A" w:rsidP="002D0873">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W</w:t>
      </w:r>
      <w:r w:rsidR="0069715F" w:rsidRPr="00581C3B">
        <w:rPr>
          <w:rFonts w:eastAsiaTheme="minorEastAsia" w:cs="Arial"/>
          <w:sz w:val="24"/>
          <w:szCs w:val="24"/>
          <w:lang w:val="en-GB"/>
        </w:rPr>
        <w:t xml:space="preserve">e </w:t>
      </w:r>
      <w:r w:rsidR="00FC7D0E" w:rsidRPr="00581C3B">
        <w:rPr>
          <w:rFonts w:eastAsiaTheme="minorEastAsia" w:cs="Arial"/>
          <w:sz w:val="24"/>
          <w:szCs w:val="24"/>
          <w:lang w:val="en-GB"/>
        </w:rPr>
        <w:t>consider</w:t>
      </w:r>
      <w:r w:rsidR="0069715F" w:rsidRPr="00581C3B">
        <w:rPr>
          <w:rFonts w:eastAsiaTheme="minorEastAsia" w:cs="Arial"/>
          <w:sz w:val="24"/>
          <w:szCs w:val="24"/>
          <w:lang w:val="en-GB"/>
        </w:rPr>
        <w:t xml:space="preserve"> it reasonable and pragmatic to create a specific defence </w:t>
      </w:r>
      <w:r w:rsidR="00247763" w:rsidRPr="00581C3B">
        <w:rPr>
          <w:rFonts w:eastAsiaTheme="minorEastAsia" w:cs="Arial"/>
          <w:sz w:val="24"/>
          <w:szCs w:val="24"/>
          <w:lang w:val="en-GB"/>
        </w:rPr>
        <w:t xml:space="preserve">for </w:t>
      </w:r>
      <w:r w:rsidR="003D54DF" w:rsidRPr="00581C3B">
        <w:rPr>
          <w:rFonts w:eastAsiaTheme="minorEastAsia" w:cs="Arial"/>
          <w:sz w:val="24"/>
          <w:szCs w:val="24"/>
          <w:lang w:val="en-GB"/>
        </w:rPr>
        <w:t xml:space="preserve">a defined </w:t>
      </w:r>
      <w:r w:rsidRPr="00581C3B">
        <w:rPr>
          <w:rFonts w:eastAsiaTheme="minorEastAsia" w:cs="Arial"/>
          <w:sz w:val="24"/>
          <w:szCs w:val="24"/>
          <w:lang w:val="en-GB"/>
        </w:rPr>
        <w:t xml:space="preserve">category </w:t>
      </w:r>
      <w:r w:rsidR="0069715F" w:rsidRPr="00581C3B">
        <w:rPr>
          <w:rFonts w:eastAsiaTheme="minorEastAsia" w:cs="Arial"/>
          <w:sz w:val="24"/>
          <w:szCs w:val="24"/>
          <w:lang w:val="en-GB"/>
        </w:rPr>
        <w:t>of persons</w:t>
      </w:r>
      <w:r w:rsidR="0059543E" w:rsidRPr="00581C3B">
        <w:rPr>
          <w:rFonts w:eastAsiaTheme="minorEastAsia" w:cs="Arial"/>
          <w:sz w:val="24"/>
          <w:szCs w:val="24"/>
          <w:lang w:val="en-GB"/>
        </w:rPr>
        <w:t xml:space="preserve"> within the information technology </w:t>
      </w:r>
      <w:r w:rsidR="0059543E" w:rsidRPr="00581C3B">
        <w:rPr>
          <w:rFonts w:eastAsiaTheme="minorEastAsia" w:cs="Arial"/>
          <w:sz w:val="24"/>
          <w:szCs w:val="24"/>
          <w:lang w:val="en-GB"/>
        </w:rPr>
        <w:lastRenderedPageBreak/>
        <w:t>industry</w:t>
      </w:r>
      <w:r w:rsidR="0069715F" w:rsidRPr="00581C3B">
        <w:rPr>
          <w:rFonts w:eastAsiaTheme="minorEastAsia" w:cs="Arial"/>
          <w:sz w:val="24"/>
          <w:szCs w:val="24"/>
          <w:lang w:val="en-GB"/>
        </w:rPr>
        <w:t xml:space="preserve">.  </w:t>
      </w:r>
      <w:r w:rsidR="0069715F" w:rsidRPr="00581C3B">
        <w:rPr>
          <w:rFonts w:eastAsiaTheme="minorEastAsia" w:cs="Arial" w:hint="eastAsia"/>
          <w:sz w:val="24"/>
          <w:szCs w:val="24"/>
          <w:lang w:val="en-GB"/>
        </w:rPr>
        <w:t xml:space="preserve">We propose that there should be a specific defence or exemption for </w:t>
      </w:r>
      <w:r w:rsidR="0069715F" w:rsidRPr="00581C3B">
        <w:rPr>
          <w:rFonts w:eastAsiaTheme="minorEastAsia" w:cs="Arial"/>
          <w:sz w:val="24"/>
          <w:szCs w:val="24"/>
          <w:lang w:val="en-GB"/>
        </w:rPr>
        <w:t xml:space="preserve">accredited </w:t>
      </w:r>
      <w:r w:rsidR="0069715F" w:rsidRPr="00581C3B">
        <w:rPr>
          <w:rFonts w:eastAsiaTheme="minorEastAsia" w:cs="Arial" w:hint="eastAsia"/>
          <w:sz w:val="24"/>
          <w:szCs w:val="24"/>
          <w:lang w:val="en-GB"/>
        </w:rPr>
        <w:t>cybersecurity practitioners</w:t>
      </w:r>
      <w:r w:rsidR="0069715F" w:rsidRPr="00581C3B">
        <w:rPr>
          <w:rFonts w:eastAsiaTheme="minorEastAsia" w:cs="Arial"/>
          <w:sz w:val="24"/>
          <w:szCs w:val="24"/>
          <w:lang w:val="en-GB"/>
        </w:rPr>
        <w:t xml:space="preserve"> who act for a genuine </w:t>
      </w:r>
      <w:r w:rsidR="0069715F" w:rsidRPr="00581C3B">
        <w:rPr>
          <w:rFonts w:eastAsiaTheme="minorEastAsia" w:cs="Arial" w:hint="eastAsia"/>
          <w:sz w:val="24"/>
          <w:szCs w:val="24"/>
          <w:lang w:val="en-GB"/>
        </w:rPr>
        <w:t>cybersecurity</w:t>
      </w:r>
      <w:r w:rsidR="0069715F" w:rsidRPr="00581C3B">
        <w:rPr>
          <w:rFonts w:eastAsiaTheme="minorEastAsia" w:cs="Arial"/>
          <w:sz w:val="24"/>
          <w:szCs w:val="24"/>
          <w:lang w:val="en-GB"/>
        </w:rPr>
        <w:t xml:space="preserve"> purpose</w:t>
      </w:r>
      <w:r w:rsidR="0069715F" w:rsidRPr="00581C3B">
        <w:rPr>
          <w:rFonts w:eastAsiaTheme="minorEastAsia" w:cs="Arial" w:hint="eastAsia"/>
          <w:sz w:val="24"/>
          <w:szCs w:val="24"/>
          <w:lang w:val="en-GB"/>
        </w:rPr>
        <w:t>.</w:t>
      </w:r>
      <w:r w:rsidR="0069715F" w:rsidRPr="00581C3B">
        <w:rPr>
          <w:rFonts w:eastAsiaTheme="minorEastAsia" w:cs="Arial"/>
          <w:sz w:val="24"/>
          <w:szCs w:val="24"/>
          <w:lang w:val="en-GB"/>
        </w:rPr>
        <w:t xml:space="preserve">  The defendant’s purpose and conduct must</w:t>
      </w:r>
      <w:r w:rsidRPr="00581C3B">
        <w:rPr>
          <w:rFonts w:eastAsiaTheme="minorEastAsia" w:cs="Arial"/>
          <w:sz w:val="24"/>
          <w:szCs w:val="24"/>
          <w:lang w:val="en-GB"/>
        </w:rPr>
        <w:t>, however,</w:t>
      </w:r>
      <w:r w:rsidR="0069715F" w:rsidRPr="00581C3B">
        <w:rPr>
          <w:rFonts w:eastAsiaTheme="minorEastAsia" w:cs="Arial"/>
          <w:sz w:val="24"/>
          <w:szCs w:val="24"/>
          <w:lang w:val="en-GB"/>
        </w:rPr>
        <w:t xml:space="preserve"> be reasonable having </w:t>
      </w:r>
      <w:r w:rsidR="001C3499" w:rsidRPr="00581C3B">
        <w:rPr>
          <w:rFonts w:eastAsiaTheme="minorEastAsia" w:cs="Arial"/>
          <w:sz w:val="24"/>
          <w:szCs w:val="24"/>
          <w:lang w:val="en-GB"/>
        </w:rPr>
        <w:t>regard to all the circumstances</w:t>
      </w:r>
      <w:r w:rsidR="0069715F" w:rsidRPr="00581C3B">
        <w:rPr>
          <w:rFonts w:eastAsiaTheme="minorEastAsia" w:cs="Arial"/>
          <w:sz w:val="24"/>
          <w:szCs w:val="24"/>
          <w:lang w:val="en-GB"/>
        </w:rPr>
        <w:t>.</w:t>
      </w:r>
    </w:p>
    <w:p w14:paraId="571EA331" w14:textId="478800BA" w:rsidR="0069715F" w:rsidRPr="00581C3B" w:rsidRDefault="0069715F" w:rsidP="0069715F">
      <w:pPr>
        <w:pStyle w:val="ListParagraph"/>
        <w:spacing w:after="240" w:line="240" w:lineRule="auto"/>
        <w:ind w:left="0"/>
        <w:contextualSpacing w:val="0"/>
        <w:rPr>
          <w:rFonts w:eastAsiaTheme="minorEastAsia" w:cs="Arial"/>
          <w:sz w:val="24"/>
          <w:szCs w:val="24"/>
          <w:lang w:val="en-GB"/>
        </w:rPr>
      </w:pPr>
      <w:r w:rsidRPr="00581C3B">
        <w:rPr>
          <w:rFonts w:eastAsia="DengXian"/>
          <w:i/>
          <w:sz w:val="24"/>
          <w:szCs w:val="24"/>
        </w:rPr>
        <w:t>Accredited or licensed cybersecurity practitioners</w:t>
      </w:r>
    </w:p>
    <w:p w14:paraId="18527CB2" w14:textId="482CE9F8" w:rsidR="002D0873" w:rsidRPr="00581C3B" w:rsidRDefault="0069715F" w:rsidP="002D0873">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Given the level of intrusion of access to program or data made for cybersecurity purposes and the</w:t>
      </w:r>
      <w:r w:rsidR="002B184A" w:rsidRPr="00581C3B">
        <w:rPr>
          <w:rFonts w:cs="Arial"/>
          <w:sz w:val="24"/>
          <w:szCs w:val="24"/>
        </w:rPr>
        <w:t>ir</w:t>
      </w:r>
      <w:r w:rsidRPr="00581C3B">
        <w:rPr>
          <w:rFonts w:cs="Arial"/>
          <w:sz w:val="24"/>
          <w:szCs w:val="24"/>
        </w:rPr>
        <w:t xml:space="preserve"> broad notion, we consider that access for cybersecurity purposes should only be made by licensed or accredited practitioners</w:t>
      </w:r>
      <w:r w:rsidR="00A1225C" w:rsidRPr="00581C3B">
        <w:rPr>
          <w:rFonts w:cs="Arial"/>
          <w:sz w:val="24"/>
          <w:szCs w:val="24"/>
        </w:rPr>
        <w:t>,</w:t>
      </w:r>
      <w:r w:rsidRPr="00581C3B">
        <w:rPr>
          <w:rFonts w:cs="Arial"/>
          <w:sz w:val="24"/>
          <w:szCs w:val="24"/>
        </w:rPr>
        <w:t xml:space="preserve"> </w:t>
      </w:r>
      <w:r w:rsidR="00D04EB5" w:rsidRPr="00581C3B">
        <w:rPr>
          <w:rFonts w:cs="Arial"/>
          <w:sz w:val="24"/>
          <w:szCs w:val="24"/>
        </w:rPr>
        <w:t xml:space="preserve">ie </w:t>
      </w:r>
      <w:r w:rsidRPr="00581C3B">
        <w:rPr>
          <w:rFonts w:cs="Arial"/>
          <w:sz w:val="24"/>
          <w:szCs w:val="24"/>
        </w:rPr>
        <w:t>th</w:t>
      </w:r>
      <w:r w:rsidR="002B184A" w:rsidRPr="00581C3B">
        <w:rPr>
          <w:rFonts w:cs="Arial"/>
          <w:sz w:val="24"/>
          <w:szCs w:val="24"/>
        </w:rPr>
        <w:t>os</w:t>
      </w:r>
      <w:r w:rsidRPr="00581C3B">
        <w:rPr>
          <w:rFonts w:cs="Arial"/>
          <w:sz w:val="24"/>
          <w:szCs w:val="24"/>
        </w:rPr>
        <w:t>e who are expected to possess a certain level of professional expertise and standard of integrity.</w:t>
      </w:r>
    </w:p>
    <w:p w14:paraId="6EB76AEA" w14:textId="0113C6B7" w:rsidR="00FC7D0E" w:rsidRPr="00581C3B" w:rsidRDefault="0069715F" w:rsidP="0068171D">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rPr>
        <w:t xml:space="preserve">There should be an independent </w:t>
      </w:r>
      <w:r w:rsidR="005B3108" w:rsidRPr="00581C3B">
        <w:rPr>
          <w:rFonts w:cs="Arial"/>
          <w:sz w:val="24"/>
          <w:szCs w:val="24"/>
        </w:rPr>
        <w:t>system</w:t>
      </w:r>
      <w:r w:rsidRPr="00581C3B">
        <w:rPr>
          <w:rFonts w:cs="Arial"/>
          <w:sz w:val="24"/>
          <w:szCs w:val="24"/>
        </w:rPr>
        <w:t xml:space="preserve"> for accrediting cybersecurity practitioners and overseeing their disciplinary matters.  We agree with the Respondents that an accreditation regime may be implemented in different ways.  </w:t>
      </w:r>
      <w:r w:rsidR="00FC1330" w:rsidRPr="00581C3B">
        <w:rPr>
          <w:rFonts w:cs="Arial"/>
          <w:sz w:val="24"/>
          <w:szCs w:val="24"/>
        </w:rPr>
        <w:t>The designation of</w:t>
      </w:r>
      <w:r w:rsidRPr="00581C3B">
        <w:rPr>
          <w:rFonts w:cs="Arial"/>
          <w:sz w:val="24"/>
          <w:szCs w:val="24"/>
        </w:rPr>
        <w:t xml:space="preserve"> a statutory authority </w:t>
      </w:r>
      <w:r w:rsidR="00FC1330" w:rsidRPr="00581C3B">
        <w:rPr>
          <w:rFonts w:cs="Arial"/>
          <w:sz w:val="24"/>
          <w:szCs w:val="24"/>
        </w:rPr>
        <w:t>is one way</w:t>
      </w:r>
      <w:r w:rsidRPr="00581C3B">
        <w:rPr>
          <w:rFonts w:cs="Arial"/>
          <w:sz w:val="24"/>
          <w:szCs w:val="24"/>
        </w:rPr>
        <w:t xml:space="preserve"> </w:t>
      </w:r>
      <w:r w:rsidR="00FC1330" w:rsidRPr="00581C3B">
        <w:rPr>
          <w:rFonts w:cs="Arial"/>
          <w:sz w:val="24"/>
          <w:szCs w:val="24"/>
        </w:rPr>
        <w:t>whereas</w:t>
      </w:r>
      <w:r w:rsidRPr="00581C3B">
        <w:rPr>
          <w:rFonts w:cs="Arial"/>
          <w:sz w:val="24"/>
          <w:szCs w:val="24"/>
        </w:rPr>
        <w:t xml:space="preserve"> </w:t>
      </w:r>
      <w:r w:rsidR="00FC1330" w:rsidRPr="00581C3B">
        <w:rPr>
          <w:rFonts w:cs="Arial"/>
          <w:sz w:val="24"/>
          <w:szCs w:val="24"/>
        </w:rPr>
        <w:t>recognition of</w:t>
      </w:r>
      <w:r w:rsidRPr="00581C3B">
        <w:rPr>
          <w:rFonts w:cs="Arial"/>
          <w:sz w:val="24"/>
          <w:szCs w:val="24"/>
        </w:rPr>
        <w:t xml:space="preserve"> members of reputable information technology professional bodies or international inform</w:t>
      </w:r>
      <w:r w:rsidR="00FC7D0E" w:rsidRPr="00581C3B">
        <w:rPr>
          <w:rFonts w:cs="Arial"/>
          <w:sz w:val="24"/>
          <w:szCs w:val="24"/>
        </w:rPr>
        <w:t>ation technology associations</w:t>
      </w:r>
      <w:r w:rsidR="00FC1330" w:rsidRPr="00581C3B">
        <w:rPr>
          <w:rFonts w:cs="Arial"/>
          <w:sz w:val="24"/>
          <w:szCs w:val="24"/>
        </w:rPr>
        <w:t xml:space="preserve"> is another</w:t>
      </w:r>
      <w:r w:rsidR="00FC7D0E" w:rsidRPr="00581C3B">
        <w:rPr>
          <w:rFonts w:cs="Arial"/>
          <w:sz w:val="24"/>
          <w:szCs w:val="24"/>
        </w:rPr>
        <w:t>.</w:t>
      </w:r>
    </w:p>
    <w:p w14:paraId="6F3BA1AF" w14:textId="2D6EA9D0" w:rsidR="0069715F" w:rsidRPr="00581C3B" w:rsidRDefault="0069715F" w:rsidP="0068171D">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rPr>
        <w:t xml:space="preserve">Depending on the approach taken, the impact of the accreditation regime on the cybersecurity industry and cyberspace users </w:t>
      </w:r>
      <w:r w:rsidR="00FC1330" w:rsidRPr="00581C3B">
        <w:rPr>
          <w:rFonts w:cs="Arial"/>
          <w:sz w:val="24"/>
          <w:szCs w:val="24"/>
        </w:rPr>
        <w:t>is not limited to</w:t>
      </w:r>
      <w:r w:rsidR="00D04EB5" w:rsidRPr="00581C3B">
        <w:rPr>
          <w:rFonts w:cs="Arial"/>
          <w:sz w:val="24"/>
          <w:szCs w:val="24"/>
        </w:rPr>
        <w:t xml:space="preserve"> the supply and the cost of cybersecurity professionals.  </w:t>
      </w:r>
      <w:r w:rsidRPr="00581C3B">
        <w:rPr>
          <w:sz w:val="24"/>
          <w:szCs w:val="24"/>
        </w:rPr>
        <w:t xml:space="preserve">The detailed implementation issues of </w:t>
      </w:r>
      <w:r w:rsidRPr="00581C3B">
        <w:rPr>
          <w:rFonts w:cs="Arial"/>
          <w:sz w:val="24"/>
          <w:szCs w:val="24"/>
        </w:rPr>
        <w:t xml:space="preserve">an accreditation regime are essentially ones of Government policy.  </w:t>
      </w:r>
      <w:r w:rsidR="005B3108" w:rsidRPr="00581C3B">
        <w:rPr>
          <w:rFonts w:cs="Arial"/>
          <w:sz w:val="24"/>
          <w:szCs w:val="24"/>
        </w:rPr>
        <w:t>Such details (including the requirements for accreditation as a cybersecurity professional, record-keeping obligations on the part of the practitioners, questions as to whether the accreditation body is</w:t>
      </w:r>
      <w:r w:rsidR="005B3108" w:rsidRPr="00581C3B">
        <w:rPr>
          <w:rFonts w:eastAsia="DengXian"/>
          <w:sz w:val="24"/>
          <w:szCs w:val="24"/>
        </w:rPr>
        <w:t xml:space="preserve"> to be managed by the information technology industry or other authorities, and how the accreditation regime should be financed</w:t>
      </w:r>
      <w:r w:rsidR="005B3108" w:rsidRPr="00581C3B">
        <w:rPr>
          <w:rFonts w:cs="Arial"/>
          <w:sz w:val="24"/>
          <w:szCs w:val="24"/>
        </w:rPr>
        <w:t xml:space="preserve">) </w:t>
      </w:r>
      <w:r w:rsidRPr="00581C3B">
        <w:rPr>
          <w:rFonts w:cs="Arial"/>
          <w:sz w:val="24"/>
          <w:szCs w:val="24"/>
        </w:rPr>
        <w:t xml:space="preserve">would be appropriate to </w:t>
      </w:r>
      <w:r w:rsidR="005B3108" w:rsidRPr="00581C3B">
        <w:rPr>
          <w:rFonts w:cs="Arial"/>
          <w:sz w:val="24"/>
          <w:szCs w:val="24"/>
        </w:rPr>
        <w:t xml:space="preserve">be </w:t>
      </w:r>
      <w:r w:rsidRPr="00581C3B">
        <w:rPr>
          <w:rFonts w:cs="Arial"/>
          <w:sz w:val="24"/>
          <w:szCs w:val="24"/>
        </w:rPr>
        <w:t>le</w:t>
      </w:r>
      <w:r w:rsidR="005B3108" w:rsidRPr="00581C3B">
        <w:rPr>
          <w:rFonts w:cs="Arial"/>
          <w:sz w:val="24"/>
          <w:szCs w:val="24"/>
        </w:rPr>
        <w:t>ft</w:t>
      </w:r>
      <w:r w:rsidRPr="00581C3B">
        <w:rPr>
          <w:rFonts w:cs="Arial"/>
          <w:sz w:val="24"/>
          <w:szCs w:val="24"/>
        </w:rPr>
        <w:t xml:space="preserve"> to the Government.</w:t>
      </w:r>
      <w:r w:rsidR="00770030" w:rsidRPr="00581C3B">
        <w:rPr>
          <w:rFonts w:eastAsia="Arial Unicode MS" w:cs="Arial"/>
          <w:kern w:val="2"/>
          <w:sz w:val="24"/>
          <w:szCs w:val="24"/>
          <w:vertAlign w:val="superscript"/>
        </w:rPr>
        <w:footnoteReference w:id="13"/>
      </w:r>
    </w:p>
    <w:p w14:paraId="27CBED51" w14:textId="55DF1D98" w:rsidR="00232FEA" w:rsidRPr="00581C3B" w:rsidRDefault="00232FEA" w:rsidP="00232FEA">
      <w:pPr>
        <w:pStyle w:val="ListParagraph"/>
        <w:widowControl/>
        <w:spacing w:after="240" w:line="240" w:lineRule="auto"/>
        <w:ind w:left="0"/>
        <w:contextualSpacing w:val="0"/>
        <w:rPr>
          <w:rFonts w:cs="Arial"/>
          <w:sz w:val="24"/>
          <w:szCs w:val="24"/>
          <w:lang w:val="en-GB"/>
        </w:rPr>
      </w:pPr>
      <w:r w:rsidRPr="00581C3B">
        <w:rPr>
          <w:i/>
          <w:sz w:val="24"/>
          <w:szCs w:val="24"/>
        </w:rPr>
        <w:t>G</w:t>
      </w:r>
      <w:r w:rsidRPr="00581C3B">
        <w:rPr>
          <w:rFonts w:hint="eastAsia"/>
          <w:i/>
          <w:sz w:val="24"/>
          <w:szCs w:val="24"/>
        </w:rPr>
        <w:t xml:space="preserve">enuine </w:t>
      </w:r>
      <w:r w:rsidRPr="00581C3B">
        <w:rPr>
          <w:i/>
          <w:sz w:val="24"/>
          <w:szCs w:val="24"/>
        </w:rPr>
        <w:t>cybersecurity purpose</w:t>
      </w:r>
    </w:p>
    <w:p w14:paraId="51F744C5" w14:textId="60EDE731" w:rsidR="00232FEA" w:rsidRPr="00581C3B" w:rsidRDefault="00407490" w:rsidP="0068171D">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rPr>
        <w:t>An additional</w:t>
      </w:r>
      <w:r w:rsidR="004D4A16" w:rsidRPr="00581C3B">
        <w:rPr>
          <w:rFonts w:cs="Arial"/>
          <w:sz w:val="24"/>
          <w:szCs w:val="24"/>
        </w:rPr>
        <w:t xml:space="preserve"> requirement f</w:t>
      </w:r>
      <w:r w:rsidRPr="00581C3B">
        <w:rPr>
          <w:rFonts w:cs="Arial"/>
          <w:sz w:val="24"/>
          <w:szCs w:val="24"/>
        </w:rPr>
        <w:t>or</w:t>
      </w:r>
      <w:r w:rsidR="004D4A16" w:rsidRPr="00581C3B">
        <w:rPr>
          <w:rFonts w:cs="Arial"/>
          <w:sz w:val="24"/>
          <w:szCs w:val="24"/>
        </w:rPr>
        <w:t xml:space="preserve"> “genuine cybersecurity purpose” would mean that </w:t>
      </w:r>
      <w:r w:rsidRPr="00581C3B">
        <w:rPr>
          <w:rFonts w:cs="Arial"/>
          <w:sz w:val="24"/>
          <w:szCs w:val="24"/>
        </w:rPr>
        <w:t>the accreditation or identity of the defendant should not be conclusive.  We so recommend with the intended outcome that</w:t>
      </w:r>
      <w:r w:rsidR="004D4A16" w:rsidRPr="00581C3B">
        <w:rPr>
          <w:rFonts w:cs="Arial"/>
          <w:sz w:val="24"/>
          <w:szCs w:val="24"/>
        </w:rPr>
        <w:t xml:space="preserve"> an accredited cybersecurity practitioner who</w:t>
      </w:r>
      <w:r w:rsidRPr="00581C3B">
        <w:rPr>
          <w:rFonts w:cs="Arial"/>
          <w:sz w:val="24"/>
          <w:szCs w:val="24"/>
        </w:rPr>
        <w:t>, for example,</w:t>
      </w:r>
      <w:r w:rsidR="004D4A16" w:rsidRPr="00581C3B">
        <w:rPr>
          <w:rFonts w:cs="Arial"/>
          <w:sz w:val="24"/>
          <w:szCs w:val="24"/>
        </w:rPr>
        <w:t xml:space="preserve"> accessed the data on the phone of his </w:t>
      </w:r>
      <w:r w:rsidR="00FC7D0E" w:rsidRPr="00581C3B">
        <w:rPr>
          <w:rFonts w:cs="Arial"/>
          <w:sz w:val="24"/>
          <w:szCs w:val="24"/>
        </w:rPr>
        <w:t>child</w:t>
      </w:r>
      <w:r w:rsidR="004D4A16" w:rsidRPr="00581C3B">
        <w:rPr>
          <w:rFonts w:cs="Arial"/>
          <w:sz w:val="24"/>
          <w:szCs w:val="24"/>
        </w:rPr>
        <w:t xml:space="preserve"> </w:t>
      </w:r>
      <w:r w:rsidRPr="00581C3B">
        <w:rPr>
          <w:rFonts w:cs="Arial"/>
          <w:sz w:val="24"/>
          <w:szCs w:val="24"/>
        </w:rPr>
        <w:t>other than for genuine cybersecurity purposes</w:t>
      </w:r>
      <w:r w:rsidR="004D4A16" w:rsidRPr="00581C3B">
        <w:rPr>
          <w:rFonts w:cs="Arial"/>
          <w:sz w:val="24"/>
          <w:szCs w:val="24"/>
        </w:rPr>
        <w:t xml:space="preserve"> would have to fall back on the defence of access for prote</w:t>
      </w:r>
      <w:r w:rsidR="001C3499" w:rsidRPr="00581C3B">
        <w:rPr>
          <w:rFonts w:cs="Arial"/>
          <w:sz w:val="24"/>
          <w:szCs w:val="24"/>
        </w:rPr>
        <w:t xml:space="preserve">cting the interests of a child </w:t>
      </w:r>
      <w:r w:rsidR="004D4A16" w:rsidRPr="00581C3B">
        <w:rPr>
          <w:rFonts w:cs="Arial"/>
          <w:sz w:val="24"/>
          <w:szCs w:val="24"/>
        </w:rPr>
        <w:t>discussed in paragraph</w:t>
      </w:r>
      <w:r w:rsidR="00FC7D0E" w:rsidRPr="00581C3B">
        <w:rPr>
          <w:rFonts w:cs="Arial"/>
          <w:sz w:val="24"/>
          <w:szCs w:val="24"/>
        </w:rPr>
        <w:t>s 2</w:t>
      </w:r>
      <w:r w:rsidR="008B4419" w:rsidRPr="00581C3B">
        <w:rPr>
          <w:rFonts w:cs="Arial"/>
          <w:sz w:val="24"/>
          <w:szCs w:val="24"/>
        </w:rPr>
        <w:t>4</w:t>
      </w:r>
      <w:r w:rsidR="00FC7D0E" w:rsidRPr="00581C3B">
        <w:rPr>
          <w:rFonts w:cs="Arial"/>
          <w:sz w:val="24"/>
          <w:szCs w:val="24"/>
        </w:rPr>
        <w:t xml:space="preserve"> to 2</w:t>
      </w:r>
      <w:r w:rsidR="008B4419" w:rsidRPr="00581C3B">
        <w:rPr>
          <w:rFonts w:cs="Arial"/>
          <w:sz w:val="24"/>
          <w:szCs w:val="24"/>
        </w:rPr>
        <w:t>7</w:t>
      </w:r>
      <w:r w:rsidR="004D4A16" w:rsidRPr="00581C3B">
        <w:rPr>
          <w:rFonts w:cs="Arial"/>
          <w:sz w:val="24"/>
          <w:szCs w:val="24"/>
        </w:rPr>
        <w:t xml:space="preserve"> below.</w:t>
      </w:r>
    </w:p>
    <w:p w14:paraId="6C21621A" w14:textId="3A2F6E0B" w:rsidR="004D4A16" w:rsidRPr="00581C3B" w:rsidRDefault="008124BA" w:rsidP="004D4A16">
      <w:pPr>
        <w:pStyle w:val="ListParagraph"/>
        <w:widowControl/>
        <w:spacing w:after="240" w:line="240" w:lineRule="auto"/>
        <w:ind w:left="0"/>
        <w:contextualSpacing w:val="0"/>
        <w:rPr>
          <w:rFonts w:cs="Arial"/>
          <w:sz w:val="24"/>
          <w:szCs w:val="24"/>
          <w:lang w:val="en-GB"/>
        </w:rPr>
      </w:pPr>
      <w:r w:rsidRPr="00581C3B">
        <w:rPr>
          <w:rFonts w:eastAsia="DengXian"/>
          <w:i/>
          <w:sz w:val="24"/>
          <w:szCs w:val="24"/>
        </w:rPr>
        <w:t>The defendant’s conduct must be reasonable having regard to all the circumstances</w:t>
      </w:r>
    </w:p>
    <w:p w14:paraId="13F2A89E" w14:textId="626D3534" w:rsidR="008124BA" w:rsidRPr="00581C3B" w:rsidRDefault="008124BA" w:rsidP="008706C7">
      <w:pPr>
        <w:pStyle w:val="ListParagraph"/>
        <w:widowControl/>
        <w:numPr>
          <w:ilvl w:val="0"/>
          <w:numId w:val="14"/>
        </w:numPr>
        <w:spacing w:afterLines="100" w:after="240" w:line="240" w:lineRule="auto"/>
        <w:ind w:left="0" w:firstLine="0"/>
        <w:contextualSpacing w:val="0"/>
        <w:rPr>
          <w:rFonts w:cs="Arial"/>
          <w:sz w:val="24"/>
          <w:szCs w:val="24"/>
          <w:lang w:val="en-GB"/>
        </w:rPr>
      </w:pPr>
      <w:r w:rsidRPr="00581C3B">
        <w:rPr>
          <w:sz w:val="24"/>
          <w:szCs w:val="24"/>
        </w:rPr>
        <w:t>W</w:t>
      </w:r>
      <w:r w:rsidRPr="00581C3B">
        <w:rPr>
          <w:rFonts w:hint="eastAsia"/>
          <w:sz w:val="24"/>
          <w:szCs w:val="24"/>
        </w:rPr>
        <w:t xml:space="preserve">e </w:t>
      </w:r>
      <w:r w:rsidR="0051510D" w:rsidRPr="00581C3B">
        <w:rPr>
          <w:sz w:val="24"/>
          <w:szCs w:val="24"/>
        </w:rPr>
        <w:t xml:space="preserve">also </w:t>
      </w:r>
      <w:r w:rsidRPr="00581C3B">
        <w:rPr>
          <w:rFonts w:hint="eastAsia"/>
          <w:sz w:val="24"/>
          <w:szCs w:val="24"/>
        </w:rPr>
        <w:t xml:space="preserve">propose </w:t>
      </w:r>
      <w:r w:rsidRPr="00581C3B">
        <w:rPr>
          <w:sz w:val="24"/>
          <w:szCs w:val="24"/>
        </w:rPr>
        <w:t>to incorporate the requirement of “reasonableness”</w:t>
      </w:r>
      <w:r w:rsidRPr="00581C3B">
        <w:rPr>
          <w:rFonts w:hint="eastAsia"/>
          <w:sz w:val="24"/>
          <w:szCs w:val="24"/>
        </w:rPr>
        <w:t xml:space="preserve"> </w:t>
      </w:r>
      <w:r w:rsidRPr="00581C3B">
        <w:rPr>
          <w:sz w:val="24"/>
          <w:szCs w:val="24"/>
        </w:rPr>
        <w:t xml:space="preserve">into the </w:t>
      </w:r>
      <w:r w:rsidRPr="00581C3B">
        <w:rPr>
          <w:rFonts w:cs="Arial"/>
          <w:sz w:val="24"/>
          <w:szCs w:val="24"/>
        </w:rPr>
        <w:t xml:space="preserve">specific defence </w:t>
      </w:r>
      <w:r w:rsidR="00724F4F" w:rsidRPr="00581C3B">
        <w:rPr>
          <w:sz w:val="24"/>
          <w:szCs w:val="24"/>
        </w:rPr>
        <w:t>so as to</w:t>
      </w:r>
      <w:r w:rsidRPr="00581C3B">
        <w:rPr>
          <w:sz w:val="24"/>
          <w:szCs w:val="24"/>
        </w:rPr>
        <w:t xml:space="preserve"> </w:t>
      </w:r>
      <w:r w:rsidRPr="00581C3B">
        <w:rPr>
          <w:rFonts w:cs="Arial"/>
          <w:sz w:val="24"/>
          <w:szCs w:val="24"/>
        </w:rPr>
        <w:t xml:space="preserve">provide </w:t>
      </w:r>
      <w:r w:rsidR="00724F4F" w:rsidRPr="00581C3B">
        <w:rPr>
          <w:rFonts w:cs="Arial"/>
          <w:sz w:val="24"/>
          <w:szCs w:val="24"/>
        </w:rPr>
        <w:t xml:space="preserve">for </w:t>
      </w:r>
      <w:r w:rsidRPr="00581C3B">
        <w:rPr>
          <w:rFonts w:cs="Arial"/>
          <w:sz w:val="24"/>
          <w:szCs w:val="24"/>
        </w:rPr>
        <w:t>safe and consistent parameters delineat</w:t>
      </w:r>
      <w:r w:rsidR="00724F4F" w:rsidRPr="00581C3B">
        <w:rPr>
          <w:rFonts w:cs="Arial"/>
          <w:sz w:val="24"/>
          <w:szCs w:val="24"/>
        </w:rPr>
        <w:t>ing</w:t>
      </w:r>
      <w:r w:rsidRPr="00581C3B">
        <w:rPr>
          <w:rFonts w:cs="Arial"/>
          <w:sz w:val="24"/>
          <w:szCs w:val="24"/>
        </w:rPr>
        <w:t xml:space="preserve"> conduct that would be acceptable to a reasonable </w:t>
      </w:r>
      <w:r w:rsidR="008B4419" w:rsidRPr="00581C3B">
        <w:rPr>
          <w:rFonts w:cs="Arial"/>
          <w:sz w:val="24"/>
          <w:szCs w:val="24"/>
        </w:rPr>
        <w:t>person</w:t>
      </w:r>
      <w:r w:rsidRPr="00581C3B">
        <w:rPr>
          <w:rFonts w:cs="Arial"/>
          <w:sz w:val="24"/>
          <w:szCs w:val="24"/>
        </w:rPr>
        <w:t xml:space="preserve">.  </w:t>
      </w:r>
      <w:r w:rsidRPr="00581C3B">
        <w:rPr>
          <w:rFonts w:eastAsia="DengXian"/>
          <w:sz w:val="24"/>
          <w:szCs w:val="24"/>
        </w:rPr>
        <w:t xml:space="preserve">If any code of ethics is promulgated by the accreditation </w:t>
      </w:r>
      <w:r w:rsidRPr="00581C3B">
        <w:rPr>
          <w:rFonts w:eastAsia="DengXian"/>
          <w:sz w:val="24"/>
          <w:szCs w:val="24"/>
        </w:rPr>
        <w:lastRenderedPageBreak/>
        <w:t xml:space="preserve">body, the court may </w:t>
      </w:r>
      <w:r w:rsidR="00770030" w:rsidRPr="00581C3B">
        <w:rPr>
          <w:rFonts w:eastAsia="DengXian"/>
          <w:sz w:val="24"/>
          <w:szCs w:val="24"/>
        </w:rPr>
        <w:t xml:space="preserve">certainly </w:t>
      </w:r>
      <w:r w:rsidRPr="00581C3B">
        <w:rPr>
          <w:rFonts w:eastAsia="DengXian"/>
          <w:sz w:val="24"/>
          <w:szCs w:val="24"/>
        </w:rPr>
        <w:t>make reference to the code when assessing the reasonableness of a defendant’s conduct.</w:t>
      </w:r>
    </w:p>
    <w:p w14:paraId="3D0A8B43" w14:textId="26C3256F" w:rsidR="008D0CB2" w:rsidRPr="00581C3B" w:rsidRDefault="008D0CB2" w:rsidP="008D0CB2">
      <w:pPr>
        <w:pStyle w:val="ListParagraph"/>
        <w:widowControl/>
        <w:spacing w:after="240" w:line="240" w:lineRule="auto"/>
        <w:ind w:left="0"/>
        <w:contextualSpacing w:val="0"/>
        <w:rPr>
          <w:rFonts w:cs="Arial"/>
          <w:b/>
          <w:i/>
          <w:sz w:val="24"/>
          <w:szCs w:val="24"/>
        </w:rPr>
      </w:pPr>
      <w:r w:rsidRPr="00581C3B">
        <w:rPr>
          <w:rFonts w:cs="Arial"/>
          <w:b/>
          <w:i/>
          <w:sz w:val="24"/>
          <w:szCs w:val="24"/>
        </w:rPr>
        <w:t xml:space="preserve">Other specific defences to the </w:t>
      </w:r>
      <w:r w:rsidR="00FC7D0E" w:rsidRPr="00581C3B">
        <w:rPr>
          <w:rFonts w:cs="Arial"/>
          <w:b/>
          <w:i/>
          <w:sz w:val="24"/>
          <w:szCs w:val="24"/>
        </w:rPr>
        <w:t>A</w:t>
      </w:r>
      <w:r w:rsidRPr="00581C3B">
        <w:rPr>
          <w:rFonts w:cs="Arial"/>
          <w:b/>
          <w:i/>
          <w:sz w:val="24"/>
          <w:szCs w:val="24"/>
        </w:rPr>
        <w:t xml:space="preserve">ccess </w:t>
      </w:r>
      <w:r w:rsidR="00FC7D0E" w:rsidRPr="00581C3B">
        <w:rPr>
          <w:rFonts w:cs="Arial"/>
          <w:b/>
          <w:i/>
          <w:sz w:val="24"/>
          <w:szCs w:val="24"/>
        </w:rPr>
        <w:t>O</w:t>
      </w:r>
      <w:r w:rsidRPr="00581C3B">
        <w:rPr>
          <w:rFonts w:cs="Arial"/>
          <w:b/>
          <w:i/>
          <w:sz w:val="24"/>
          <w:szCs w:val="24"/>
        </w:rPr>
        <w:t>ffence</w:t>
      </w:r>
    </w:p>
    <w:p w14:paraId="11A373B5" w14:textId="1DC9E448" w:rsidR="008D0CB2" w:rsidRPr="00581C3B" w:rsidRDefault="008D0CB2" w:rsidP="008D0CB2">
      <w:pPr>
        <w:pStyle w:val="ListParagraph"/>
        <w:widowControl/>
        <w:spacing w:after="240" w:line="240" w:lineRule="auto"/>
        <w:ind w:left="0"/>
        <w:contextualSpacing w:val="0"/>
        <w:rPr>
          <w:rFonts w:cs="Arial"/>
          <w:b/>
          <w:i/>
          <w:sz w:val="24"/>
          <w:szCs w:val="24"/>
        </w:rPr>
      </w:pPr>
      <w:r w:rsidRPr="00581C3B">
        <w:rPr>
          <w:rFonts w:cs="Arial"/>
          <w:b/>
          <w:i/>
          <w:sz w:val="24"/>
          <w:szCs w:val="24"/>
        </w:rPr>
        <w:t>Access for protecting the interests of a child</w:t>
      </w:r>
      <w:r w:rsidR="00522063" w:rsidRPr="00581C3B">
        <w:rPr>
          <w:rFonts w:eastAsia="Arial Unicode MS" w:cs="Arial"/>
          <w:kern w:val="2"/>
          <w:sz w:val="24"/>
          <w:szCs w:val="24"/>
          <w:vertAlign w:val="superscript"/>
        </w:rPr>
        <w:footnoteReference w:id="14"/>
      </w:r>
    </w:p>
    <w:p w14:paraId="7F374588" w14:textId="10FB3344" w:rsidR="004F69BD" w:rsidRPr="00581C3B" w:rsidRDefault="008D0CB2" w:rsidP="00C05200">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bCs/>
          <w:sz w:val="24"/>
          <w:szCs w:val="24"/>
          <w:lang w:val="en-GB"/>
        </w:rPr>
        <w:t xml:space="preserve">During the consultation exercise, there were </w:t>
      </w:r>
      <w:r w:rsidR="00E74D00" w:rsidRPr="00581C3B">
        <w:rPr>
          <w:rFonts w:cs="Arial"/>
          <w:bCs/>
          <w:sz w:val="24"/>
          <w:szCs w:val="24"/>
          <w:lang w:val="en-GB"/>
        </w:rPr>
        <w:t>comments</w:t>
      </w:r>
      <w:r w:rsidRPr="00581C3B">
        <w:rPr>
          <w:rFonts w:cs="Arial"/>
          <w:bCs/>
          <w:sz w:val="24"/>
          <w:szCs w:val="24"/>
          <w:lang w:val="en-GB"/>
        </w:rPr>
        <w:t xml:space="preserve"> </w:t>
      </w:r>
      <w:r w:rsidR="00E74D00" w:rsidRPr="00581C3B">
        <w:rPr>
          <w:rFonts w:cs="Arial"/>
          <w:bCs/>
          <w:sz w:val="24"/>
          <w:szCs w:val="24"/>
          <w:lang w:val="en-GB"/>
        </w:rPr>
        <w:t>as to whether parent</w:t>
      </w:r>
      <w:r w:rsidR="0097686C" w:rsidRPr="00581C3B">
        <w:rPr>
          <w:rFonts w:cs="Arial"/>
          <w:bCs/>
          <w:sz w:val="24"/>
          <w:szCs w:val="24"/>
          <w:lang w:val="en-GB"/>
        </w:rPr>
        <w:t>s</w:t>
      </w:r>
      <w:r w:rsidR="00E74D00" w:rsidRPr="00581C3B">
        <w:rPr>
          <w:rFonts w:cs="Arial"/>
          <w:bCs/>
          <w:sz w:val="24"/>
          <w:szCs w:val="24"/>
          <w:lang w:val="en-GB"/>
        </w:rPr>
        <w:t xml:space="preserve"> should be allowed to access their children’s computers.  </w:t>
      </w:r>
      <w:r w:rsidR="00FC7D0E" w:rsidRPr="00581C3B">
        <w:rPr>
          <w:rFonts w:eastAsia="DengXian" w:cs="Arial"/>
          <w:sz w:val="24"/>
          <w:szCs w:val="24"/>
        </w:rPr>
        <w:t>W</w:t>
      </w:r>
      <w:r w:rsidRPr="00581C3B">
        <w:rPr>
          <w:rFonts w:eastAsia="DengXian" w:cs="Arial"/>
          <w:sz w:val="24"/>
          <w:szCs w:val="24"/>
        </w:rPr>
        <w:t xml:space="preserve">e find it sensible to explicitly carve out access for the purpose of protecting children under </w:t>
      </w:r>
      <w:r w:rsidR="00863B6B" w:rsidRPr="00581C3B">
        <w:rPr>
          <w:rFonts w:eastAsia="DengXian" w:cs="Arial"/>
          <w:sz w:val="24"/>
          <w:szCs w:val="24"/>
        </w:rPr>
        <w:t>16</w:t>
      </w:r>
      <w:r w:rsidRPr="00581C3B">
        <w:rPr>
          <w:rFonts w:eastAsia="DengXian" w:cs="Arial"/>
          <w:sz w:val="24"/>
          <w:szCs w:val="24"/>
        </w:rPr>
        <w:t xml:space="preserve"> from the </w:t>
      </w:r>
      <w:r w:rsidR="00FA2B72" w:rsidRPr="00581C3B">
        <w:rPr>
          <w:rFonts w:eastAsia="DengXian" w:cs="Arial"/>
          <w:sz w:val="24"/>
          <w:szCs w:val="24"/>
        </w:rPr>
        <w:t>A</w:t>
      </w:r>
      <w:r w:rsidRPr="00581C3B">
        <w:rPr>
          <w:rFonts w:eastAsia="DengXian" w:cs="Arial"/>
          <w:sz w:val="24"/>
          <w:szCs w:val="24"/>
        </w:rPr>
        <w:t xml:space="preserve">ccess </w:t>
      </w:r>
      <w:r w:rsidR="00FA2B72" w:rsidRPr="00581C3B">
        <w:rPr>
          <w:rFonts w:eastAsia="DengXian" w:cs="Arial"/>
          <w:sz w:val="24"/>
          <w:szCs w:val="24"/>
        </w:rPr>
        <w:t>O</w:t>
      </w:r>
      <w:r w:rsidRPr="00581C3B">
        <w:rPr>
          <w:rFonts w:eastAsia="DengXian" w:cs="Arial"/>
          <w:sz w:val="24"/>
          <w:szCs w:val="24"/>
        </w:rPr>
        <w:t>ffence.  W</w:t>
      </w:r>
      <w:r w:rsidR="00FA2B72" w:rsidRPr="00581C3B">
        <w:rPr>
          <w:rFonts w:eastAsia="DengXian" w:cs="Arial"/>
          <w:sz w:val="24"/>
          <w:szCs w:val="24"/>
        </w:rPr>
        <w:t>hile</w:t>
      </w:r>
      <w:r w:rsidRPr="00581C3B">
        <w:rPr>
          <w:rFonts w:eastAsia="DengXian" w:cs="Arial"/>
          <w:sz w:val="24"/>
          <w:szCs w:val="24"/>
        </w:rPr>
        <w:t xml:space="preserve"> the specific defence may </w:t>
      </w:r>
      <w:r w:rsidRPr="00581C3B">
        <w:rPr>
          <w:rFonts w:cs="Arial"/>
          <w:sz w:val="24"/>
          <w:szCs w:val="24"/>
        </w:rPr>
        <w:t>diminish the privacy right of children</w:t>
      </w:r>
      <w:r w:rsidR="00E91216" w:rsidRPr="00581C3B">
        <w:rPr>
          <w:rFonts w:cs="Arial"/>
          <w:sz w:val="24"/>
          <w:szCs w:val="24"/>
        </w:rPr>
        <w:t xml:space="preserve"> under 16</w:t>
      </w:r>
      <w:r w:rsidRPr="00581C3B">
        <w:rPr>
          <w:rFonts w:cs="Arial"/>
          <w:sz w:val="24"/>
          <w:szCs w:val="24"/>
        </w:rPr>
        <w:t xml:space="preserve">, </w:t>
      </w:r>
      <w:r w:rsidR="00FA2B72" w:rsidRPr="00581C3B">
        <w:rPr>
          <w:rFonts w:cs="Arial"/>
          <w:sz w:val="24"/>
          <w:szCs w:val="24"/>
        </w:rPr>
        <w:t>given</w:t>
      </w:r>
      <w:r w:rsidRPr="00581C3B">
        <w:rPr>
          <w:rFonts w:cs="Arial"/>
          <w:sz w:val="24"/>
          <w:szCs w:val="24"/>
        </w:rPr>
        <w:t xml:space="preserve"> the high internet penetration rate among </w:t>
      </w:r>
      <w:r w:rsidR="00E91216" w:rsidRPr="00581C3B">
        <w:rPr>
          <w:rFonts w:cs="Arial"/>
          <w:sz w:val="24"/>
          <w:szCs w:val="24"/>
        </w:rPr>
        <w:t>them</w:t>
      </w:r>
      <w:r w:rsidRPr="00581C3B">
        <w:rPr>
          <w:rFonts w:cs="Arial"/>
          <w:sz w:val="24"/>
          <w:szCs w:val="24"/>
        </w:rPr>
        <w:t>, we consider that the existence of the defence would be consistent with the principle of protecting the</w:t>
      </w:r>
      <w:r w:rsidR="0097686C" w:rsidRPr="00581C3B">
        <w:rPr>
          <w:rFonts w:cs="Arial"/>
          <w:sz w:val="24"/>
          <w:szCs w:val="24"/>
        </w:rPr>
        <w:t>ir</w:t>
      </w:r>
      <w:r w:rsidRPr="00581C3B">
        <w:rPr>
          <w:rFonts w:cs="Arial"/>
          <w:sz w:val="24"/>
          <w:szCs w:val="24"/>
        </w:rPr>
        <w:t xml:space="preserve"> interests</w:t>
      </w:r>
      <w:r w:rsidR="001E2C87" w:rsidRPr="00581C3B">
        <w:rPr>
          <w:rFonts w:cs="Arial"/>
          <w:sz w:val="24"/>
          <w:szCs w:val="24"/>
          <w:lang w:val="en-GB"/>
        </w:rPr>
        <w:t>.</w:t>
      </w:r>
    </w:p>
    <w:p w14:paraId="2C8D255E" w14:textId="6C7DB178" w:rsidR="008D0CB2" w:rsidRPr="00581C3B" w:rsidRDefault="008D0CB2" w:rsidP="0068171D">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rPr>
        <w:t>To maximise the protection, the</w:t>
      </w:r>
      <w:r w:rsidR="00522063" w:rsidRPr="00581C3B">
        <w:rPr>
          <w:rFonts w:cs="Arial"/>
          <w:sz w:val="24"/>
          <w:szCs w:val="24"/>
        </w:rPr>
        <w:t xml:space="preserve"> proposed</w:t>
      </w:r>
      <w:r w:rsidRPr="00581C3B">
        <w:rPr>
          <w:rFonts w:cs="Arial"/>
          <w:sz w:val="24"/>
          <w:szCs w:val="24"/>
        </w:rPr>
        <w:t xml:space="preserve"> defence </w:t>
      </w:r>
      <w:r w:rsidR="00522063" w:rsidRPr="00581C3B">
        <w:rPr>
          <w:rFonts w:cs="Arial"/>
          <w:sz w:val="24"/>
          <w:szCs w:val="24"/>
        </w:rPr>
        <w:t>is</w:t>
      </w:r>
      <w:r w:rsidRPr="00581C3B">
        <w:rPr>
          <w:rFonts w:cs="Arial"/>
          <w:sz w:val="24"/>
          <w:szCs w:val="24"/>
        </w:rPr>
        <w:t xml:space="preserve"> predicated on the subjective purpose of the person who sought </w:t>
      </w:r>
      <w:r w:rsidR="00E91216" w:rsidRPr="00581C3B">
        <w:rPr>
          <w:rFonts w:cs="Arial"/>
          <w:sz w:val="24"/>
          <w:szCs w:val="24"/>
        </w:rPr>
        <w:t xml:space="preserve">such </w:t>
      </w:r>
      <w:r w:rsidRPr="00581C3B">
        <w:rPr>
          <w:rFonts w:cs="Arial"/>
          <w:sz w:val="24"/>
          <w:szCs w:val="24"/>
        </w:rPr>
        <w:t xml:space="preserve">access </w:t>
      </w:r>
      <w:r w:rsidR="004952F9" w:rsidRPr="00581C3B">
        <w:rPr>
          <w:rFonts w:cs="Arial"/>
          <w:sz w:val="24"/>
          <w:szCs w:val="24"/>
        </w:rPr>
        <w:t>and</w:t>
      </w:r>
      <w:r w:rsidRPr="00581C3B">
        <w:rPr>
          <w:rFonts w:cs="Arial"/>
          <w:sz w:val="24"/>
          <w:szCs w:val="24"/>
        </w:rPr>
        <w:t xml:space="preserve"> n</w:t>
      </w:r>
      <w:r w:rsidR="004952F9" w:rsidRPr="00581C3B">
        <w:rPr>
          <w:rFonts w:cs="Arial"/>
          <w:sz w:val="24"/>
          <w:szCs w:val="24"/>
        </w:rPr>
        <w:t>o</w:t>
      </w:r>
      <w:r w:rsidRPr="00581C3B">
        <w:rPr>
          <w:rFonts w:cs="Arial"/>
          <w:sz w:val="24"/>
          <w:szCs w:val="24"/>
        </w:rPr>
        <w:t>t on the relationship between th</w:t>
      </w:r>
      <w:r w:rsidR="004952F9" w:rsidRPr="00581C3B">
        <w:rPr>
          <w:rFonts w:cs="Arial"/>
          <w:sz w:val="24"/>
          <w:szCs w:val="24"/>
        </w:rPr>
        <w:t>at</w:t>
      </w:r>
      <w:r w:rsidRPr="00581C3B">
        <w:rPr>
          <w:rFonts w:cs="Arial"/>
          <w:sz w:val="24"/>
          <w:szCs w:val="24"/>
        </w:rPr>
        <w:t xml:space="preserve"> person and the child.</w:t>
      </w:r>
    </w:p>
    <w:p w14:paraId="430E470B" w14:textId="2D0E3158" w:rsidR="008D0CB2" w:rsidRPr="00581C3B" w:rsidRDefault="008D0CB2" w:rsidP="0068171D">
      <w:pPr>
        <w:pStyle w:val="ListParagraph"/>
        <w:widowControl/>
        <w:numPr>
          <w:ilvl w:val="0"/>
          <w:numId w:val="14"/>
        </w:numPr>
        <w:spacing w:after="240" w:line="240" w:lineRule="auto"/>
        <w:ind w:left="0" w:firstLine="0"/>
        <w:contextualSpacing w:val="0"/>
        <w:rPr>
          <w:rFonts w:cs="Arial"/>
          <w:sz w:val="24"/>
          <w:szCs w:val="24"/>
        </w:rPr>
      </w:pPr>
      <w:r w:rsidRPr="00581C3B">
        <w:rPr>
          <w:rFonts w:cs="Arial"/>
          <w:sz w:val="24"/>
          <w:szCs w:val="24"/>
        </w:rPr>
        <w:t>To avoid abuse of th</w:t>
      </w:r>
      <w:r w:rsidR="00522063" w:rsidRPr="00581C3B">
        <w:rPr>
          <w:rFonts w:cs="Arial"/>
          <w:sz w:val="24"/>
          <w:szCs w:val="24"/>
        </w:rPr>
        <w:t>is</w:t>
      </w:r>
      <w:r w:rsidRPr="00581C3B">
        <w:rPr>
          <w:rFonts w:cs="Arial"/>
          <w:sz w:val="24"/>
          <w:szCs w:val="24"/>
        </w:rPr>
        <w:t xml:space="preserve"> defence, the</w:t>
      </w:r>
      <w:r w:rsidR="008B51AE" w:rsidRPr="00581C3B">
        <w:rPr>
          <w:rFonts w:cs="Arial"/>
          <w:sz w:val="24"/>
          <w:szCs w:val="24"/>
        </w:rPr>
        <w:t xml:space="preserve"> act of</w:t>
      </w:r>
      <w:r w:rsidRPr="00581C3B">
        <w:rPr>
          <w:rFonts w:cs="Arial"/>
          <w:sz w:val="24"/>
          <w:szCs w:val="24"/>
        </w:rPr>
        <w:t xml:space="preserve"> access</w:t>
      </w:r>
      <w:r w:rsidR="00D9345F" w:rsidRPr="00581C3B">
        <w:rPr>
          <w:rFonts w:cs="Arial"/>
          <w:sz w:val="24"/>
          <w:szCs w:val="24"/>
        </w:rPr>
        <w:t xml:space="preserve"> should be restricted</w:t>
      </w:r>
      <w:r w:rsidRPr="00581C3B">
        <w:rPr>
          <w:rFonts w:cs="Arial"/>
          <w:sz w:val="24"/>
          <w:szCs w:val="24"/>
        </w:rPr>
        <w:t xml:space="preserve"> to what is reasonably necessary for protecting the interests of a child, having regard to all circumstances of the case.</w:t>
      </w:r>
      <w:r w:rsidRPr="00581C3B">
        <w:rPr>
          <w:rFonts w:cs="Arial" w:hint="eastAsia"/>
          <w:sz w:val="24"/>
          <w:szCs w:val="24"/>
        </w:rPr>
        <w:t xml:space="preserve"> </w:t>
      </w:r>
      <w:r w:rsidRPr="00581C3B">
        <w:rPr>
          <w:rFonts w:cs="Arial"/>
          <w:sz w:val="24"/>
          <w:szCs w:val="24"/>
        </w:rPr>
        <w:t xml:space="preserve"> </w:t>
      </w:r>
      <w:r w:rsidR="002701C3" w:rsidRPr="00581C3B">
        <w:rPr>
          <w:rFonts w:cs="Arial"/>
          <w:sz w:val="24"/>
          <w:szCs w:val="24"/>
        </w:rPr>
        <w:t>We have identified t</w:t>
      </w:r>
      <w:r w:rsidR="00D9345F" w:rsidRPr="00581C3B">
        <w:rPr>
          <w:rFonts w:cs="Arial"/>
          <w:sz w:val="24"/>
          <w:szCs w:val="24"/>
        </w:rPr>
        <w:t>he following t</w:t>
      </w:r>
      <w:r w:rsidR="002701C3" w:rsidRPr="00581C3B">
        <w:rPr>
          <w:rFonts w:cs="Arial"/>
          <w:sz w:val="24"/>
          <w:szCs w:val="24"/>
        </w:rPr>
        <w:t xml:space="preserve">wo options </w:t>
      </w:r>
      <w:r w:rsidR="00D9345F" w:rsidRPr="00581C3B">
        <w:rPr>
          <w:rFonts w:cs="Arial"/>
          <w:sz w:val="24"/>
          <w:szCs w:val="24"/>
        </w:rPr>
        <w:t>of formulating this defence</w:t>
      </w:r>
      <w:r w:rsidR="002701C3" w:rsidRPr="00581C3B">
        <w:rPr>
          <w:rFonts w:cs="Arial"/>
          <w:sz w:val="24"/>
          <w:szCs w:val="24"/>
        </w:rPr>
        <w:t>:</w:t>
      </w:r>
    </w:p>
    <w:p w14:paraId="34EA407B" w14:textId="657448CD" w:rsidR="002701C3" w:rsidRPr="00581C3B" w:rsidRDefault="00D9345F" w:rsidP="008706C7">
      <w:pPr>
        <w:pStyle w:val="ListParagraph"/>
        <w:numPr>
          <w:ilvl w:val="2"/>
          <w:numId w:val="15"/>
        </w:numPr>
        <w:spacing w:after="240"/>
        <w:ind w:left="1440" w:hanging="720"/>
        <w:contextualSpacing w:val="0"/>
        <w:rPr>
          <w:rFonts w:cs="Arial"/>
          <w:sz w:val="24"/>
          <w:szCs w:val="24"/>
        </w:rPr>
      </w:pPr>
      <w:r w:rsidRPr="00581C3B">
        <w:rPr>
          <w:rFonts w:cs="Arial"/>
          <w:sz w:val="24"/>
          <w:szCs w:val="24"/>
        </w:rPr>
        <w:t xml:space="preserve">A broader defence: </w:t>
      </w:r>
      <w:r w:rsidR="002701C3" w:rsidRPr="00581C3B">
        <w:rPr>
          <w:rFonts w:cs="Arial"/>
          <w:sz w:val="24"/>
          <w:szCs w:val="24"/>
        </w:rPr>
        <w:t>Access to program or data for protecting the interests of a child; and</w:t>
      </w:r>
    </w:p>
    <w:p w14:paraId="0D591473" w14:textId="43DC8336" w:rsidR="002701C3" w:rsidRPr="00581C3B" w:rsidRDefault="00D9345F" w:rsidP="008706C7">
      <w:pPr>
        <w:pStyle w:val="ListParagraph"/>
        <w:numPr>
          <w:ilvl w:val="2"/>
          <w:numId w:val="15"/>
        </w:numPr>
        <w:spacing w:beforeLines="100" w:before="240" w:afterLines="100" w:after="240"/>
        <w:ind w:left="1440" w:hanging="720"/>
        <w:contextualSpacing w:val="0"/>
        <w:rPr>
          <w:rFonts w:cs="Arial"/>
          <w:sz w:val="24"/>
          <w:szCs w:val="24"/>
        </w:rPr>
      </w:pPr>
      <w:r w:rsidRPr="00581C3B">
        <w:rPr>
          <w:rFonts w:cs="Arial"/>
          <w:sz w:val="24"/>
          <w:szCs w:val="24"/>
        </w:rPr>
        <w:t xml:space="preserve">A narrower defence: </w:t>
      </w:r>
      <w:r w:rsidR="002701C3" w:rsidRPr="00581C3B">
        <w:rPr>
          <w:rFonts w:cs="Arial"/>
          <w:sz w:val="24"/>
          <w:szCs w:val="24"/>
          <w:lang w:val="en-GB"/>
        </w:rPr>
        <w:t>Access to program or data for preventing physical, emotional or psychological harm to a child.</w:t>
      </w:r>
    </w:p>
    <w:p w14:paraId="6EE6C437" w14:textId="5603F0D0" w:rsidR="00D9345F" w:rsidRPr="00B86BA8" w:rsidRDefault="00D9345F" w:rsidP="00765211">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rPr>
        <w:t>We have analysed</w:t>
      </w:r>
      <w:r w:rsidR="00B75E17" w:rsidRPr="00581C3B">
        <w:rPr>
          <w:rFonts w:cs="Arial"/>
          <w:sz w:val="24"/>
          <w:szCs w:val="24"/>
        </w:rPr>
        <w:t xml:space="preserve"> the pros and cons of both options in the Report.</w:t>
      </w:r>
      <w:r w:rsidR="00B75E17" w:rsidRPr="00581C3B">
        <w:rPr>
          <w:rFonts w:eastAsiaTheme="minorEastAsia" w:cs="Arial"/>
          <w:sz w:val="24"/>
          <w:szCs w:val="24"/>
          <w:vertAlign w:val="superscript"/>
          <w:lang w:val="en-GB"/>
        </w:rPr>
        <w:footnoteReference w:id="15"/>
      </w:r>
      <w:r w:rsidR="00B75E17" w:rsidRPr="00581C3B">
        <w:rPr>
          <w:rFonts w:cs="Arial"/>
          <w:sz w:val="24"/>
          <w:szCs w:val="24"/>
        </w:rPr>
        <w:t xml:space="preserve">  </w:t>
      </w:r>
      <w:r w:rsidR="00996456">
        <w:rPr>
          <w:rFonts w:cs="Arial"/>
          <w:sz w:val="24"/>
          <w:szCs w:val="24"/>
        </w:rPr>
        <w:t>The first (</w:t>
      </w:r>
      <w:r w:rsidR="00B66AB8">
        <w:rPr>
          <w:rFonts w:cs="Arial"/>
          <w:sz w:val="24"/>
          <w:szCs w:val="24"/>
        </w:rPr>
        <w:t>broad</w:t>
      </w:r>
      <w:r w:rsidR="00996456">
        <w:rPr>
          <w:rFonts w:cs="Arial"/>
          <w:sz w:val="24"/>
          <w:szCs w:val="24"/>
        </w:rPr>
        <w:t xml:space="preserve">er) option is preferred by a narrow majority in the Sub-committee.  </w:t>
      </w:r>
      <w:r w:rsidRPr="00581C3B">
        <w:rPr>
          <w:rFonts w:cs="Arial"/>
          <w:sz w:val="24"/>
          <w:szCs w:val="24"/>
        </w:rPr>
        <w:t xml:space="preserve">As the Government may further consult the public should it decide to implement our recommendation, the issue </w:t>
      </w:r>
      <w:r w:rsidR="008B51AE" w:rsidRPr="00581C3B">
        <w:rPr>
          <w:rFonts w:cs="Arial"/>
          <w:sz w:val="24"/>
          <w:szCs w:val="24"/>
        </w:rPr>
        <w:t>is</w:t>
      </w:r>
      <w:r w:rsidRPr="00581C3B">
        <w:rPr>
          <w:rFonts w:cs="Arial"/>
          <w:sz w:val="24"/>
          <w:szCs w:val="24"/>
        </w:rPr>
        <w:t xml:space="preserve"> best left for the decision of the Government having regard to the sentiments in society.</w:t>
      </w:r>
    </w:p>
    <w:p w14:paraId="08E626E8" w14:textId="752CA758" w:rsidR="004469C1" w:rsidRPr="004469C1" w:rsidRDefault="004469C1" w:rsidP="00765211">
      <w:pPr>
        <w:pStyle w:val="ListParagraph"/>
        <w:widowControl/>
        <w:numPr>
          <w:ilvl w:val="0"/>
          <w:numId w:val="14"/>
        </w:numPr>
        <w:spacing w:after="240" w:line="240" w:lineRule="auto"/>
        <w:ind w:left="0" w:firstLine="0"/>
        <w:contextualSpacing w:val="0"/>
        <w:rPr>
          <w:rFonts w:cs="Arial"/>
          <w:sz w:val="24"/>
          <w:szCs w:val="24"/>
          <w:lang w:val="en-GB"/>
        </w:rPr>
      </w:pPr>
      <w:r w:rsidRPr="004469C1">
        <w:rPr>
          <w:rFonts w:cs="Arial"/>
          <w:sz w:val="24"/>
          <w:szCs w:val="24"/>
        </w:rPr>
        <w:t xml:space="preserve">Since an adult with mental disability may be prone to exploitation, we </w:t>
      </w:r>
      <w:r w:rsidR="00996456">
        <w:rPr>
          <w:rFonts w:cs="Arial"/>
          <w:sz w:val="24"/>
          <w:szCs w:val="24"/>
        </w:rPr>
        <w:t xml:space="preserve">further </w:t>
      </w:r>
      <w:r w:rsidRPr="004469C1">
        <w:rPr>
          <w:rFonts w:cs="Arial"/>
          <w:sz w:val="24"/>
          <w:szCs w:val="24"/>
        </w:rPr>
        <w:t xml:space="preserve">recommend </w:t>
      </w:r>
      <w:r w:rsidR="00996456">
        <w:rPr>
          <w:rFonts w:cs="Arial"/>
          <w:sz w:val="24"/>
          <w:szCs w:val="24"/>
        </w:rPr>
        <w:t>that</w:t>
      </w:r>
      <w:r w:rsidRPr="004469C1">
        <w:rPr>
          <w:rFonts w:cs="Arial"/>
          <w:sz w:val="24"/>
          <w:szCs w:val="24"/>
        </w:rPr>
        <w:t xml:space="preserve"> the specific defence for unauthorised access to program or data should be extended to the protection of </w:t>
      </w:r>
      <w:r w:rsidR="009E7794">
        <w:rPr>
          <w:rFonts w:cs="Arial"/>
          <w:sz w:val="24"/>
          <w:szCs w:val="24"/>
        </w:rPr>
        <w:t xml:space="preserve">a </w:t>
      </w:r>
      <w:r w:rsidRPr="004469C1">
        <w:rPr>
          <w:rFonts w:cs="Arial"/>
          <w:sz w:val="24"/>
          <w:szCs w:val="24"/>
        </w:rPr>
        <w:t>vulnerable person</w:t>
      </w:r>
      <w:r w:rsidR="009E7794">
        <w:rPr>
          <w:rFonts w:cs="Arial"/>
          <w:sz w:val="24"/>
          <w:szCs w:val="24"/>
        </w:rPr>
        <w:t>, ie a</w:t>
      </w:r>
      <w:r w:rsidRPr="004469C1">
        <w:rPr>
          <w:rFonts w:cs="Arial"/>
          <w:sz w:val="24"/>
          <w:szCs w:val="24"/>
        </w:rPr>
        <w:t xml:space="preserve"> </w:t>
      </w:r>
      <w:r w:rsidRPr="009E7794">
        <w:rPr>
          <w:rFonts w:cs="Arial"/>
          <w:sz w:val="24"/>
          <w:szCs w:val="24"/>
        </w:rPr>
        <w:t>mentally disordered person</w:t>
      </w:r>
      <w:r w:rsidRPr="009E7794">
        <w:rPr>
          <w:rStyle w:val="FootnoteReference"/>
          <w:rFonts w:eastAsia="DengXian" w:cs="Arial"/>
          <w:sz w:val="24"/>
          <w:szCs w:val="24"/>
        </w:rPr>
        <w:t xml:space="preserve"> </w:t>
      </w:r>
      <w:r w:rsidRPr="009E7794">
        <w:rPr>
          <w:rStyle w:val="FootnoteReference"/>
          <w:rFonts w:eastAsia="DengXian" w:cs="Arial"/>
          <w:sz w:val="24"/>
          <w:szCs w:val="24"/>
        </w:rPr>
        <w:footnoteReference w:id="16"/>
      </w:r>
      <w:r w:rsidRPr="009E7794">
        <w:rPr>
          <w:rFonts w:cs="Arial"/>
          <w:sz w:val="24"/>
          <w:szCs w:val="24"/>
        </w:rPr>
        <w:t xml:space="preserve"> and </w:t>
      </w:r>
      <w:r w:rsidR="009E7794" w:rsidRPr="009E7794">
        <w:rPr>
          <w:rFonts w:cs="Arial"/>
          <w:sz w:val="24"/>
          <w:szCs w:val="24"/>
        </w:rPr>
        <w:t xml:space="preserve">a </w:t>
      </w:r>
      <w:r w:rsidRPr="009E7794">
        <w:rPr>
          <w:rFonts w:cs="Arial"/>
          <w:sz w:val="24"/>
          <w:szCs w:val="24"/>
        </w:rPr>
        <w:t>mentally handicapped person</w:t>
      </w:r>
      <w:r w:rsidRPr="004469C1">
        <w:rPr>
          <w:rStyle w:val="FootnoteReference"/>
          <w:rFonts w:eastAsia="DengXian" w:cs="Arial"/>
          <w:sz w:val="24"/>
          <w:szCs w:val="24"/>
        </w:rPr>
        <w:footnoteReference w:id="17"/>
      </w:r>
      <w:r w:rsidRPr="004469C1">
        <w:rPr>
          <w:rFonts w:cs="Arial"/>
          <w:sz w:val="24"/>
          <w:szCs w:val="24"/>
        </w:rPr>
        <w:t xml:space="preserve"> </w:t>
      </w:r>
      <w:r w:rsidR="009E7794">
        <w:rPr>
          <w:rFonts w:cs="Arial"/>
          <w:sz w:val="24"/>
          <w:szCs w:val="24"/>
        </w:rPr>
        <w:t xml:space="preserve">as defined </w:t>
      </w:r>
      <w:r w:rsidRPr="004469C1">
        <w:rPr>
          <w:rFonts w:cs="Arial"/>
          <w:sz w:val="24"/>
          <w:szCs w:val="24"/>
        </w:rPr>
        <w:t>in the Mental Health Ordinance (Cap 136).</w:t>
      </w:r>
    </w:p>
    <w:p w14:paraId="6FA37959" w14:textId="526112C5" w:rsidR="00D9345F" w:rsidRPr="00581C3B" w:rsidRDefault="00D9345F" w:rsidP="008706C7">
      <w:pPr>
        <w:pStyle w:val="ListParagraph"/>
        <w:keepNext/>
        <w:widowControl/>
        <w:spacing w:after="240" w:line="240" w:lineRule="auto"/>
        <w:ind w:left="0"/>
        <w:contextualSpacing w:val="0"/>
        <w:rPr>
          <w:rFonts w:cs="Arial"/>
          <w:sz w:val="24"/>
          <w:szCs w:val="24"/>
          <w:lang w:val="en-GB"/>
        </w:rPr>
      </w:pPr>
      <w:r w:rsidRPr="00581C3B">
        <w:rPr>
          <w:rFonts w:cs="Arial"/>
          <w:b/>
          <w:i/>
          <w:sz w:val="24"/>
          <w:szCs w:val="24"/>
        </w:rPr>
        <w:lastRenderedPageBreak/>
        <w:t xml:space="preserve">Access for </w:t>
      </w:r>
      <w:r w:rsidRPr="00581C3B">
        <w:rPr>
          <w:rFonts w:eastAsia="DengXian"/>
          <w:b/>
          <w:i/>
          <w:sz w:val="24"/>
          <w:szCs w:val="24"/>
        </w:rPr>
        <w:t>genuine research purposes</w:t>
      </w:r>
      <w:r w:rsidR="00532E64" w:rsidRPr="00581C3B">
        <w:rPr>
          <w:rFonts w:eastAsia="Arial Unicode MS" w:cs="Arial"/>
          <w:kern w:val="2"/>
          <w:sz w:val="24"/>
          <w:szCs w:val="24"/>
          <w:vertAlign w:val="superscript"/>
        </w:rPr>
        <w:footnoteReference w:id="18"/>
      </w:r>
    </w:p>
    <w:p w14:paraId="13FE137F" w14:textId="5EA9BCA7" w:rsidR="00AF731F" w:rsidRPr="00581C3B" w:rsidRDefault="00093775" w:rsidP="008706C7">
      <w:pPr>
        <w:pStyle w:val="ListParagraph"/>
        <w:keepNext/>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rPr>
        <w:t>A number of information technology related bodies suggested exempting access to program or data made for the purposes of research, analysis or testing tester-owned devices or targets performed in a controlled environment.</w:t>
      </w:r>
    </w:p>
    <w:p w14:paraId="59281549" w14:textId="0F648562" w:rsidR="002D0873" w:rsidRPr="00581C3B" w:rsidRDefault="00093775" w:rsidP="00970715">
      <w:pPr>
        <w:pStyle w:val="ListParagraph"/>
        <w:numPr>
          <w:ilvl w:val="0"/>
          <w:numId w:val="14"/>
        </w:numPr>
        <w:spacing w:after="240" w:line="240" w:lineRule="auto"/>
        <w:ind w:left="0" w:firstLine="0"/>
        <w:contextualSpacing w:val="0"/>
        <w:rPr>
          <w:rFonts w:cs="Arial"/>
          <w:sz w:val="24"/>
          <w:szCs w:val="24"/>
        </w:rPr>
      </w:pPr>
      <w:r w:rsidRPr="00581C3B">
        <w:rPr>
          <w:rFonts w:cs="Arial"/>
          <w:sz w:val="24"/>
          <w:szCs w:val="24"/>
        </w:rPr>
        <w:t xml:space="preserve">We agree that it would be reasonable to provide a specific defence for access to program or data made for research purposes since </w:t>
      </w:r>
      <w:r w:rsidR="00570CE5">
        <w:rPr>
          <w:rFonts w:cs="Arial"/>
          <w:sz w:val="24"/>
          <w:szCs w:val="24"/>
        </w:rPr>
        <w:t>such</w:t>
      </w:r>
      <w:r w:rsidRPr="00581C3B">
        <w:rPr>
          <w:rFonts w:cs="Arial"/>
          <w:sz w:val="24"/>
          <w:szCs w:val="24"/>
        </w:rPr>
        <w:t xml:space="preserve"> research could yield useful analysis or information.</w:t>
      </w:r>
      <w:r w:rsidR="00E87BCB" w:rsidRPr="00581C3B">
        <w:rPr>
          <w:rFonts w:eastAsiaTheme="minorEastAsia" w:cs="Arial"/>
          <w:sz w:val="24"/>
          <w:szCs w:val="24"/>
          <w:vertAlign w:val="superscript"/>
          <w:lang w:val="en-GB"/>
        </w:rPr>
        <w:footnoteReference w:id="19"/>
      </w:r>
      <w:r w:rsidRPr="00581C3B">
        <w:rPr>
          <w:rFonts w:cs="Arial"/>
          <w:sz w:val="24"/>
          <w:szCs w:val="24"/>
        </w:rPr>
        <w:t xml:space="preserve">  </w:t>
      </w:r>
      <w:r w:rsidR="00E91216" w:rsidRPr="00581C3B">
        <w:rPr>
          <w:rFonts w:cs="Arial"/>
          <w:sz w:val="24"/>
          <w:szCs w:val="24"/>
        </w:rPr>
        <w:t>We opine that the proposed defence, m</w:t>
      </w:r>
      <w:r w:rsidRPr="00581C3B">
        <w:rPr>
          <w:rFonts w:cs="Arial"/>
          <w:sz w:val="24"/>
          <w:szCs w:val="24"/>
        </w:rPr>
        <w:t>odell</w:t>
      </w:r>
      <w:r w:rsidR="00E91216" w:rsidRPr="00581C3B">
        <w:rPr>
          <w:rFonts w:cs="Arial"/>
          <w:sz w:val="24"/>
          <w:szCs w:val="24"/>
        </w:rPr>
        <w:t>ed</w:t>
      </w:r>
      <w:r w:rsidRPr="00581C3B">
        <w:rPr>
          <w:rFonts w:cs="Arial"/>
          <w:sz w:val="24"/>
          <w:szCs w:val="24"/>
        </w:rPr>
        <w:t xml:space="preserve"> on th</w:t>
      </w:r>
      <w:r w:rsidR="00E91216" w:rsidRPr="00581C3B">
        <w:rPr>
          <w:rFonts w:cs="Arial"/>
          <w:sz w:val="24"/>
          <w:szCs w:val="24"/>
        </w:rPr>
        <w:t>at</w:t>
      </w:r>
      <w:r w:rsidRPr="00581C3B">
        <w:rPr>
          <w:rFonts w:cs="Arial"/>
          <w:sz w:val="24"/>
          <w:szCs w:val="24"/>
        </w:rPr>
        <w:t xml:space="preserve"> for the various child pornography </w:t>
      </w:r>
      <w:r w:rsidR="00E87BCB" w:rsidRPr="00581C3B">
        <w:rPr>
          <w:rFonts w:cs="Arial"/>
          <w:sz w:val="24"/>
          <w:szCs w:val="24"/>
        </w:rPr>
        <w:t>offences</w:t>
      </w:r>
      <w:r w:rsidRPr="00581C3B">
        <w:rPr>
          <w:rFonts w:cs="Arial"/>
          <w:sz w:val="24"/>
          <w:szCs w:val="24"/>
        </w:rPr>
        <w:t>,</w:t>
      </w:r>
      <w:r w:rsidR="00E87BCB" w:rsidRPr="00581C3B">
        <w:rPr>
          <w:rFonts w:eastAsiaTheme="minorEastAsia" w:cs="Arial"/>
          <w:sz w:val="24"/>
          <w:szCs w:val="24"/>
          <w:vertAlign w:val="superscript"/>
          <w:lang w:val="en-GB"/>
        </w:rPr>
        <w:footnoteReference w:id="20"/>
      </w:r>
      <w:r w:rsidRPr="00581C3B">
        <w:rPr>
          <w:rFonts w:cs="Arial"/>
          <w:sz w:val="24"/>
          <w:szCs w:val="24"/>
        </w:rPr>
        <w:t xml:space="preserve"> may be formulated as access to program or data made for a genuine educational, scientific or research purpose.  To avoid abuse, one of the requirements of th</w:t>
      </w:r>
      <w:r w:rsidR="00B75E17" w:rsidRPr="00581C3B">
        <w:rPr>
          <w:rFonts w:cs="Arial"/>
          <w:sz w:val="24"/>
          <w:szCs w:val="24"/>
        </w:rPr>
        <w:t>e</w:t>
      </w:r>
      <w:r w:rsidRPr="00581C3B">
        <w:rPr>
          <w:rFonts w:cs="Arial"/>
          <w:sz w:val="24"/>
          <w:szCs w:val="24"/>
        </w:rPr>
        <w:t xml:space="preserve"> defence is that the access must be reasonable and no more than is necessary for achieving the </w:t>
      </w:r>
      <w:r w:rsidR="00E91216" w:rsidRPr="00581C3B">
        <w:rPr>
          <w:rFonts w:cs="Arial"/>
          <w:sz w:val="24"/>
          <w:szCs w:val="24"/>
        </w:rPr>
        <w:t>relevant</w:t>
      </w:r>
      <w:r w:rsidRPr="00581C3B">
        <w:rPr>
          <w:rFonts w:cs="Arial"/>
          <w:sz w:val="24"/>
          <w:szCs w:val="24"/>
        </w:rPr>
        <w:t xml:space="preserve"> purpose.  This “reasonableness” requirement serve</w:t>
      </w:r>
      <w:r w:rsidR="00B75E17" w:rsidRPr="00581C3B">
        <w:rPr>
          <w:rFonts w:cs="Arial"/>
          <w:sz w:val="24"/>
          <w:szCs w:val="24"/>
        </w:rPr>
        <w:t>s</w:t>
      </w:r>
      <w:r w:rsidRPr="00581C3B">
        <w:rPr>
          <w:rFonts w:cs="Arial"/>
          <w:sz w:val="24"/>
          <w:szCs w:val="24"/>
        </w:rPr>
        <w:t xml:space="preserve"> as an objective yardstick for determining whether the access made by a defendant is proportionate or reasonable.</w:t>
      </w:r>
    </w:p>
    <w:p w14:paraId="2030445B" w14:textId="30A6724C" w:rsidR="004F69BD" w:rsidRPr="00581C3B" w:rsidRDefault="00725D52" w:rsidP="004F69BD">
      <w:pPr>
        <w:pStyle w:val="ListParagraph"/>
        <w:widowControl/>
        <w:spacing w:after="240" w:line="240" w:lineRule="auto"/>
        <w:ind w:left="0"/>
        <w:contextualSpacing w:val="0"/>
        <w:rPr>
          <w:rFonts w:cs="Arial"/>
          <w:sz w:val="24"/>
          <w:szCs w:val="24"/>
        </w:rPr>
      </w:pPr>
      <w:r w:rsidRPr="00581C3B">
        <w:rPr>
          <w:b/>
          <w:i/>
          <w:sz w:val="24"/>
          <w:szCs w:val="24"/>
        </w:rPr>
        <w:t>D</w:t>
      </w:r>
      <w:r w:rsidR="00970715" w:rsidRPr="00581C3B">
        <w:rPr>
          <w:b/>
          <w:i/>
          <w:sz w:val="24"/>
          <w:szCs w:val="24"/>
        </w:rPr>
        <w:t>efences under section 64(2) of the Crimes Ordinance</w:t>
      </w:r>
      <w:r w:rsidR="003716DF" w:rsidRPr="00581C3B">
        <w:rPr>
          <w:b/>
          <w:i/>
          <w:sz w:val="24"/>
          <w:szCs w:val="24"/>
        </w:rPr>
        <w:t xml:space="preserve"> (“CO”)</w:t>
      </w:r>
      <w:r w:rsidR="00970715" w:rsidRPr="00581C3B">
        <w:rPr>
          <w:b/>
          <w:i/>
          <w:sz w:val="24"/>
          <w:szCs w:val="24"/>
        </w:rPr>
        <w:t xml:space="preserve"> for the offences of illegal interference with computer data and computer system</w:t>
      </w:r>
      <w:r w:rsidR="007744FE" w:rsidRPr="00581C3B">
        <w:rPr>
          <w:i/>
          <w:sz w:val="24"/>
          <w:szCs w:val="24"/>
        </w:rPr>
        <w:t xml:space="preserve"> </w:t>
      </w:r>
      <w:r w:rsidR="00B75E17" w:rsidRPr="00581C3B">
        <w:rPr>
          <w:b/>
          <w:i/>
          <w:sz w:val="24"/>
          <w:szCs w:val="24"/>
        </w:rPr>
        <w:t>(“Interference Offences”</w:t>
      </w:r>
      <w:r w:rsidR="00532E64" w:rsidRPr="00581C3B">
        <w:rPr>
          <w:b/>
          <w:i/>
          <w:sz w:val="24"/>
          <w:szCs w:val="24"/>
        </w:rPr>
        <w:t>)</w:t>
      </w:r>
      <w:r w:rsidR="00532E64" w:rsidRPr="00581C3B">
        <w:rPr>
          <w:rFonts w:eastAsia="Arial Unicode MS" w:cs="Arial"/>
          <w:kern w:val="2"/>
          <w:sz w:val="24"/>
          <w:szCs w:val="24"/>
          <w:vertAlign w:val="superscript"/>
        </w:rPr>
        <w:footnoteReference w:id="21"/>
      </w:r>
    </w:p>
    <w:p w14:paraId="6895A20A" w14:textId="2935666D" w:rsidR="00970715" w:rsidRPr="00581C3B" w:rsidRDefault="00970715" w:rsidP="002D0873">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As interference with computer data and/or computer system normally only occur upon access to program or data, we take the view that the consent defence and the property protection defence under</w:t>
      </w:r>
      <w:r w:rsidR="00C05200" w:rsidRPr="00581C3B">
        <w:rPr>
          <w:rFonts w:cs="Arial"/>
          <w:sz w:val="24"/>
          <w:szCs w:val="24"/>
        </w:rPr>
        <w:t xml:space="preserve"> section 64(2) of</w:t>
      </w:r>
      <w:r w:rsidRPr="00581C3B">
        <w:rPr>
          <w:rFonts w:cs="Arial"/>
          <w:sz w:val="24"/>
          <w:szCs w:val="24"/>
        </w:rPr>
        <w:t xml:space="preserve"> the CO</w:t>
      </w:r>
      <w:r w:rsidR="00C05200" w:rsidRPr="00581C3B">
        <w:rPr>
          <w:rFonts w:cs="Arial"/>
          <w:sz w:val="24"/>
          <w:szCs w:val="24"/>
        </w:rPr>
        <w:t xml:space="preserve"> (“</w:t>
      </w:r>
      <w:r w:rsidR="00C05200" w:rsidRPr="00581C3B">
        <w:rPr>
          <w:rFonts w:cs="Arial"/>
          <w:b/>
          <w:sz w:val="24"/>
          <w:szCs w:val="24"/>
        </w:rPr>
        <w:t>S64(2)</w:t>
      </w:r>
      <w:r w:rsidR="00C05200" w:rsidRPr="00581C3B">
        <w:rPr>
          <w:rFonts w:cs="Arial"/>
          <w:sz w:val="24"/>
          <w:szCs w:val="24"/>
        </w:rPr>
        <w:t>”)</w:t>
      </w:r>
      <w:r w:rsidR="00C05200" w:rsidRPr="00581C3B">
        <w:rPr>
          <w:rFonts w:eastAsiaTheme="minorEastAsia" w:cs="Arial"/>
          <w:sz w:val="24"/>
          <w:szCs w:val="24"/>
          <w:vertAlign w:val="superscript"/>
          <w:lang w:val="en-GB"/>
        </w:rPr>
        <w:footnoteReference w:id="22"/>
      </w:r>
      <w:r w:rsidRPr="00581C3B">
        <w:rPr>
          <w:rFonts w:cs="Arial"/>
          <w:sz w:val="24"/>
          <w:szCs w:val="24"/>
        </w:rPr>
        <w:t xml:space="preserve"> </w:t>
      </w:r>
      <w:r w:rsidR="00532E64" w:rsidRPr="00581C3B">
        <w:rPr>
          <w:rFonts w:cs="Arial"/>
          <w:sz w:val="24"/>
          <w:szCs w:val="24"/>
        </w:rPr>
        <w:t xml:space="preserve">(which </w:t>
      </w:r>
      <w:r w:rsidR="00445278" w:rsidRPr="00581C3B">
        <w:rPr>
          <w:rFonts w:cs="Arial"/>
          <w:sz w:val="24"/>
          <w:szCs w:val="24"/>
        </w:rPr>
        <w:t>apply to the Interference Offences</w:t>
      </w:r>
      <w:r w:rsidR="00532E64" w:rsidRPr="00581C3B">
        <w:rPr>
          <w:rFonts w:cs="Arial"/>
          <w:sz w:val="24"/>
          <w:szCs w:val="24"/>
        </w:rPr>
        <w:t>)</w:t>
      </w:r>
      <w:r w:rsidR="00445278" w:rsidRPr="00581C3B">
        <w:rPr>
          <w:rFonts w:eastAsiaTheme="minorEastAsia" w:cs="Arial"/>
          <w:sz w:val="24"/>
          <w:szCs w:val="24"/>
          <w:vertAlign w:val="superscript"/>
          <w:lang w:val="en-GB"/>
        </w:rPr>
        <w:footnoteReference w:id="23"/>
      </w:r>
      <w:r w:rsidR="00532E64" w:rsidRPr="00581C3B">
        <w:rPr>
          <w:rFonts w:cs="Arial"/>
          <w:sz w:val="24"/>
          <w:szCs w:val="24"/>
        </w:rPr>
        <w:t xml:space="preserve"> </w:t>
      </w:r>
      <w:r w:rsidRPr="00581C3B">
        <w:rPr>
          <w:rFonts w:cs="Arial"/>
          <w:sz w:val="24"/>
          <w:szCs w:val="24"/>
        </w:rPr>
        <w:t xml:space="preserve">should likewise apply to the </w:t>
      </w:r>
      <w:r w:rsidR="00B75E17" w:rsidRPr="00581C3B">
        <w:rPr>
          <w:rFonts w:cs="Arial"/>
          <w:sz w:val="24"/>
          <w:szCs w:val="24"/>
        </w:rPr>
        <w:t>A</w:t>
      </w:r>
      <w:r w:rsidRPr="00581C3B">
        <w:rPr>
          <w:rFonts w:cs="Arial"/>
          <w:sz w:val="24"/>
          <w:szCs w:val="24"/>
        </w:rPr>
        <w:t xml:space="preserve">ccess </w:t>
      </w:r>
      <w:r w:rsidR="00B75E17" w:rsidRPr="00581C3B">
        <w:rPr>
          <w:rFonts w:cs="Arial"/>
          <w:sz w:val="24"/>
          <w:szCs w:val="24"/>
        </w:rPr>
        <w:t>O</w:t>
      </w:r>
      <w:r w:rsidRPr="00581C3B">
        <w:rPr>
          <w:rFonts w:cs="Arial"/>
          <w:sz w:val="24"/>
          <w:szCs w:val="24"/>
        </w:rPr>
        <w:t>ffence.</w:t>
      </w:r>
    </w:p>
    <w:p w14:paraId="63312CA1" w14:textId="61DBCFAC" w:rsidR="00970715" w:rsidRPr="00581C3B" w:rsidRDefault="007744FE" w:rsidP="002D0873">
      <w:pPr>
        <w:pStyle w:val="ListParagraph"/>
        <w:numPr>
          <w:ilvl w:val="0"/>
          <w:numId w:val="14"/>
        </w:numPr>
        <w:spacing w:after="240" w:line="240" w:lineRule="auto"/>
        <w:ind w:left="0" w:firstLine="0"/>
        <w:contextualSpacing w:val="0"/>
        <w:rPr>
          <w:rFonts w:cs="Arial"/>
          <w:sz w:val="24"/>
          <w:szCs w:val="24"/>
        </w:rPr>
      </w:pPr>
      <w:r w:rsidRPr="00581C3B">
        <w:rPr>
          <w:rFonts w:cs="Arial"/>
          <w:sz w:val="24"/>
          <w:szCs w:val="24"/>
        </w:rPr>
        <w:t xml:space="preserve">Given that the consent defence and the property protection defence </w:t>
      </w:r>
      <w:r w:rsidR="00532E64" w:rsidRPr="00581C3B">
        <w:rPr>
          <w:rFonts w:cs="Arial"/>
          <w:sz w:val="24"/>
          <w:szCs w:val="24"/>
        </w:rPr>
        <w:t xml:space="preserve">both </w:t>
      </w:r>
      <w:r w:rsidRPr="00581C3B">
        <w:rPr>
          <w:rFonts w:cs="Arial"/>
          <w:sz w:val="24"/>
          <w:szCs w:val="24"/>
        </w:rPr>
        <w:t xml:space="preserve">apply to the </w:t>
      </w:r>
      <w:r w:rsidR="00532E64" w:rsidRPr="00581C3B">
        <w:rPr>
          <w:rFonts w:cs="Arial"/>
          <w:sz w:val="24"/>
          <w:szCs w:val="24"/>
        </w:rPr>
        <w:t>I</w:t>
      </w:r>
      <w:r w:rsidRPr="00581C3B">
        <w:rPr>
          <w:rFonts w:cs="Arial"/>
          <w:sz w:val="24"/>
          <w:szCs w:val="24"/>
        </w:rPr>
        <w:t xml:space="preserve">nterference </w:t>
      </w:r>
      <w:r w:rsidR="00532E64" w:rsidRPr="00581C3B">
        <w:rPr>
          <w:rFonts w:cs="Arial"/>
          <w:sz w:val="24"/>
          <w:szCs w:val="24"/>
        </w:rPr>
        <w:t>O</w:t>
      </w:r>
      <w:r w:rsidRPr="00581C3B">
        <w:rPr>
          <w:rFonts w:cs="Arial"/>
          <w:sz w:val="24"/>
          <w:szCs w:val="24"/>
        </w:rPr>
        <w:t xml:space="preserve">ffences, we take the view that uniform treatment should apply to the defences to the </w:t>
      </w:r>
      <w:r w:rsidR="00532E64" w:rsidRPr="00581C3B">
        <w:rPr>
          <w:rFonts w:cs="Arial"/>
          <w:sz w:val="24"/>
          <w:szCs w:val="24"/>
        </w:rPr>
        <w:t>Access O</w:t>
      </w:r>
      <w:r w:rsidRPr="00581C3B">
        <w:rPr>
          <w:rFonts w:cs="Arial"/>
          <w:sz w:val="24"/>
          <w:szCs w:val="24"/>
        </w:rPr>
        <w:t xml:space="preserve">ffence.  When transposing the defences under S64(2) to the </w:t>
      </w:r>
      <w:r w:rsidR="00F133D1" w:rsidRPr="00581C3B">
        <w:rPr>
          <w:rFonts w:cs="Arial"/>
          <w:sz w:val="24"/>
          <w:szCs w:val="24"/>
        </w:rPr>
        <w:t>cybercrime</w:t>
      </w:r>
      <w:r w:rsidRPr="00581C3B">
        <w:rPr>
          <w:rFonts w:cs="Arial"/>
          <w:sz w:val="24"/>
          <w:szCs w:val="24"/>
        </w:rPr>
        <w:t xml:space="preserve"> legislation, we propose to set a higher bar for </w:t>
      </w:r>
      <w:r w:rsidR="00724F4F" w:rsidRPr="00581C3B">
        <w:rPr>
          <w:rFonts w:cs="Arial"/>
          <w:sz w:val="24"/>
          <w:szCs w:val="24"/>
        </w:rPr>
        <w:t xml:space="preserve">invoking </w:t>
      </w:r>
      <w:r w:rsidRPr="00581C3B">
        <w:rPr>
          <w:rFonts w:cs="Arial"/>
          <w:sz w:val="24"/>
          <w:szCs w:val="24"/>
        </w:rPr>
        <w:t>the defence by incorporating an objective test into the</w:t>
      </w:r>
      <w:r w:rsidR="00724F4F" w:rsidRPr="00581C3B">
        <w:rPr>
          <w:rFonts w:cs="Arial"/>
          <w:sz w:val="24"/>
          <w:szCs w:val="24"/>
        </w:rPr>
        <w:t>m</w:t>
      </w:r>
      <w:r w:rsidRPr="00581C3B">
        <w:rPr>
          <w:rFonts w:cs="Arial"/>
          <w:sz w:val="24"/>
          <w:szCs w:val="24"/>
        </w:rPr>
        <w:t>, ie:</w:t>
      </w:r>
    </w:p>
    <w:p w14:paraId="117B2ACD" w14:textId="760EBCBC" w:rsidR="007744FE" w:rsidRPr="00581C3B" w:rsidRDefault="007744FE" w:rsidP="008706C7">
      <w:pPr>
        <w:pStyle w:val="ListParagraph"/>
        <w:keepNext/>
        <w:widowControl/>
        <w:numPr>
          <w:ilvl w:val="0"/>
          <w:numId w:val="22"/>
        </w:numPr>
        <w:spacing w:after="240" w:line="240" w:lineRule="auto"/>
        <w:ind w:left="1440" w:hanging="720"/>
        <w:contextualSpacing w:val="0"/>
        <w:rPr>
          <w:rFonts w:cs="Arial"/>
          <w:sz w:val="24"/>
          <w:szCs w:val="24"/>
        </w:rPr>
      </w:pPr>
      <w:r w:rsidRPr="00581C3B">
        <w:rPr>
          <w:rFonts w:cs="Arial"/>
          <w:sz w:val="24"/>
          <w:szCs w:val="24"/>
        </w:rPr>
        <w:lastRenderedPageBreak/>
        <w:t>in the case of the consent defence, the defendant must reasonably believe that there was, or would be, consent to his access to the program or data; and</w:t>
      </w:r>
    </w:p>
    <w:p w14:paraId="2E6B7E6C" w14:textId="32F2F0A0" w:rsidR="007744FE" w:rsidRPr="00581C3B" w:rsidRDefault="007744FE" w:rsidP="00F133D1">
      <w:pPr>
        <w:pStyle w:val="ListParagraph"/>
        <w:numPr>
          <w:ilvl w:val="0"/>
          <w:numId w:val="22"/>
        </w:numPr>
        <w:spacing w:after="240" w:line="240" w:lineRule="auto"/>
        <w:ind w:left="1440" w:hanging="720"/>
        <w:contextualSpacing w:val="0"/>
        <w:rPr>
          <w:rFonts w:cs="Arial"/>
          <w:sz w:val="24"/>
          <w:szCs w:val="24"/>
        </w:rPr>
      </w:pPr>
      <w:r w:rsidRPr="00581C3B">
        <w:rPr>
          <w:rFonts w:cs="Arial"/>
          <w:sz w:val="24"/>
          <w:szCs w:val="24"/>
        </w:rPr>
        <w:t>in the case of the property protection defence, the defendant must reasonably believe that the property was in immediate need of protection.</w:t>
      </w:r>
    </w:p>
    <w:p w14:paraId="36184B8F" w14:textId="2C66E7D6" w:rsidR="007744FE" w:rsidRPr="00581C3B" w:rsidRDefault="00B51725" w:rsidP="002D0873">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 xml:space="preserve">The above </w:t>
      </w:r>
      <w:r w:rsidRPr="00581C3B">
        <w:rPr>
          <w:rFonts w:cs="Arial"/>
          <w:sz w:val="24"/>
          <w:szCs w:val="24"/>
        </w:rPr>
        <w:t xml:space="preserve">adjustment would align the consent defence and the property protection defence with other specific defences that we recommend for the </w:t>
      </w:r>
      <w:r w:rsidR="00532E64" w:rsidRPr="00581C3B">
        <w:rPr>
          <w:rFonts w:cs="Arial"/>
          <w:sz w:val="24"/>
          <w:szCs w:val="24"/>
        </w:rPr>
        <w:t>A</w:t>
      </w:r>
      <w:r w:rsidRPr="00581C3B">
        <w:rPr>
          <w:rFonts w:cs="Arial"/>
          <w:sz w:val="24"/>
          <w:szCs w:val="24"/>
        </w:rPr>
        <w:t xml:space="preserve">ccess </w:t>
      </w:r>
      <w:r w:rsidR="00532E64" w:rsidRPr="00581C3B">
        <w:rPr>
          <w:rFonts w:cs="Arial"/>
          <w:sz w:val="24"/>
          <w:szCs w:val="24"/>
        </w:rPr>
        <w:t>O</w:t>
      </w:r>
      <w:r w:rsidRPr="00581C3B">
        <w:rPr>
          <w:rFonts w:cs="Arial"/>
          <w:sz w:val="24"/>
          <w:szCs w:val="24"/>
        </w:rPr>
        <w:t>ffence, ie all defences</w:t>
      </w:r>
      <w:r w:rsidR="004952F9" w:rsidRPr="00581C3B">
        <w:rPr>
          <w:rFonts w:cs="Arial"/>
          <w:sz w:val="24"/>
          <w:szCs w:val="24"/>
        </w:rPr>
        <w:t xml:space="preserve"> will</w:t>
      </w:r>
      <w:r w:rsidRPr="00581C3B">
        <w:rPr>
          <w:rFonts w:cs="Arial"/>
          <w:sz w:val="24"/>
          <w:szCs w:val="24"/>
        </w:rPr>
        <w:t xml:space="preserve"> </w:t>
      </w:r>
      <w:r w:rsidR="00532E64" w:rsidRPr="00581C3B">
        <w:rPr>
          <w:rFonts w:cs="Arial"/>
          <w:sz w:val="24"/>
          <w:szCs w:val="24"/>
        </w:rPr>
        <w:t xml:space="preserve">consistently </w:t>
      </w:r>
      <w:r w:rsidRPr="00581C3B">
        <w:rPr>
          <w:rFonts w:cs="Arial"/>
          <w:sz w:val="24"/>
          <w:szCs w:val="24"/>
        </w:rPr>
        <w:t>adopt the req</w:t>
      </w:r>
      <w:r w:rsidR="00532E64" w:rsidRPr="00581C3B">
        <w:rPr>
          <w:rFonts w:cs="Arial"/>
          <w:sz w:val="24"/>
          <w:szCs w:val="24"/>
        </w:rPr>
        <w:t>uirement of “reasonableness”</w:t>
      </w:r>
      <w:r w:rsidRPr="00581C3B">
        <w:rPr>
          <w:rFonts w:cs="Arial"/>
          <w:sz w:val="24"/>
          <w:szCs w:val="24"/>
        </w:rPr>
        <w:t>.</w:t>
      </w:r>
    </w:p>
    <w:p w14:paraId="128B5D88" w14:textId="402154DF" w:rsidR="009F2D6C" w:rsidRPr="00581C3B" w:rsidRDefault="00B51725" w:rsidP="009F2D6C">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We therefore make our </w:t>
      </w:r>
      <w:r w:rsidRPr="00581C3B">
        <w:rPr>
          <w:rFonts w:cs="Arial"/>
          <w:b/>
          <w:sz w:val="24"/>
          <w:szCs w:val="24"/>
          <w:lang w:val="en-GB"/>
        </w:rPr>
        <w:t>Final Recommendation 2</w:t>
      </w:r>
      <w:r w:rsidRPr="00581C3B">
        <w:rPr>
          <w:rFonts w:cs="Arial"/>
          <w:sz w:val="24"/>
          <w:szCs w:val="24"/>
          <w:lang w:val="en-GB"/>
        </w:rPr>
        <w:t xml:space="preserve"> as follows:</w:t>
      </w:r>
    </w:p>
    <w:p w14:paraId="59C1C5EE" w14:textId="55BCBFBA" w:rsidR="00B51725" w:rsidRPr="00581C3B" w:rsidRDefault="00B51725" w:rsidP="00E031B1">
      <w:pPr>
        <w:pStyle w:val="ListParagraph"/>
        <w:widowControl/>
        <w:spacing w:after="240" w:line="240" w:lineRule="auto"/>
        <w:ind w:right="720"/>
        <w:contextualSpacing w:val="0"/>
        <w:rPr>
          <w:rFonts w:cs="Arial"/>
          <w:i/>
          <w:sz w:val="24"/>
          <w:szCs w:val="24"/>
          <w:lang w:val="en-GB"/>
        </w:rPr>
      </w:pPr>
      <w:r w:rsidRPr="00581C3B">
        <w:rPr>
          <w:rFonts w:eastAsiaTheme="minorEastAsia" w:cs="Arial"/>
          <w:i/>
          <w:sz w:val="24"/>
          <w:szCs w:val="24"/>
          <w:lang w:val="en-GB"/>
        </w:rPr>
        <w:t>“</w:t>
      </w:r>
      <w:r w:rsidRPr="00581C3B">
        <w:rPr>
          <w:rFonts w:cs="Arial"/>
          <w:i/>
          <w:sz w:val="24"/>
          <w:szCs w:val="24"/>
          <w:lang w:val="en-GB"/>
        </w:rPr>
        <w:t xml:space="preserve">Apart from the statutory defence of reasonable excuse, we recommend that for the </w:t>
      </w:r>
      <w:r w:rsidR="00803091">
        <w:rPr>
          <w:rFonts w:cs="Arial"/>
          <w:i/>
          <w:sz w:val="24"/>
          <w:szCs w:val="24"/>
          <w:lang w:val="en-GB"/>
        </w:rPr>
        <w:t xml:space="preserve">proposed </w:t>
      </w:r>
      <w:r w:rsidRPr="00581C3B">
        <w:rPr>
          <w:rFonts w:cs="Arial"/>
          <w:i/>
          <w:sz w:val="24"/>
          <w:szCs w:val="24"/>
          <w:lang w:val="en-GB"/>
        </w:rPr>
        <w:t>offence of illegal access to program or data:</w:t>
      </w:r>
    </w:p>
    <w:p w14:paraId="33B90684" w14:textId="01B0BA36" w:rsidR="00B51725" w:rsidRPr="00581C3B" w:rsidRDefault="00B51725" w:rsidP="00E031B1">
      <w:pPr>
        <w:pStyle w:val="ListParagraph"/>
        <w:widowControl/>
        <w:numPr>
          <w:ilvl w:val="0"/>
          <w:numId w:val="23"/>
        </w:numPr>
        <w:spacing w:after="240" w:line="240" w:lineRule="auto"/>
        <w:ind w:left="1440" w:right="720" w:hanging="720"/>
        <w:contextualSpacing w:val="0"/>
        <w:rPr>
          <w:rFonts w:cs="Arial"/>
          <w:i/>
          <w:sz w:val="24"/>
          <w:szCs w:val="24"/>
          <w:lang w:val="en-GB"/>
        </w:rPr>
      </w:pPr>
      <w:r w:rsidRPr="00581C3B">
        <w:rPr>
          <w:rFonts w:cs="Arial"/>
          <w:i/>
          <w:sz w:val="24"/>
          <w:szCs w:val="24"/>
          <w:lang w:val="en-GB"/>
        </w:rPr>
        <w:t>There should be a specific defence for unauthorised access for cybersecurity purposes with the following conditions:</w:t>
      </w:r>
    </w:p>
    <w:p w14:paraId="73E450CD" w14:textId="4DB7FA4C" w:rsidR="00B51725" w:rsidRPr="00581C3B" w:rsidRDefault="00FD12C8" w:rsidP="00E031B1">
      <w:pPr>
        <w:pStyle w:val="ListParagraph"/>
        <w:widowControl/>
        <w:numPr>
          <w:ilvl w:val="0"/>
          <w:numId w:val="24"/>
        </w:numPr>
        <w:spacing w:after="240" w:line="240" w:lineRule="auto"/>
        <w:ind w:left="2160" w:right="720"/>
        <w:contextualSpacing w:val="0"/>
        <w:rPr>
          <w:rFonts w:cs="Arial"/>
          <w:i/>
          <w:sz w:val="24"/>
          <w:szCs w:val="24"/>
          <w:lang w:val="en-GB"/>
        </w:rPr>
      </w:pPr>
      <w:r>
        <w:rPr>
          <w:rFonts w:cs="Arial"/>
          <w:i/>
          <w:sz w:val="24"/>
          <w:szCs w:val="24"/>
          <w:lang w:val="en-GB"/>
        </w:rPr>
        <w:t>T</w:t>
      </w:r>
      <w:r w:rsidR="00B51725" w:rsidRPr="00581C3B">
        <w:rPr>
          <w:rFonts w:cs="Arial"/>
          <w:i/>
          <w:sz w:val="24"/>
          <w:szCs w:val="24"/>
          <w:lang w:val="en-GB"/>
        </w:rPr>
        <w:t>he defendant must be an accredited cybersecurity practitioner (the details of the accreditation regime, which are essentially matters of policy, are best left to the Government’s consideration);</w:t>
      </w:r>
    </w:p>
    <w:p w14:paraId="4344A14C" w14:textId="6C1C13A5" w:rsidR="00B51725" w:rsidRPr="00581C3B" w:rsidRDefault="00FD12C8" w:rsidP="00E031B1">
      <w:pPr>
        <w:pStyle w:val="ListParagraph"/>
        <w:widowControl/>
        <w:numPr>
          <w:ilvl w:val="0"/>
          <w:numId w:val="24"/>
        </w:numPr>
        <w:spacing w:after="240" w:line="240" w:lineRule="auto"/>
        <w:ind w:left="2160" w:right="720"/>
        <w:contextualSpacing w:val="0"/>
        <w:rPr>
          <w:rFonts w:cs="Arial"/>
          <w:i/>
          <w:sz w:val="24"/>
          <w:szCs w:val="24"/>
          <w:lang w:val="en-GB"/>
        </w:rPr>
      </w:pPr>
      <w:r>
        <w:rPr>
          <w:rFonts w:cs="Arial"/>
          <w:i/>
          <w:sz w:val="24"/>
          <w:szCs w:val="24"/>
          <w:lang w:val="en-GB"/>
        </w:rPr>
        <w:t>T</w:t>
      </w:r>
      <w:r w:rsidR="00B51725" w:rsidRPr="00581C3B">
        <w:rPr>
          <w:rFonts w:cs="Arial"/>
          <w:i/>
          <w:sz w:val="24"/>
          <w:szCs w:val="24"/>
          <w:lang w:val="en-GB"/>
        </w:rPr>
        <w:t>he defendant must act for a genuine cybersecurity purpose; and</w:t>
      </w:r>
    </w:p>
    <w:p w14:paraId="4A45097C" w14:textId="56BD64EB" w:rsidR="00B51725" w:rsidRPr="00581C3B" w:rsidRDefault="00FD12C8" w:rsidP="00E031B1">
      <w:pPr>
        <w:pStyle w:val="ListParagraph"/>
        <w:widowControl/>
        <w:numPr>
          <w:ilvl w:val="0"/>
          <w:numId w:val="24"/>
        </w:numPr>
        <w:spacing w:after="240" w:line="240" w:lineRule="auto"/>
        <w:ind w:left="2160" w:right="720"/>
        <w:contextualSpacing w:val="0"/>
        <w:rPr>
          <w:rFonts w:cs="Arial"/>
          <w:i/>
          <w:sz w:val="24"/>
          <w:szCs w:val="24"/>
          <w:lang w:val="en-GB"/>
        </w:rPr>
      </w:pPr>
      <w:r>
        <w:rPr>
          <w:rFonts w:cs="Arial"/>
          <w:i/>
          <w:sz w:val="24"/>
          <w:szCs w:val="24"/>
          <w:lang w:val="en-GB"/>
        </w:rPr>
        <w:t>T</w:t>
      </w:r>
      <w:r w:rsidR="00B51725" w:rsidRPr="00581C3B">
        <w:rPr>
          <w:rFonts w:cs="Arial"/>
          <w:i/>
          <w:sz w:val="24"/>
          <w:szCs w:val="24"/>
          <w:lang w:val="en-GB"/>
        </w:rPr>
        <w:t>he defendant’s conduct must be reasonable having regard to all the circumstances.</w:t>
      </w:r>
    </w:p>
    <w:p w14:paraId="15DF0D95" w14:textId="2B6567A3" w:rsidR="00B51725" w:rsidRPr="00581C3B" w:rsidRDefault="00B51725" w:rsidP="00E031B1">
      <w:pPr>
        <w:pStyle w:val="ListParagraph"/>
        <w:widowControl/>
        <w:numPr>
          <w:ilvl w:val="0"/>
          <w:numId w:val="23"/>
        </w:numPr>
        <w:spacing w:after="240" w:line="240" w:lineRule="auto"/>
        <w:ind w:left="1440" w:right="720" w:hanging="720"/>
        <w:contextualSpacing w:val="0"/>
        <w:rPr>
          <w:rFonts w:cs="Arial"/>
          <w:i/>
          <w:sz w:val="24"/>
          <w:szCs w:val="24"/>
          <w:lang w:val="en-GB"/>
        </w:rPr>
      </w:pPr>
      <w:r w:rsidRPr="00581C3B">
        <w:rPr>
          <w:rFonts w:cs="Arial"/>
          <w:i/>
          <w:sz w:val="24"/>
          <w:szCs w:val="24"/>
          <w:lang w:val="en-GB"/>
        </w:rPr>
        <w:t>There should be a specific defence for unauthorised access for the protection of the interests of a child under the age of 16</w:t>
      </w:r>
      <w:r w:rsidR="007B12AE">
        <w:rPr>
          <w:rFonts w:cs="Arial"/>
          <w:i/>
          <w:sz w:val="24"/>
          <w:szCs w:val="24"/>
          <w:lang w:val="en-GB"/>
        </w:rPr>
        <w:t xml:space="preserve"> </w:t>
      </w:r>
      <w:r w:rsidR="007B12AE" w:rsidRPr="007B12AE">
        <w:rPr>
          <w:rFonts w:cs="Arial"/>
          <w:i/>
          <w:sz w:val="24"/>
          <w:szCs w:val="24"/>
          <w:lang w:val="en-GB"/>
        </w:rPr>
        <w:t>and a vulnerable person (ie a mentally disordered person or a mentally handicapped person as defined in the Mental Health Ordinance (Cap 136)</w:t>
      </w:r>
      <w:r w:rsidR="00B36948">
        <w:rPr>
          <w:rFonts w:cs="Arial"/>
          <w:i/>
          <w:sz w:val="24"/>
          <w:szCs w:val="24"/>
          <w:lang w:val="en-GB"/>
        </w:rPr>
        <w:t>)</w:t>
      </w:r>
      <w:r w:rsidRPr="00581C3B">
        <w:rPr>
          <w:rFonts w:cs="Arial"/>
          <w:i/>
          <w:sz w:val="24"/>
          <w:szCs w:val="24"/>
          <w:lang w:val="en-GB"/>
        </w:rPr>
        <w:t>:</w:t>
      </w:r>
    </w:p>
    <w:p w14:paraId="5BAC910E" w14:textId="6037480E" w:rsidR="00B51725" w:rsidRPr="00581C3B" w:rsidRDefault="00B51725" w:rsidP="00E031B1">
      <w:pPr>
        <w:pStyle w:val="ListParagraph"/>
        <w:widowControl/>
        <w:numPr>
          <w:ilvl w:val="0"/>
          <w:numId w:val="25"/>
        </w:numPr>
        <w:spacing w:after="240" w:line="240" w:lineRule="auto"/>
        <w:ind w:left="2160" w:right="720"/>
        <w:contextualSpacing w:val="0"/>
        <w:rPr>
          <w:rFonts w:cs="Arial"/>
          <w:i/>
          <w:sz w:val="24"/>
          <w:szCs w:val="24"/>
          <w:lang w:val="en-GB"/>
        </w:rPr>
      </w:pPr>
      <w:r w:rsidRPr="00581C3B">
        <w:rPr>
          <w:rFonts w:cs="Arial"/>
          <w:i/>
          <w:sz w:val="24"/>
          <w:szCs w:val="24"/>
          <w:lang w:val="en-GB"/>
        </w:rPr>
        <w:t xml:space="preserve">The defence is based on the subjective purpose of the person making the access to the program or data of a child </w:t>
      </w:r>
      <w:r w:rsidR="007B12AE">
        <w:rPr>
          <w:rFonts w:cs="Arial"/>
          <w:i/>
          <w:sz w:val="24"/>
          <w:szCs w:val="24"/>
          <w:lang w:val="en-GB"/>
        </w:rPr>
        <w:t xml:space="preserve">or </w:t>
      </w:r>
      <w:r w:rsidR="007B12AE" w:rsidRPr="007B12AE">
        <w:rPr>
          <w:rFonts w:cs="Arial"/>
          <w:i/>
          <w:sz w:val="24"/>
          <w:szCs w:val="24"/>
          <w:lang w:val="en-GB"/>
        </w:rPr>
        <w:t>vulnerable person</w:t>
      </w:r>
      <w:r w:rsidR="007B12AE" w:rsidRPr="00581C3B">
        <w:rPr>
          <w:rFonts w:cs="Arial"/>
          <w:i/>
          <w:sz w:val="24"/>
          <w:szCs w:val="24"/>
          <w:lang w:val="en-GB"/>
        </w:rPr>
        <w:t xml:space="preserve"> </w:t>
      </w:r>
      <w:r w:rsidRPr="00581C3B">
        <w:rPr>
          <w:rFonts w:cs="Arial"/>
          <w:i/>
          <w:sz w:val="24"/>
          <w:szCs w:val="24"/>
          <w:lang w:val="en-GB"/>
        </w:rPr>
        <w:t xml:space="preserve">(ie for the protection of the interests of </w:t>
      </w:r>
      <w:r w:rsidR="007B12AE">
        <w:rPr>
          <w:rFonts w:cs="Arial"/>
          <w:i/>
          <w:sz w:val="24"/>
          <w:szCs w:val="24"/>
          <w:lang w:val="en-GB"/>
        </w:rPr>
        <w:t>the</w:t>
      </w:r>
      <w:r w:rsidRPr="00581C3B">
        <w:rPr>
          <w:rFonts w:cs="Arial"/>
          <w:i/>
          <w:sz w:val="24"/>
          <w:szCs w:val="24"/>
          <w:lang w:val="en-GB"/>
        </w:rPr>
        <w:t xml:space="preserve"> child</w:t>
      </w:r>
      <w:r w:rsidR="007B12AE">
        <w:rPr>
          <w:rFonts w:cs="Arial"/>
          <w:i/>
          <w:sz w:val="24"/>
          <w:szCs w:val="24"/>
          <w:lang w:val="en-GB"/>
        </w:rPr>
        <w:t xml:space="preserve"> or </w:t>
      </w:r>
      <w:r w:rsidR="007B12AE" w:rsidRPr="007B12AE">
        <w:rPr>
          <w:rFonts w:cs="Arial"/>
          <w:i/>
          <w:sz w:val="24"/>
          <w:szCs w:val="24"/>
          <w:lang w:val="en-GB"/>
        </w:rPr>
        <w:t>vulnerable person</w:t>
      </w:r>
      <w:r w:rsidRPr="00581C3B">
        <w:rPr>
          <w:rFonts w:cs="Arial"/>
          <w:i/>
          <w:sz w:val="24"/>
          <w:szCs w:val="24"/>
          <w:lang w:val="en-GB"/>
        </w:rPr>
        <w:t>), but not the relationship between the person and the child</w:t>
      </w:r>
      <w:r w:rsidR="007B12AE">
        <w:rPr>
          <w:rFonts w:cs="Arial"/>
          <w:i/>
          <w:sz w:val="24"/>
          <w:szCs w:val="24"/>
          <w:lang w:val="en-GB"/>
        </w:rPr>
        <w:t xml:space="preserve"> or </w:t>
      </w:r>
      <w:r w:rsidR="007B12AE" w:rsidRPr="007B12AE">
        <w:rPr>
          <w:rFonts w:cs="Arial"/>
          <w:i/>
          <w:sz w:val="24"/>
          <w:szCs w:val="24"/>
          <w:lang w:val="en-GB"/>
        </w:rPr>
        <w:t>vulnerable person</w:t>
      </w:r>
      <w:r w:rsidRPr="00581C3B">
        <w:rPr>
          <w:rFonts w:cs="Arial"/>
          <w:i/>
          <w:sz w:val="24"/>
          <w:szCs w:val="24"/>
          <w:lang w:val="en-GB"/>
        </w:rPr>
        <w:t>.</w:t>
      </w:r>
    </w:p>
    <w:p w14:paraId="0729EC1A" w14:textId="7EA68269" w:rsidR="00B51725" w:rsidRPr="00581C3B" w:rsidRDefault="00B51725" w:rsidP="00E031B1">
      <w:pPr>
        <w:pStyle w:val="ListParagraph"/>
        <w:widowControl/>
        <w:numPr>
          <w:ilvl w:val="0"/>
          <w:numId w:val="25"/>
        </w:numPr>
        <w:spacing w:after="240" w:line="240" w:lineRule="auto"/>
        <w:ind w:left="2160" w:right="720"/>
        <w:contextualSpacing w:val="0"/>
        <w:rPr>
          <w:rFonts w:cs="Arial"/>
          <w:i/>
          <w:sz w:val="24"/>
          <w:szCs w:val="24"/>
          <w:lang w:val="en-GB"/>
        </w:rPr>
      </w:pPr>
      <w:r w:rsidRPr="00581C3B">
        <w:rPr>
          <w:rFonts w:cs="Arial"/>
          <w:i/>
          <w:sz w:val="24"/>
          <w:szCs w:val="24"/>
          <w:lang w:val="en-GB"/>
        </w:rPr>
        <w:t>The access to program or data made by a defendant must be reasonable having regard to all the circumstances.</w:t>
      </w:r>
    </w:p>
    <w:p w14:paraId="494B1686" w14:textId="588626C3" w:rsidR="00B51725" w:rsidRPr="00581C3B" w:rsidRDefault="00B51725" w:rsidP="00E031B1">
      <w:pPr>
        <w:pStyle w:val="ListParagraph"/>
        <w:widowControl/>
        <w:numPr>
          <w:ilvl w:val="0"/>
          <w:numId w:val="23"/>
        </w:numPr>
        <w:spacing w:after="240" w:line="240" w:lineRule="auto"/>
        <w:ind w:left="1440" w:right="720" w:hanging="720"/>
        <w:contextualSpacing w:val="0"/>
        <w:rPr>
          <w:rFonts w:cs="Arial"/>
          <w:i/>
          <w:sz w:val="24"/>
          <w:szCs w:val="24"/>
          <w:lang w:val="en-GB"/>
        </w:rPr>
      </w:pPr>
      <w:r w:rsidRPr="00581C3B">
        <w:rPr>
          <w:rFonts w:cs="Arial"/>
          <w:i/>
          <w:sz w:val="24"/>
          <w:szCs w:val="24"/>
          <w:lang w:val="en-GB"/>
        </w:rPr>
        <w:lastRenderedPageBreak/>
        <w:t>There should be a specific defence for unauthorised access for educational, scientific or research purposes.  The access to program or data made by a defendant must be reasonable having regard to all the circumstances.</w:t>
      </w:r>
    </w:p>
    <w:p w14:paraId="2D89E88C" w14:textId="2681A07F" w:rsidR="00B51725" w:rsidRPr="00581C3B" w:rsidRDefault="00B51725" w:rsidP="00E031B1">
      <w:pPr>
        <w:pStyle w:val="ListParagraph"/>
        <w:widowControl/>
        <w:numPr>
          <w:ilvl w:val="0"/>
          <w:numId w:val="23"/>
        </w:numPr>
        <w:spacing w:after="240" w:line="240" w:lineRule="auto"/>
        <w:ind w:left="1440" w:right="720" w:hanging="720"/>
        <w:contextualSpacing w:val="0"/>
        <w:rPr>
          <w:rFonts w:cs="Arial"/>
          <w:i/>
          <w:sz w:val="24"/>
          <w:szCs w:val="24"/>
          <w:lang w:val="en-GB"/>
        </w:rPr>
      </w:pPr>
      <w:r w:rsidRPr="00581C3B">
        <w:rPr>
          <w:rFonts w:cs="Arial"/>
          <w:i/>
          <w:sz w:val="24"/>
          <w:szCs w:val="24"/>
          <w:lang w:val="en-GB"/>
        </w:rPr>
        <w:t>T</w:t>
      </w:r>
      <w:r w:rsidRPr="00581C3B">
        <w:rPr>
          <w:rFonts w:cs="Arial" w:hint="eastAsia"/>
          <w:i/>
          <w:sz w:val="24"/>
          <w:szCs w:val="24"/>
          <w:lang w:val="en-GB"/>
        </w:rPr>
        <w:t xml:space="preserve">he </w:t>
      </w:r>
      <w:r w:rsidRPr="00581C3B">
        <w:rPr>
          <w:rFonts w:cs="Arial"/>
          <w:i/>
          <w:sz w:val="24"/>
          <w:szCs w:val="24"/>
          <w:lang w:val="en-GB"/>
        </w:rPr>
        <w:t>defences to the offences of illegal interference with computer data and illegal interference with computer system under section 64(2) of the Crimes Ordinance (Cap</w:t>
      </w:r>
      <w:r w:rsidR="008706C7">
        <w:rPr>
          <w:rFonts w:cs="Arial"/>
          <w:i/>
          <w:sz w:val="24"/>
          <w:szCs w:val="24"/>
          <w:lang w:val="en-GB"/>
        </w:rPr>
        <w:t> </w:t>
      </w:r>
      <w:r w:rsidRPr="00581C3B">
        <w:rPr>
          <w:rFonts w:cs="Arial"/>
          <w:i/>
          <w:sz w:val="24"/>
          <w:szCs w:val="24"/>
          <w:lang w:val="en-GB"/>
        </w:rPr>
        <w:t>200) (“</w:t>
      </w:r>
      <w:r w:rsidRPr="00581C3B">
        <w:rPr>
          <w:rFonts w:cs="Arial"/>
          <w:b/>
          <w:i/>
          <w:sz w:val="24"/>
          <w:szCs w:val="24"/>
          <w:lang w:val="en-GB"/>
        </w:rPr>
        <w:t>S64(2)</w:t>
      </w:r>
      <w:r w:rsidRPr="00581C3B">
        <w:rPr>
          <w:rFonts w:cs="Arial"/>
          <w:i/>
          <w:sz w:val="24"/>
          <w:szCs w:val="24"/>
          <w:lang w:val="en-GB"/>
        </w:rPr>
        <w:t>”) should also be available to the offence of illegal access to program or data.</w:t>
      </w:r>
    </w:p>
    <w:p w14:paraId="4EAF9324" w14:textId="7D5F4A8D" w:rsidR="00B51725" w:rsidRPr="00581C3B" w:rsidRDefault="00B51725" w:rsidP="008706C7">
      <w:pPr>
        <w:pStyle w:val="ListParagraph"/>
        <w:widowControl/>
        <w:numPr>
          <w:ilvl w:val="0"/>
          <w:numId w:val="26"/>
        </w:numPr>
        <w:spacing w:afterLines="50" w:after="120" w:line="240" w:lineRule="auto"/>
        <w:ind w:left="2160" w:right="720"/>
        <w:contextualSpacing w:val="0"/>
        <w:rPr>
          <w:rFonts w:cs="Arial"/>
          <w:i/>
          <w:sz w:val="24"/>
          <w:szCs w:val="24"/>
          <w:lang w:val="en-GB"/>
        </w:rPr>
      </w:pPr>
      <w:r w:rsidRPr="00581C3B">
        <w:rPr>
          <w:rFonts w:cs="Arial"/>
          <w:i/>
          <w:sz w:val="24"/>
          <w:szCs w:val="24"/>
          <w:lang w:val="en-GB"/>
        </w:rPr>
        <w:t>The two defences under S64(2) cover situations where a defendant:</w:t>
      </w:r>
    </w:p>
    <w:p w14:paraId="4BBC0DC4" w14:textId="43D42B09" w:rsidR="00B51725" w:rsidRPr="00581C3B" w:rsidRDefault="00B51725" w:rsidP="008706C7">
      <w:pPr>
        <w:pStyle w:val="ListParagraph"/>
        <w:widowControl/>
        <w:numPr>
          <w:ilvl w:val="3"/>
          <w:numId w:val="15"/>
        </w:numPr>
        <w:spacing w:afterLines="50" w:after="120" w:line="240" w:lineRule="auto"/>
        <w:ind w:left="2880" w:right="720" w:hanging="720"/>
        <w:contextualSpacing w:val="0"/>
        <w:rPr>
          <w:rFonts w:cs="Arial"/>
          <w:i/>
          <w:sz w:val="24"/>
          <w:szCs w:val="24"/>
          <w:lang w:val="en-GB"/>
        </w:rPr>
      </w:pPr>
      <w:r w:rsidRPr="00581C3B">
        <w:rPr>
          <w:rFonts w:cs="Arial"/>
          <w:i/>
          <w:sz w:val="24"/>
          <w:szCs w:val="24"/>
          <w:lang w:val="en-GB"/>
        </w:rPr>
        <w:t xml:space="preserve">accessed program or data in the belief that his act was, or would be, consented to; </w:t>
      </w:r>
      <w:r w:rsidR="00381789">
        <w:rPr>
          <w:rFonts w:cs="Arial"/>
          <w:i/>
          <w:sz w:val="24"/>
          <w:szCs w:val="24"/>
          <w:lang w:val="en-GB"/>
        </w:rPr>
        <w:t>or</w:t>
      </w:r>
    </w:p>
    <w:p w14:paraId="75D40880" w14:textId="0B2ADCE7" w:rsidR="00B51725" w:rsidRPr="00581C3B" w:rsidRDefault="00B51725" w:rsidP="008706C7">
      <w:pPr>
        <w:pStyle w:val="ListParagraph"/>
        <w:widowControl/>
        <w:numPr>
          <w:ilvl w:val="3"/>
          <w:numId w:val="15"/>
        </w:numPr>
        <w:spacing w:afterLines="50" w:after="120" w:line="240" w:lineRule="auto"/>
        <w:ind w:left="2880" w:right="720" w:hanging="720"/>
        <w:contextualSpacing w:val="0"/>
        <w:rPr>
          <w:rFonts w:cs="Arial"/>
          <w:i/>
          <w:sz w:val="24"/>
          <w:szCs w:val="24"/>
          <w:lang w:val="en-GB"/>
        </w:rPr>
      </w:pPr>
      <w:r w:rsidRPr="00581C3B">
        <w:rPr>
          <w:rFonts w:cs="Arial"/>
          <w:i/>
          <w:sz w:val="24"/>
          <w:szCs w:val="24"/>
          <w:lang w:val="en-GB"/>
        </w:rPr>
        <w:t>accessed program or data in the belief that the property was in immediate need of protection, and the means of protection adopted was reasonable having regard to all the circumstances.</w:t>
      </w:r>
    </w:p>
    <w:p w14:paraId="6B09F1E9" w14:textId="53065601" w:rsidR="00B51725" w:rsidRPr="00581C3B" w:rsidRDefault="00B51725" w:rsidP="00E031B1">
      <w:pPr>
        <w:pStyle w:val="ListParagraph"/>
        <w:widowControl/>
        <w:numPr>
          <w:ilvl w:val="0"/>
          <w:numId w:val="26"/>
        </w:numPr>
        <w:spacing w:after="240" w:line="240" w:lineRule="auto"/>
        <w:ind w:left="2160" w:right="720"/>
        <w:contextualSpacing w:val="0"/>
        <w:rPr>
          <w:rFonts w:eastAsiaTheme="minorEastAsia" w:cs="Arial"/>
          <w:i/>
          <w:sz w:val="24"/>
          <w:szCs w:val="24"/>
          <w:lang w:val="en-GB"/>
        </w:rPr>
      </w:pPr>
      <w:r w:rsidRPr="00581C3B">
        <w:rPr>
          <w:rFonts w:cs="Arial"/>
          <w:i/>
          <w:sz w:val="24"/>
          <w:szCs w:val="24"/>
          <w:lang w:val="en-GB"/>
        </w:rPr>
        <w:t>The defendant’s belief under both the consent defence and the property protection defence must be reasonably held.”</w:t>
      </w:r>
    </w:p>
    <w:p w14:paraId="34B463E3" w14:textId="2B60118D" w:rsidR="004F69BD" w:rsidRPr="00581C3B" w:rsidRDefault="006600C1" w:rsidP="008706C7">
      <w:pPr>
        <w:pStyle w:val="ListParagraph"/>
        <w:widowControl/>
        <w:spacing w:after="240" w:line="240" w:lineRule="auto"/>
        <w:ind w:left="0"/>
        <w:contextualSpacing w:val="0"/>
        <w:rPr>
          <w:rFonts w:cs="Arial"/>
          <w:b/>
          <w:sz w:val="24"/>
          <w:szCs w:val="24"/>
        </w:rPr>
      </w:pPr>
      <w:r w:rsidRPr="00581C3B">
        <w:rPr>
          <w:rFonts w:cs="Arial"/>
          <w:b/>
          <w:i/>
          <w:sz w:val="24"/>
          <w:szCs w:val="24"/>
          <w:lang w:val="en-GB"/>
        </w:rPr>
        <w:t>Extending the l</w:t>
      </w:r>
      <w:r w:rsidR="004F69BD" w:rsidRPr="00581C3B">
        <w:rPr>
          <w:rFonts w:cs="Arial" w:hint="eastAsia"/>
          <w:b/>
          <w:i/>
          <w:sz w:val="24"/>
          <w:szCs w:val="24"/>
          <w:lang w:val="en-GB"/>
        </w:rPr>
        <w:t>imitation period</w:t>
      </w:r>
      <w:r w:rsidR="004F69BD" w:rsidRPr="00581C3B">
        <w:rPr>
          <w:rFonts w:cs="Arial"/>
          <w:b/>
          <w:i/>
          <w:sz w:val="24"/>
          <w:szCs w:val="24"/>
          <w:lang w:val="en-GB"/>
        </w:rPr>
        <w:t xml:space="preserve"> in summary </w:t>
      </w:r>
      <w:r w:rsidR="00595419" w:rsidRPr="00581C3B">
        <w:rPr>
          <w:rFonts w:cs="Arial"/>
          <w:b/>
          <w:i/>
          <w:sz w:val="24"/>
          <w:szCs w:val="24"/>
          <w:lang w:val="en-GB"/>
        </w:rPr>
        <w:t>proceedings for the five cyber-dependent offences</w:t>
      </w:r>
      <w:r w:rsidR="00873148" w:rsidRPr="00581C3B">
        <w:rPr>
          <w:rFonts w:eastAsia="Arial Unicode MS" w:cs="Arial"/>
          <w:kern w:val="2"/>
          <w:sz w:val="24"/>
          <w:szCs w:val="24"/>
          <w:vertAlign w:val="superscript"/>
        </w:rPr>
        <w:footnoteReference w:id="24"/>
      </w:r>
    </w:p>
    <w:p w14:paraId="759A50A0" w14:textId="4E9B5811" w:rsidR="006600C1" w:rsidRPr="00581C3B" w:rsidRDefault="00873148" w:rsidP="00765211">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Section 26 of t</w:t>
      </w:r>
      <w:r w:rsidR="00595419" w:rsidRPr="00581C3B">
        <w:rPr>
          <w:rFonts w:cs="Arial"/>
          <w:sz w:val="24"/>
          <w:szCs w:val="24"/>
          <w:lang w:val="en-GB"/>
        </w:rPr>
        <w:t>he Magistrates Ordinance (Cap 227) stipulates a general limitation period of six</w:t>
      </w:r>
      <w:r w:rsidR="00A6071F">
        <w:rPr>
          <w:rFonts w:cs="Arial"/>
          <w:sz w:val="24"/>
          <w:szCs w:val="24"/>
          <w:lang w:val="en-GB"/>
        </w:rPr>
        <w:t> </w:t>
      </w:r>
      <w:r w:rsidR="00595419" w:rsidRPr="00581C3B">
        <w:rPr>
          <w:rFonts w:cs="Arial"/>
          <w:sz w:val="24"/>
          <w:szCs w:val="24"/>
          <w:lang w:val="en-GB"/>
        </w:rPr>
        <w:t xml:space="preserve">months </w:t>
      </w:r>
      <w:r w:rsidR="00033335" w:rsidRPr="00581C3B">
        <w:rPr>
          <w:rFonts w:cs="Arial"/>
          <w:sz w:val="24"/>
          <w:szCs w:val="24"/>
          <w:lang w:val="en-GB"/>
        </w:rPr>
        <w:t>to commence prosecution</w:t>
      </w:r>
      <w:r w:rsidR="00595419" w:rsidRPr="00581C3B">
        <w:rPr>
          <w:rFonts w:cs="Arial"/>
          <w:sz w:val="24"/>
          <w:szCs w:val="24"/>
          <w:lang w:val="en-GB"/>
        </w:rPr>
        <w:t xml:space="preserve">.  </w:t>
      </w:r>
      <w:r w:rsidR="00FB5332" w:rsidRPr="00581C3B">
        <w:rPr>
          <w:rFonts w:eastAsiaTheme="minorEastAsia" w:cs="Arial"/>
          <w:sz w:val="24"/>
          <w:szCs w:val="24"/>
          <w:lang w:val="en-GB"/>
        </w:rPr>
        <w:t>As</w:t>
      </w:r>
      <w:r w:rsidR="00792909" w:rsidRPr="00581C3B">
        <w:rPr>
          <w:rFonts w:eastAsiaTheme="minorEastAsia" w:cs="Arial"/>
          <w:sz w:val="24"/>
          <w:szCs w:val="24"/>
          <w:lang w:val="en-GB"/>
        </w:rPr>
        <w:t xml:space="preserve"> six</w:t>
      </w:r>
      <w:r w:rsidR="00A6071F">
        <w:rPr>
          <w:rFonts w:eastAsiaTheme="minorEastAsia" w:cs="Arial"/>
          <w:sz w:val="24"/>
          <w:szCs w:val="24"/>
          <w:lang w:val="en-GB"/>
        </w:rPr>
        <w:t> </w:t>
      </w:r>
      <w:r w:rsidR="00792909" w:rsidRPr="00581C3B">
        <w:rPr>
          <w:rFonts w:eastAsiaTheme="minorEastAsia" w:cs="Arial"/>
          <w:sz w:val="24"/>
          <w:szCs w:val="24"/>
          <w:lang w:val="en-GB"/>
        </w:rPr>
        <w:t>months may be insufficient for investigating cybercrime case</w:t>
      </w:r>
      <w:r w:rsidR="00033335" w:rsidRPr="00581C3B">
        <w:rPr>
          <w:rFonts w:eastAsiaTheme="minorEastAsia" w:cs="Arial"/>
          <w:sz w:val="24"/>
          <w:szCs w:val="24"/>
          <w:lang w:val="en-GB"/>
        </w:rPr>
        <w:t>s</w:t>
      </w:r>
      <w:r w:rsidR="00FB5332" w:rsidRPr="00581C3B">
        <w:rPr>
          <w:rFonts w:eastAsiaTheme="minorEastAsia" w:cs="Arial"/>
          <w:sz w:val="24"/>
          <w:szCs w:val="24"/>
          <w:lang w:val="en-GB"/>
        </w:rPr>
        <w:t>,</w:t>
      </w:r>
      <w:r w:rsidR="007E0FAF" w:rsidRPr="00581C3B">
        <w:rPr>
          <w:rFonts w:eastAsiaTheme="minorEastAsia" w:cs="Arial"/>
          <w:sz w:val="24"/>
          <w:szCs w:val="24"/>
          <w:vertAlign w:val="superscript"/>
          <w:lang w:val="en-GB"/>
        </w:rPr>
        <w:footnoteReference w:id="25"/>
      </w:r>
      <w:r w:rsidR="00FB5332" w:rsidRPr="00581C3B">
        <w:rPr>
          <w:rFonts w:eastAsiaTheme="minorEastAsia" w:cs="Arial" w:hint="eastAsia"/>
          <w:sz w:val="24"/>
          <w:szCs w:val="24"/>
          <w:lang w:val="en-GB"/>
        </w:rPr>
        <w:t xml:space="preserve"> Recommendation 3 in the CP</w:t>
      </w:r>
      <w:r w:rsidR="00FB5332" w:rsidRPr="00581C3B">
        <w:rPr>
          <w:rFonts w:eastAsiaTheme="minorEastAsia" w:cs="Arial"/>
          <w:sz w:val="24"/>
          <w:szCs w:val="24"/>
          <w:lang w:val="en-GB"/>
        </w:rPr>
        <w:t xml:space="preserve"> proposed that the new cybercrime legislation exte</w:t>
      </w:r>
      <w:r w:rsidR="00A6071F">
        <w:rPr>
          <w:rFonts w:eastAsiaTheme="minorEastAsia" w:cs="Arial"/>
          <w:sz w:val="24"/>
          <w:szCs w:val="24"/>
          <w:lang w:val="en-GB"/>
        </w:rPr>
        <w:t>nd the limitation period to two </w:t>
      </w:r>
      <w:r w:rsidR="00FB5332" w:rsidRPr="00581C3B">
        <w:rPr>
          <w:rFonts w:eastAsiaTheme="minorEastAsia" w:cs="Arial"/>
          <w:sz w:val="24"/>
          <w:szCs w:val="24"/>
          <w:lang w:val="en-GB"/>
        </w:rPr>
        <w:t>years</w:t>
      </w:r>
      <w:r w:rsidR="005C7F2B" w:rsidRPr="00581C3B">
        <w:rPr>
          <w:rFonts w:eastAsiaTheme="minorEastAsia" w:cs="Arial"/>
          <w:sz w:val="24"/>
          <w:szCs w:val="24"/>
          <w:lang w:val="en-GB"/>
        </w:rPr>
        <w:t>.</w:t>
      </w:r>
    </w:p>
    <w:p w14:paraId="52E13055" w14:textId="378EAD41" w:rsidR="001113D8" w:rsidRPr="00581C3B" w:rsidRDefault="001113D8" w:rsidP="00765211">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hint="eastAsia"/>
          <w:sz w:val="24"/>
          <w:szCs w:val="24"/>
          <w:lang w:val="en-GB"/>
        </w:rPr>
        <w:t xml:space="preserve">The majority of the </w:t>
      </w:r>
      <w:r w:rsidRPr="00581C3B">
        <w:rPr>
          <w:rFonts w:cs="Arial"/>
          <w:sz w:val="24"/>
          <w:szCs w:val="24"/>
          <w:lang w:val="en-GB"/>
        </w:rPr>
        <w:t>R</w:t>
      </w:r>
      <w:r w:rsidRPr="00581C3B">
        <w:rPr>
          <w:rFonts w:cs="Arial" w:hint="eastAsia"/>
          <w:sz w:val="24"/>
          <w:szCs w:val="24"/>
          <w:lang w:val="en-GB"/>
        </w:rPr>
        <w:t xml:space="preserve">espondents </w:t>
      </w:r>
      <w:r w:rsidRPr="00581C3B">
        <w:rPr>
          <w:rFonts w:cs="Arial"/>
          <w:sz w:val="24"/>
          <w:szCs w:val="24"/>
          <w:lang w:val="en-GB"/>
        </w:rPr>
        <w:t>supported Recommendation 3</w:t>
      </w:r>
      <w:r w:rsidR="00B324F6" w:rsidRPr="00581C3B">
        <w:rPr>
          <w:rFonts w:cs="Arial"/>
          <w:sz w:val="24"/>
          <w:szCs w:val="24"/>
          <w:lang w:val="en-GB"/>
        </w:rPr>
        <w:t xml:space="preserve">, while a few preferred to </w:t>
      </w:r>
      <w:r w:rsidR="00033335" w:rsidRPr="00581C3B">
        <w:rPr>
          <w:rFonts w:cs="Arial"/>
          <w:sz w:val="24"/>
          <w:szCs w:val="24"/>
          <w:lang w:val="en-GB"/>
        </w:rPr>
        <w:t>keep the</w:t>
      </w:r>
      <w:r w:rsidR="00B324F6" w:rsidRPr="00581C3B">
        <w:rPr>
          <w:rFonts w:cs="Arial"/>
          <w:sz w:val="24"/>
          <w:szCs w:val="24"/>
          <w:lang w:val="en-GB"/>
        </w:rPr>
        <w:t xml:space="preserve"> six-month period </w:t>
      </w:r>
      <w:r w:rsidR="00033335" w:rsidRPr="00581C3B">
        <w:rPr>
          <w:rFonts w:cs="Arial"/>
          <w:sz w:val="24"/>
          <w:szCs w:val="24"/>
          <w:lang w:val="en-GB"/>
        </w:rPr>
        <w:t xml:space="preserve">in order to </w:t>
      </w:r>
      <w:r w:rsidR="00B324F6" w:rsidRPr="00581C3B">
        <w:rPr>
          <w:rFonts w:cs="Arial"/>
          <w:sz w:val="24"/>
          <w:szCs w:val="24"/>
          <w:lang w:val="en-GB"/>
        </w:rPr>
        <w:t>encourage</w:t>
      </w:r>
      <w:r w:rsidR="00033335" w:rsidRPr="00581C3B">
        <w:rPr>
          <w:rFonts w:cs="Arial"/>
          <w:sz w:val="24"/>
          <w:szCs w:val="24"/>
          <w:lang w:val="en-GB"/>
        </w:rPr>
        <w:t xml:space="preserve"> vigilance on the part of</w:t>
      </w:r>
      <w:r w:rsidR="00B324F6" w:rsidRPr="00581C3B">
        <w:rPr>
          <w:rFonts w:cs="Arial"/>
          <w:sz w:val="24"/>
          <w:szCs w:val="24"/>
          <w:lang w:val="en-GB"/>
        </w:rPr>
        <w:t xml:space="preserve"> LEAs</w:t>
      </w:r>
      <w:r w:rsidRPr="00581C3B">
        <w:rPr>
          <w:rFonts w:cs="Arial"/>
          <w:sz w:val="24"/>
          <w:szCs w:val="24"/>
          <w:lang w:val="en-GB"/>
        </w:rPr>
        <w:t xml:space="preserve">.  </w:t>
      </w:r>
      <w:r w:rsidR="00B324F6" w:rsidRPr="00581C3B">
        <w:rPr>
          <w:rFonts w:cs="Arial"/>
          <w:sz w:val="24"/>
          <w:szCs w:val="24"/>
          <w:lang w:val="en-GB"/>
        </w:rPr>
        <w:t>We wish to clarify that Recommendation 3 only seeks to extend the limitation period to ensure that the</w:t>
      </w:r>
      <w:r w:rsidR="006E555B">
        <w:rPr>
          <w:rFonts w:cs="Arial"/>
          <w:sz w:val="24"/>
          <w:szCs w:val="24"/>
          <w:lang w:val="en-GB"/>
        </w:rPr>
        <w:t xml:space="preserve"> ensuing prosecution of an</w:t>
      </w:r>
      <w:r w:rsidR="00B324F6" w:rsidRPr="00581C3B">
        <w:rPr>
          <w:rFonts w:cs="Arial"/>
          <w:sz w:val="24"/>
          <w:szCs w:val="24"/>
          <w:lang w:val="en-GB"/>
        </w:rPr>
        <w:t xml:space="preserve"> </w:t>
      </w:r>
      <w:r w:rsidR="00732821" w:rsidRPr="00581C3B">
        <w:rPr>
          <w:rFonts w:cs="Arial"/>
          <w:sz w:val="24"/>
          <w:szCs w:val="24"/>
          <w:lang w:val="en-GB"/>
        </w:rPr>
        <w:t xml:space="preserve">investigation of alleged </w:t>
      </w:r>
      <w:r w:rsidR="00B324F6" w:rsidRPr="00581C3B">
        <w:rPr>
          <w:rFonts w:cs="Arial"/>
          <w:sz w:val="24"/>
          <w:szCs w:val="24"/>
          <w:lang w:val="en-GB"/>
        </w:rPr>
        <w:t>offence</w:t>
      </w:r>
      <w:r w:rsidR="006E555B">
        <w:rPr>
          <w:rFonts w:cs="Arial"/>
          <w:sz w:val="24"/>
          <w:szCs w:val="24"/>
          <w:lang w:val="en-GB"/>
        </w:rPr>
        <w:t>s</w:t>
      </w:r>
      <w:r w:rsidR="00B324F6" w:rsidRPr="00581C3B">
        <w:rPr>
          <w:rFonts w:cs="Arial"/>
          <w:sz w:val="24"/>
          <w:szCs w:val="24"/>
          <w:lang w:val="en-GB"/>
        </w:rPr>
        <w:t xml:space="preserve"> </w:t>
      </w:r>
      <w:r w:rsidR="00732821" w:rsidRPr="00581C3B">
        <w:rPr>
          <w:rFonts w:cs="Arial"/>
          <w:sz w:val="24"/>
          <w:szCs w:val="24"/>
          <w:lang w:val="en-GB"/>
        </w:rPr>
        <w:t>which</w:t>
      </w:r>
      <w:r w:rsidR="00B324F6" w:rsidRPr="00581C3B">
        <w:rPr>
          <w:rFonts w:cs="Arial"/>
          <w:sz w:val="24"/>
          <w:szCs w:val="24"/>
          <w:lang w:val="en-GB"/>
        </w:rPr>
        <w:t xml:space="preserve"> cannot </w:t>
      </w:r>
      <w:r w:rsidR="00732821" w:rsidRPr="00581C3B">
        <w:rPr>
          <w:rFonts w:cs="Arial"/>
          <w:sz w:val="24"/>
          <w:szCs w:val="24"/>
          <w:lang w:val="en-GB"/>
        </w:rPr>
        <w:t>reasonably</w:t>
      </w:r>
      <w:r w:rsidR="00B324F6" w:rsidRPr="00581C3B">
        <w:rPr>
          <w:rFonts w:cs="Arial"/>
          <w:sz w:val="24"/>
          <w:szCs w:val="24"/>
          <w:lang w:val="en-GB"/>
        </w:rPr>
        <w:t xml:space="preserve"> </w:t>
      </w:r>
      <w:r w:rsidR="00732821" w:rsidRPr="00581C3B">
        <w:rPr>
          <w:rFonts w:cs="Arial"/>
          <w:sz w:val="24"/>
          <w:szCs w:val="24"/>
          <w:lang w:val="en-GB"/>
        </w:rPr>
        <w:t>be</w:t>
      </w:r>
      <w:r w:rsidR="00B324F6" w:rsidRPr="00581C3B">
        <w:rPr>
          <w:rFonts w:cs="Arial"/>
          <w:sz w:val="24"/>
          <w:szCs w:val="24"/>
          <w:lang w:val="en-GB"/>
        </w:rPr>
        <w:t xml:space="preserve"> complete</w:t>
      </w:r>
      <w:r w:rsidR="00732821" w:rsidRPr="00581C3B">
        <w:rPr>
          <w:rFonts w:cs="Arial"/>
          <w:sz w:val="24"/>
          <w:szCs w:val="24"/>
          <w:lang w:val="en-GB"/>
        </w:rPr>
        <w:t>d</w:t>
      </w:r>
      <w:r w:rsidR="00B324F6" w:rsidRPr="00581C3B">
        <w:rPr>
          <w:rFonts w:cs="Arial"/>
          <w:sz w:val="24"/>
          <w:szCs w:val="24"/>
          <w:lang w:val="en-GB"/>
        </w:rPr>
        <w:t xml:space="preserve"> within the default six</w:t>
      </w:r>
      <w:r w:rsidR="00A6071F">
        <w:rPr>
          <w:rFonts w:cs="Arial"/>
          <w:sz w:val="24"/>
          <w:szCs w:val="24"/>
          <w:lang w:val="en-GB"/>
        </w:rPr>
        <w:t> </w:t>
      </w:r>
      <w:r w:rsidR="00B324F6" w:rsidRPr="00581C3B">
        <w:rPr>
          <w:rFonts w:cs="Arial"/>
          <w:sz w:val="24"/>
          <w:szCs w:val="24"/>
          <w:lang w:val="en-GB"/>
        </w:rPr>
        <w:t>months</w:t>
      </w:r>
      <w:r w:rsidR="004F7798" w:rsidRPr="00581C3B">
        <w:rPr>
          <w:rFonts w:cs="Arial"/>
          <w:sz w:val="24"/>
          <w:szCs w:val="24"/>
          <w:lang w:val="en-GB"/>
        </w:rPr>
        <w:t xml:space="preserve"> given the inherent complications </w:t>
      </w:r>
      <w:r w:rsidR="00732821" w:rsidRPr="00581C3B">
        <w:rPr>
          <w:rFonts w:cs="Arial"/>
          <w:sz w:val="24"/>
          <w:szCs w:val="24"/>
          <w:lang w:val="en-GB"/>
        </w:rPr>
        <w:t>is not time-barred</w:t>
      </w:r>
      <w:r w:rsidR="004F7798" w:rsidRPr="00581C3B">
        <w:rPr>
          <w:rFonts w:cs="Arial"/>
          <w:sz w:val="24"/>
          <w:szCs w:val="24"/>
          <w:lang w:val="en-GB"/>
        </w:rPr>
        <w:t>,</w:t>
      </w:r>
      <w:r w:rsidR="00B324F6" w:rsidRPr="00581C3B">
        <w:rPr>
          <w:rFonts w:cs="Arial"/>
          <w:sz w:val="24"/>
          <w:szCs w:val="24"/>
          <w:lang w:val="en-GB"/>
        </w:rPr>
        <w:t xml:space="preserve"> </w:t>
      </w:r>
      <w:r w:rsidR="00AE0818" w:rsidRPr="00581C3B">
        <w:rPr>
          <w:rFonts w:cs="Arial"/>
          <w:sz w:val="24"/>
          <w:szCs w:val="24"/>
          <w:lang w:val="en-GB"/>
        </w:rPr>
        <w:t>and not because</w:t>
      </w:r>
      <w:r w:rsidR="000D2870" w:rsidRPr="00581C3B">
        <w:rPr>
          <w:rFonts w:cs="Arial"/>
          <w:sz w:val="24"/>
          <w:szCs w:val="24"/>
          <w:lang w:val="en-GB"/>
        </w:rPr>
        <w:t xml:space="preserve"> of the lack of confidence that</w:t>
      </w:r>
      <w:r w:rsidR="00B324F6" w:rsidRPr="00581C3B">
        <w:rPr>
          <w:rFonts w:cs="Arial"/>
          <w:sz w:val="24"/>
          <w:szCs w:val="24"/>
          <w:lang w:val="en-GB"/>
        </w:rPr>
        <w:t xml:space="preserve"> LEAs </w:t>
      </w:r>
      <w:r w:rsidR="000D2870" w:rsidRPr="00581C3B">
        <w:rPr>
          <w:rFonts w:cs="Arial"/>
          <w:sz w:val="24"/>
          <w:szCs w:val="24"/>
          <w:lang w:val="en-GB"/>
        </w:rPr>
        <w:t>are capable of</w:t>
      </w:r>
      <w:r w:rsidR="00B324F6" w:rsidRPr="00581C3B">
        <w:rPr>
          <w:rFonts w:cs="Arial"/>
          <w:sz w:val="24"/>
          <w:szCs w:val="24"/>
          <w:lang w:val="en-GB"/>
        </w:rPr>
        <w:t xml:space="preserve"> deal</w:t>
      </w:r>
      <w:r w:rsidR="00261FDD" w:rsidRPr="00581C3B">
        <w:rPr>
          <w:rFonts w:cs="Arial"/>
          <w:sz w:val="24"/>
          <w:szCs w:val="24"/>
          <w:lang w:val="en-GB"/>
        </w:rPr>
        <w:t>ing</w:t>
      </w:r>
      <w:r w:rsidR="00B324F6" w:rsidRPr="00581C3B">
        <w:rPr>
          <w:rFonts w:cs="Arial"/>
          <w:sz w:val="24"/>
          <w:szCs w:val="24"/>
          <w:lang w:val="en-GB"/>
        </w:rPr>
        <w:t xml:space="preserve"> with a cybercrime case as swiftly as is fair and possible.</w:t>
      </w:r>
    </w:p>
    <w:p w14:paraId="5C6FBBA3" w14:textId="3CB16F86" w:rsidR="003C67E7" w:rsidRPr="00581C3B" w:rsidRDefault="00B324F6" w:rsidP="0068171D">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Thus</w:t>
      </w:r>
      <w:r w:rsidR="001371AD" w:rsidRPr="00581C3B">
        <w:rPr>
          <w:rFonts w:cs="Arial"/>
          <w:sz w:val="24"/>
          <w:szCs w:val="24"/>
          <w:lang w:val="en-GB"/>
        </w:rPr>
        <w:t>,</w:t>
      </w:r>
      <w:r w:rsidR="00E107FA" w:rsidRPr="00581C3B">
        <w:rPr>
          <w:rFonts w:cs="Arial"/>
          <w:sz w:val="24"/>
          <w:szCs w:val="24"/>
          <w:lang w:val="en-GB"/>
        </w:rPr>
        <w:t xml:space="preserve"> </w:t>
      </w:r>
      <w:r w:rsidR="001371AD" w:rsidRPr="00581C3B">
        <w:rPr>
          <w:rFonts w:cs="Arial"/>
          <w:sz w:val="24"/>
          <w:szCs w:val="24"/>
          <w:lang w:val="en-GB"/>
        </w:rPr>
        <w:t>w</w:t>
      </w:r>
      <w:r w:rsidR="00E107FA" w:rsidRPr="00581C3B">
        <w:rPr>
          <w:rFonts w:cs="Arial"/>
          <w:bCs/>
          <w:sz w:val="24"/>
          <w:szCs w:val="24"/>
          <w:lang w:val="en-GB"/>
        </w:rPr>
        <w:t>e recommend</w:t>
      </w:r>
      <w:r w:rsidR="00E107FA" w:rsidRPr="00581C3B">
        <w:rPr>
          <w:rFonts w:cs="Arial"/>
          <w:sz w:val="24"/>
          <w:szCs w:val="24"/>
          <w:lang w:val="en-GB"/>
        </w:rPr>
        <w:t xml:space="preserve"> </w:t>
      </w:r>
      <w:r w:rsidR="00CE40C2" w:rsidRPr="00581C3B">
        <w:rPr>
          <w:rFonts w:cs="Arial"/>
          <w:sz w:val="24"/>
          <w:szCs w:val="24"/>
          <w:lang w:val="en-GB"/>
        </w:rPr>
        <w:t>retaining Recommendation 3 in the CP as our</w:t>
      </w:r>
      <w:r w:rsidR="00B51725" w:rsidRPr="00581C3B">
        <w:rPr>
          <w:rFonts w:cs="Arial"/>
          <w:sz w:val="24"/>
          <w:szCs w:val="24"/>
          <w:lang w:val="en-GB"/>
        </w:rPr>
        <w:t xml:space="preserve"> </w:t>
      </w:r>
      <w:r w:rsidR="00B51725" w:rsidRPr="00581C3B">
        <w:rPr>
          <w:rFonts w:cs="Arial"/>
          <w:b/>
          <w:sz w:val="24"/>
          <w:szCs w:val="24"/>
          <w:lang w:val="en-GB"/>
        </w:rPr>
        <w:t>Final Recommendation 3</w:t>
      </w:r>
      <w:r w:rsidR="00B51725" w:rsidRPr="00581C3B">
        <w:rPr>
          <w:rFonts w:cs="Arial"/>
          <w:sz w:val="24"/>
          <w:szCs w:val="24"/>
          <w:lang w:val="en-GB"/>
        </w:rPr>
        <w:t>:</w:t>
      </w:r>
    </w:p>
    <w:p w14:paraId="6BC1C6B1" w14:textId="665916E2" w:rsidR="00CE40C2" w:rsidRPr="00581C3B" w:rsidRDefault="00CE40C2" w:rsidP="00CE40C2">
      <w:pPr>
        <w:pStyle w:val="ListParagraph"/>
        <w:widowControl/>
        <w:spacing w:after="240" w:line="240" w:lineRule="auto"/>
        <w:ind w:right="720"/>
        <w:contextualSpacing w:val="0"/>
        <w:rPr>
          <w:rFonts w:cs="Arial"/>
          <w:sz w:val="24"/>
          <w:szCs w:val="24"/>
          <w:lang w:val="en-GB"/>
        </w:rPr>
      </w:pPr>
      <w:r w:rsidRPr="00581C3B">
        <w:rPr>
          <w:rFonts w:cs="Arial"/>
          <w:sz w:val="24"/>
          <w:szCs w:val="24"/>
          <w:lang w:val="en-GB"/>
        </w:rPr>
        <w:lastRenderedPageBreak/>
        <w:t>“</w:t>
      </w:r>
      <w:r w:rsidRPr="00581C3B">
        <w:rPr>
          <w:rFonts w:cs="Arial"/>
          <w:i/>
          <w:sz w:val="24"/>
          <w:szCs w:val="24"/>
          <w:lang w:val="en-GB"/>
        </w:rPr>
        <w:t>We recommend that the limitation period applicable to a charge for any of the proposed offences by way of su</w:t>
      </w:r>
      <w:r w:rsidR="00A6071F">
        <w:rPr>
          <w:rFonts w:cs="Arial"/>
          <w:i/>
          <w:sz w:val="24"/>
          <w:szCs w:val="24"/>
          <w:lang w:val="en-GB"/>
        </w:rPr>
        <w:t>mmary proceedings should be two </w:t>
      </w:r>
      <w:r w:rsidRPr="00581C3B">
        <w:rPr>
          <w:rFonts w:cs="Arial"/>
          <w:i/>
          <w:sz w:val="24"/>
          <w:szCs w:val="24"/>
          <w:lang w:val="en-GB"/>
        </w:rPr>
        <w:t>years after discovery of any act or omission or other event (including any result of one or more acts or omissions) the proof of which is required for conviction of the offence, notwithstanding section 26 of the Magistrates Ordinance (Cap</w:t>
      </w:r>
      <w:r w:rsidR="00D32F52" w:rsidRPr="00581C3B">
        <w:rPr>
          <w:rFonts w:cs="Arial"/>
          <w:i/>
          <w:sz w:val="24"/>
          <w:szCs w:val="24"/>
          <w:lang w:val="en-GB"/>
        </w:rPr>
        <w:t> </w:t>
      </w:r>
      <w:r w:rsidRPr="00581C3B">
        <w:rPr>
          <w:rFonts w:cs="Arial"/>
          <w:i/>
          <w:sz w:val="24"/>
          <w:szCs w:val="24"/>
          <w:lang w:val="en-GB"/>
        </w:rPr>
        <w:t>227).</w:t>
      </w:r>
      <w:r w:rsidRPr="00581C3B">
        <w:rPr>
          <w:rFonts w:cs="Arial"/>
          <w:sz w:val="24"/>
          <w:szCs w:val="24"/>
          <w:lang w:val="en-GB"/>
        </w:rPr>
        <w:t>”</w:t>
      </w:r>
    </w:p>
    <w:p w14:paraId="738405BD" w14:textId="6A391715" w:rsidR="00326368" w:rsidRPr="00581C3B" w:rsidRDefault="0024442E" w:rsidP="00E031B1">
      <w:pPr>
        <w:pStyle w:val="Heading2"/>
        <w:widowControl/>
        <w:spacing w:beforeLines="200" w:before="480" w:after="240"/>
        <w:rPr>
          <w:rFonts w:cs="Arial"/>
          <w:szCs w:val="28"/>
        </w:rPr>
      </w:pPr>
      <w:r w:rsidRPr="00581C3B">
        <w:rPr>
          <w:rFonts w:cs="Arial"/>
          <w:szCs w:val="28"/>
        </w:rPr>
        <w:t>Chapter 3:</w:t>
      </w:r>
      <w:r w:rsidR="00842A3F" w:rsidRPr="00581C3B">
        <w:rPr>
          <w:rFonts w:cs="Arial"/>
          <w:szCs w:val="28"/>
        </w:rPr>
        <w:t xml:space="preserve"> </w:t>
      </w:r>
      <w:r w:rsidR="004B7EC6" w:rsidRPr="00581C3B">
        <w:rPr>
          <w:rFonts w:cs="Arial"/>
          <w:szCs w:val="28"/>
        </w:rPr>
        <w:t>Illegal interception of computer data</w:t>
      </w:r>
    </w:p>
    <w:p w14:paraId="2ADD1F4B" w14:textId="65311622" w:rsidR="00252274" w:rsidRPr="00581C3B" w:rsidRDefault="00F83688" w:rsidP="0068171D">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A clear majority of the Respondents supported </w:t>
      </w:r>
      <w:r w:rsidR="00035ACA" w:rsidRPr="00581C3B">
        <w:rPr>
          <w:rFonts w:cs="Arial"/>
          <w:sz w:val="24"/>
          <w:szCs w:val="24"/>
          <w:lang w:val="en-GB"/>
        </w:rPr>
        <w:t xml:space="preserve">Recommendation 4 in the CP </w:t>
      </w:r>
      <w:r w:rsidRPr="00581C3B">
        <w:rPr>
          <w:rFonts w:cs="Arial"/>
          <w:sz w:val="24"/>
          <w:szCs w:val="24"/>
          <w:lang w:val="en-GB"/>
        </w:rPr>
        <w:t xml:space="preserve">which </w:t>
      </w:r>
      <w:r w:rsidR="00035ACA" w:rsidRPr="00581C3B">
        <w:rPr>
          <w:rFonts w:cs="Arial"/>
          <w:sz w:val="24"/>
          <w:szCs w:val="24"/>
          <w:lang w:val="en-GB"/>
        </w:rPr>
        <w:t>proposed that unauthorised interception, disclosure or use of computer data carried out for a dishonest or criminal purpose should be an offence</w:t>
      </w:r>
      <w:r w:rsidR="000C18BB" w:rsidRPr="00581C3B">
        <w:rPr>
          <w:rFonts w:cs="Arial"/>
          <w:sz w:val="24"/>
          <w:szCs w:val="24"/>
          <w:lang w:val="en-GB"/>
        </w:rPr>
        <w:t>.</w:t>
      </w:r>
      <w:r w:rsidR="00035ACA" w:rsidRPr="00581C3B">
        <w:rPr>
          <w:rFonts w:cs="Arial"/>
          <w:sz w:val="24"/>
          <w:szCs w:val="24"/>
          <w:lang w:val="en-GB"/>
        </w:rPr>
        <w:t xml:space="preserve">  </w:t>
      </w:r>
      <w:r w:rsidR="0080552E" w:rsidRPr="00581C3B">
        <w:rPr>
          <w:rFonts w:cs="Arial"/>
          <w:sz w:val="24"/>
          <w:szCs w:val="24"/>
          <w:lang w:val="en-GB"/>
        </w:rPr>
        <w:t>Some</w:t>
      </w:r>
      <w:r w:rsidR="00E65DF9" w:rsidRPr="00581C3B">
        <w:rPr>
          <w:rFonts w:cs="Arial"/>
          <w:sz w:val="24"/>
          <w:szCs w:val="24"/>
          <w:lang w:val="en-GB"/>
        </w:rPr>
        <w:t xml:space="preserve"> information technology </w:t>
      </w:r>
      <w:r w:rsidR="0080552E" w:rsidRPr="00581C3B">
        <w:rPr>
          <w:rFonts w:cs="Arial"/>
          <w:sz w:val="24"/>
          <w:szCs w:val="24"/>
          <w:lang w:val="en-GB"/>
        </w:rPr>
        <w:t>bodies</w:t>
      </w:r>
      <w:r w:rsidR="00E65DF9" w:rsidRPr="00581C3B">
        <w:rPr>
          <w:rFonts w:cs="Arial"/>
          <w:sz w:val="24"/>
          <w:szCs w:val="24"/>
          <w:lang w:val="en-GB"/>
        </w:rPr>
        <w:t xml:space="preserve"> were</w:t>
      </w:r>
      <w:r w:rsidRPr="00581C3B">
        <w:rPr>
          <w:rFonts w:cs="Arial"/>
          <w:sz w:val="24"/>
          <w:szCs w:val="24"/>
          <w:lang w:val="en-GB"/>
        </w:rPr>
        <w:t>, however,</w:t>
      </w:r>
      <w:r w:rsidR="00E65DF9" w:rsidRPr="00581C3B">
        <w:rPr>
          <w:rFonts w:cs="Arial"/>
          <w:sz w:val="24"/>
          <w:szCs w:val="24"/>
          <w:lang w:val="en-GB"/>
        </w:rPr>
        <w:t xml:space="preserve"> concerned that the proposed interception offence would bring potential uncertainties to the legitimate acts </w:t>
      </w:r>
      <w:r w:rsidRPr="00581C3B">
        <w:rPr>
          <w:rFonts w:cs="Arial"/>
          <w:sz w:val="24"/>
          <w:szCs w:val="24"/>
          <w:lang w:val="en-GB"/>
        </w:rPr>
        <w:t xml:space="preserve">involving interception </w:t>
      </w:r>
      <w:r w:rsidR="00E65DF9" w:rsidRPr="00581C3B">
        <w:rPr>
          <w:rFonts w:cs="Arial"/>
          <w:sz w:val="24"/>
          <w:szCs w:val="24"/>
          <w:lang w:val="en-GB"/>
        </w:rPr>
        <w:t>carried out by cybersecurity practitioners, such as network intrusion detection, penetration test and network monitoring for discovering attacks or analysing network traffic.</w:t>
      </w:r>
    </w:p>
    <w:p w14:paraId="1D8F0043" w14:textId="5C278717" w:rsidR="00216EB5" w:rsidRPr="00581C3B" w:rsidRDefault="00812409" w:rsidP="008907BF">
      <w:pPr>
        <w:pStyle w:val="ListParagraph"/>
        <w:tabs>
          <w:tab w:val="clear" w:pos="1418"/>
        </w:tabs>
        <w:spacing w:before="240" w:after="240" w:line="240" w:lineRule="auto"/>
        <w:ind w:left="0"/>
        <w:contextualSpacing w:val="0"/>
        <w:rPr>
          <w:rFonts w:cs="Arial"/>
          <w:b/>
          <w:i/>
          <w:sz w:val="24"/>
          <w:szCs w:val="24"/>
          <w:lang w:val="en-GB"/>
        </w:rPr>
      </w:pPr>
      <w:r w:rsidRPr="00581C3B">
        <w:rPr>
          <w:b/>
          <w:i/>
          <w:sz w:val="24"/>
          <w:szCs w:val="24"/>
        </w:rPr>
        <w:t xml:space="preserve">The requirement “for a dishonest or criminal purpose” is </w:t>
      </w:r>
      <w:r w:rsidR="00DA0C4F" w:rsidRPr="00581C3B">
        <w:rPr>
          <w:b/>
          <w:i/>
          <w:sz w:val="24"/>
          <w:szCs w:val="24"/>
        </w:rPr>
        <w:t>appropriate</w:t>
      </w:r>
      <w:r w:rsidR="00113294" w:rsidRPr="00581C3B">
        <w:rPr>
          <w:rFonts w:eastAsia="Arial Unicode MS" w:cs="Arial"/>
          <w:kern w:val="2"/>
          <w:sz w:val="24"/>
          <w:szCs w:val="24"/>
          <w:vertAlign w:val="superscript"/>
        </w:rPr>
        <w:footnoteReference w:id="26"/>
      </w:r>
    </w:p>
    <w:p w14:paraId="1F2BAB43" w14:textId="161529DE" w:rsidR="00FA3394" w:rsidRPr="00581C3B" w:rsidRDefault="006C3093" w:rsidP="00D42EF7">
      <w:pPr>
        <w:pStyle w:val="ListParagraph"/>
        <w:numPr>
          <w:ilvl w:val="0"/>
          <w:numId w:val="14"/>
        </w:numPr>
        <w:spacing w:after="240" w:line="240" w:lineRule="auto"/>
        <w:ind w:left="0" w:firstLine="0"/>
        <w:contextualSpacing w:val="0"/>
        <w:rPr>
          <w:rFonts w:cs="Arial"/>
          <w:sz w:val="24"/>
          <w:szCs w:val="24"/>
          <w:lang w:val="en-GB"/>
        </w:rPr>
      </w:pPr>
      <w:r w:rsidRPr="00581C3B">
        <w:rPr>
          <w:rFonts w:eastAsiaTheme="minorEastAsia" w:cs="Arial"/>
          <w:sz w:val="24"/>
          <w:szCs w:val="24"/>
          <w:lang w:val="en-GB"/>
        </w:rPr>
        <w:t>As with the CP,</w:t>
      </w:r>
      <w:r w:rsidR="00EF117A" w:rsidRPr="00581C3B">
        <w:rPr>
          <w:rFonts w:eastAsiaTheme="minorEastAsia" w:cs="Arial"/>
          <w:sz w:val="24"/>
          <w:szCs w:val="24"/>
          <w:vertAlign w:val="superscript"/>
          <w:lang w:val="en-GB"/>
        </w:rPr>
        <w:footnoteReference w:id="27"/>
      </w:r>
      <w:r w:rsidRPr="00581C3B">
        <w:rPr>
          <w:rFonts w:eastAsiaTheme="minorEastAsia" w:cs="Arial"/>
          <w:sz w:val="24"/>
          <w:szCs w:val="24"/>
          <w:lang w:val="en-GB"/>
        </w:rPr>
        <w:t xml:space="preserve"> w</w:t>
      </w:r>
      <w:r w:rsidRPr="00581C3B">
        <w:rPr>
          <w:rFonts w:eastAsiaTheme="minorEastAsia" w:cs="Arial" w:hint="eastAsia"/>
          <w:sz w:val="24"/>
          <w:szCs w:val="24"/>
          <w:lang w:val="en-GB"/>
        </w:rPr>
        <w:t xml:space="preserve">e emphasise that </w:t>
      </w:r>
      <w:r w:rsidRPr="00581C3B">
        <w:rPr>
          <w:rFonts w:eastAsiaTheme="minorEastAsia" w:cs="Arial"/>
          <w:sz w:val="24"/>
          <w:szCs w:val="24"/>
          <w:lang w:val="en-GB"/>
        </w:rPr>
        <w:t>we</w:t>
      </w:r>
      <w:r w:rsidRPr="00581C3B">
        <w:rPr>
          <w:rFonts w:eastAsiaTheme="minorEastAsia" w:cs="Arial" w:hint="eastAsia"/>
          <w:sz w:val="24"/>
          <w:szCs w:val="24"/>
          <w:lang w:val="en-GB"/>
        </w:rPr>
        <w:t xml:space="preserve"> fully acknowledge that</w:t>
      </w:r>
      <w:r w:rsidRPr="00581C3B">
        <w:rPr>
          <w:rFonts w:eastAsiaTheme="minorEastAsia" w:cs="Arial"/>
          <w:sz w:val="24"/>
          <w:szCs w:val="24"/>
          <w:lang w:val="en-GB"/>
        </w:rPr>
        <w:t xml:space="preserve"> the operation of modern networking devices has an element of interception and data interception may occur in various ways under the normal practice of cybersecurity companies.</w:t>
      </w:r>
      <w:r w:rsidR="004B449E" w:rsidRPr="00581C3B">
        <w:rPr>
          <w:rFonts w:eastAsiaTheme="minorEastAsia" w:cs="Arial"/>
          <w:sz w:val="24"/>
          <w:szCs w:val="24"/>
          <w:lang w:val="en-GB"/>
        </w:rPr>
        <w:t xml:space="preserve">  </w:t>
      </w:r>
      <w:r w:rsidR="00697C93" w:rsidRPr="00581C3B">
        <w:rPr>
          <w:rFonts w:cs="Arial"/>
          <w:sz w:val="24"/>
          <w:szCs w:val="24"/>
          <w:lang w:val="en-GB"/>
        </w:rPr>
        <w:t>This was why</w:t>
      </w:r>
      <w:r w:rsidR="00812409" w:rsidRPr="00581C3B">
        <w:rPr>
          <w:rFonts w:cs="Arial"/>
          <w:sz w:val="24"/>
          <w:szCs w:val="24"/>
        </w:rPr>
        <w:t xml:space="preserve"> the </w:t>
      </w:r>
      <w:r w:rsidR="00697C93" w:rsidRPr="00581C3B">
        <w:rPr>
          <w:rFonts w:cs="Arial"/>
          <w:sz w:val="24"/>
          <w:szCs w:val="24"/>
        </w:rPr>
        <w:t>CP</w:t>
      </w:r>
      <w:r w:rsidR="00812409" w:rsidRPr="00581C3B">
        <w:rPr>
          <w:rFonts w:cs="Arial"/>
          <w:sz w:val="24"/>
          <w:szCs w:val="24"/>
        </w:rPr>
        <w:t xml:space="preserve"> recommended interception “</w:t>
      </w:r>
      <w:r w:rsidR="00812409" w:rsidRPr="00581C3B">
        <w:rPr>
          <w:rFonts w:cs="Arial"/>
          <w:i/>
          <w:sz w:val="24"/>
          <w:szCs w:val="24"/>
        </w:rPr>
        <w:t xml:space="preserve">for a dishonest </w:t>
      </w:r>
      <w:r w:rsidR="00651AC0">
        <w:rPr>
          <w:rFonts w:cs="Arial"/>
          <w:i/>
          <w:sz w:val="24"/>
          <w:szCs w:val="24"/>
        </w:rPr>
        <w:t>or</w:t>
      </w:r>
      <w:r w:rsidR="00812409" w:rsidRPr="00581C3B">
        <w:rPr>
          <w:rFonts w:cs="Arial"/>
          <w:i/>
          <w:sz w:val="24"/>
          <w:szCs w:val="24"/>
        </w:rPr>
        <w:t xml:space="preserve"> criminal purpose</w:t>
      </w:r>
      <w:r w:rsidR="00812409" w:rsidRPr="00581C3B">
        <w:rPr>
          <w:rFonts w:cs="Arial"/>
          <w:sz w:val="24"/>
          <w:szCs w:val="24"/>
        </w:rPr>
        <w:t>” as a requirement.  Th</w:t>
      </w:r>
      <w:r w:rsidR="00F83688" w:rsidRPr="00581C3B">
        <w:rPr>
          <w:rFonts w:cs="Arial"/>
          <w:sz w:val="24"/>
          <w:szCs w:val="24"/>
        </w:rPr>
        <w:t>is</w:t>
      </w:r>
      <w:r w:rsidR="00812409" w:rsidRPr="00581C3B">
        <w:rPr>
          <w:rFonts w:cs="Arial"/>
          <w:sz w:val="24"/>
          <w:szCs w:val="24"/>
        </w:rPr>
        <w:t xml:space="preserve"> </w:t>
      </w:r>
      <w:r w:rsidR="00814305" w:rsidRPr="00581C3B">
        <w:rPr>
          <w:rFonts w:cs="Arial"/>
          <w:sz w:val="24"/>
          <w:szCs w:val="24"/>
        </w:rPr>
        <w:t xml:space="preserve">mental </w:t>
      </w:r>
      <w:r w:rsidR="00812409" w:rsidRPr="00581C3B">
        <w:rPr>
          <w:rFonts w:cs="Arial"/>
          <w:sz w:val="24"/>
          <w:szCs w:val="24"/>
        </w:rPr>
        <w:t>element intends to impose a high threshold to avoid creating an offence whos</w:t>
      </w:r>
      <w:r w:rsidR="004B449E" w:rsidRPr="00581C3B">
        <w:rPr>
          <w:rFonts w:cs="Arial"/>
          <w:sz w:val="24"/>
          <w:szCs w:val="24"/>
        </w:rPr>
        <w:t>e scope is unjustifiably broad</w:t>
      </w:r>
      <w:r w:rsidR="00F83688" w:rsidRPr="00581C3B">
        <w:rPr>
          <w:rFonts w:cs="Arial"/>
          <w:sz w:val="24"/>
          <w:szCs w:val="24"/>
        </w:rPr>
        <w:t xml:space="preserve"> in order that data interception which normally takes place under the ordinary use of computer network technology will not be criminalised</w:t>
      </w:r>
      <w:r w:rsidR="004B449E" w:rsidRPr="00581C3B">
        <w:rPr>
          <w:rFonts w:cs="Arial"/>
          <w:sz w:val="24"/>
          <w:szCs w:val="24"/>
        </w:rPr>
        <w:t>.</w:t>
      </w:r>
    </w:p>
    <w:p w14:paraId="20B364D1" w14:textId="26845288" w:rsidR="00812409" w:rsidRPr="00581C3B" w:rsidRDefault="00812409" w:rsidP="00216EB5">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We</w:t>
      </w:r>
      <w:r w:rsidR="00487F1E" w:rsidRPr="00581C3B">
        <w:rPr>
          <w:rFonts w:cs="Arial"/>
          <w:sz w:val="24"/>
          <w:szCs w:val="24"/>
        </w:rPr>
        <w:t xml:space="preserve"> also</w:t>
      </w:r>
      <w:r w:rsidRPr="00581C3B">
        <w:rPr>
          <w:rFonts w:cs="Arial"/>
          <w:sz w:val="24"/>
          <w:szCs w:val="24"/>
        </w:rPr>
        <w:t xml:space="preserve"> acknowledge that some uncertainty </w:t>
      </w:r>
      <w:r w:rsidR="00B2637B" w:rsidRPr="00581C3B">
        <w:rPr>
          <w:rFonts w:cs="Arial"/>
          <w:sz w:val="24"/>
          <w:szCs w:val="24"/>
        </w:rPr>
        <w:t xml:space="preserve">may arise </w:t>
      </w:r>
      <w:r w:rsidRPr="00581C3B">
        <w:rPr>
          <w:rFonts w:cs="Arial"/>
          <w:sz w:val="24"/>
          <w:szCs w:val="24"/>
        </w:rPr>
        <w:t xml:space="preserve">in </w:t>
      </w:r>
      <w:r w:rsidR="00B2637B" w:rsidRPr="00581C3B">
        <w:rPr>
          <w:rFonts w:cs="Arial"/>
          <w:sz w:val="24"/>
          <w:szCs w:val="24"/>
        </w:rPr>
        <w:t>respect of</w:t>
      </w:r>
      <w:r w:rsidRPr="00581C3B">
        <w:rPr>
          <w:rFonts w:cs="Arial"/>
          <w:sz w:val="24"/>
          <w:szCs w:val="24"/>
        </w:rPr>
        <w:t xml:space="preserve"> certain borderline behaviours.  In those cases, whether a person is guilty of the interception offence would depend on the specific circumstances of the case, including the defendant’s purpose of intercepti</w:t>
      </w:r>
      <w:r w:rsidR="00487F1E" w:rsidRPr="00581C3B">
        <w:rPr>
          <w:rFonts w:cs="Arial"/>
          <w:sz w:val="24"/>
          <w:szCs w:val="24"/>
        </w:rPr>
        <w:t>o</w:t>
      </w:r>
      <w:r w:rsidRPr="00581C3B">
        <w:rPr>
          <w:rFonts w:cs="Arial"/>
          <w:sz w:val="24"/>
          <w:szCs w:val="24"/>
        </w:rPr>
        <w:t>n</w:t>
      </w:r>
      <w:r w:rsidR="00A834B9" w:rsidRPr="00581C3B">
        <w:rPr>
          <w:rFonts w:cs="Arial"/>
          <w:sz w:val="24"/>
          <w:szCs w:val="24"/>
        </w:rPr>
        <w:t xml:space="preserve"> </w:t>
      </w:r>
      <w:r w:rsidR="00B2637B" w:rsidRPr="00581C3B">
        <w:rPr>
          <w:rFonts w:cs="Arial"/>
          <w:sz w:val="24"/>
          <w:szCs w:val="24"/>
        </w:rPr>
        <w:t xml:space="preserve">and </w:t>
      </w:r>
      <w:r w:rsidRPr="00581C3B">
        <w:rPr>
          <w:rFonts w:cs="Arial"/>
          <w:sz w:val="24"/>
          <w:szCs w:val="24"/>
        </w:rPr>
        <w:t>the data</w:t>
      </w:r>
      <w:r w:rsidR="00B2637B" w:rsidRPr="00581C3B">
        <w:rPr>
          <w:rFonts w:cs="Arial"/>
          <w:sz w:val="24"/>
          <w:szCs w:val="24"/>
        </w:rPr>
        <w:t xml:space="preserve"> involved</w:t>
      </w:r>
      <w:r w:rsidRPr="00581C3B">
        <w:rPr>
          <w:rFonts w:cs="Arial"/>
          <w:sz w:val="24"/>
          <w:szCs w:val="24"/>
        </w:rPr>
        <w:t>.</w:t>
      </w:r>
      <w:r w:rsidR="00FA3394" w:rsidRPr="00581C3B">
        <w:rPr>
          <w:rFonts w:eastAsiaTheme="minorEastAsia" w:cs="Arial"/>
          <w:sz w:val="24"/>
          <w:szCs w:val="24"/>
          <w:vertAlign w:val="superscript"/>
          <w:lang w:val="en-GB"/>
        </w:rPr>
        <w:footnoteReference w:id="28"/>
      </w:r>
    </w:p>
    <w:p w14:paraId="37700CA5" w14:textId="40F65634" w:rsidR="00812409" w:rsidRPr="00581C3B" w:rsidRDefault="00A834B9" w:rsidP="00216EB5">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The merit of the criterion “</w:t>
      </w:r>
      <w:r w:rsidRPr="00581C3B">
        <w:rPr>
          <w:rFonts w:cs="Arial"/>
          <w:i/>
          <w:sz w:val="24"/>
          <w:szCs w:val="24"/>
        </w:rPr>
        <w:t>for a dishonest purpose</w:t>
      </w:r>
      <w:r w:rsidRPr="00581C3B">
        <w:rPr>
          <w:rFonts w:cs="Arial"/>
          <w:sz w:val="24"/>
          <w:szCs w:val="24"/>
        </w:rPr>
        <w:t xml:space="preserve">” is that the court may consider a multitude of factors in deciding whether the conduct of interception fell within the acceptable realm.  </w:t>
      </w:r>
      <w:r w:rsidR="00812409" w:rsidRPr="00581C3B">
        <w:rPr>
          <w:rFonts w:cs="Arial"/>
          <w:sz w:val="24"/>
          <w:szCs w:val="24"/>
        </w:rPr>
        <w:t xml:space="preserve">On balance, </w:t>
      </w:r>
      <w:r w:rsidR="00812409" w:rsidRPr="00581C3B">
        <w:rPr>
          <w:rFonts w:hint="eastAsia"/>
          <w:sz w:val="24"/>
          <w:szCs w:val="24"/>
        </w:rPr>
        <w:t xml:space="preserve">we </w:t>
      </w:r>
      <w:r w:rsidR="00812409" w:rsidRPr="00581C3B">
        <w:rPr>
          <w:sz w:val="24"/>
          <w:szCs w:val="24"/>
        </w:rPr>
        <w:t>conclude</w:t>
      </w:r>
      <w:r w:rsidR="00812409" w:rsidRPr="00581C3B">
        <w:rPr>
          <w:rFonts w:hint="eastAsia"/>
          <w:sz w:val="24"/>
          <w:szCs w:val="24"/>
        </w:rPr>
        <w:t xml:space="preserve"> that the </w:t>
      </w:r>
      <w:r w:rsidR="00812409" w:rsidRPr="00581C3B">
        <w:rPr>
          <w:rFonts w:cs="Arial"/>
          <w:i/>
          <w:sz w:val="24"/>
          <w:szCs w:val="24"/>
        </w:rPr>
        <w:t>mens rea</w:t>
      </w:r>
      <w:r w:rsidR="00812409" w:rsidRPr="00581C3B">
        <w:rPr>
          <w:rFonts w:cs="Arial"/>
          <w:sz w:val="24"/>
          <w:szCs w:val="24"/>
        </w:rPr>
        <w:t xml:space="preserve"> threshold “</w:t>
      </w:r>
      <w:r w:rsidR="00812409" w:rsidRPr="00581C3B">
        <w:rPr>
          <w:rFonts w:cs="Arial"/>
          <w:i/>
          <w:sz w:val="24"/>
          <w:szCs w:val="24"/>
        </w:rPr>
        <w:t>for a dishonest or criminal purpose</w:t>
      </w:r>
      <w:r w:rsidR="00812409" w:rsidRPr="00581C3B">
        <w:rPr>
          <w:rFonts w:cs="Arial"/>
          <w:sz w:val="24"/>
          <w:szCs w:val="24"/>
        </w:rPr>
        <w:t>” is appropriate as it can avoid catching the innocent interceptors inadvertently</w:t>
      </w:r>
      <w:r w:rsidR="00812409" w:rsidRPr="00581C3B">
        <w:rPr>
          <w:rFonts w:cs="Arial" w:hint="cs"/>
          <w:sz w:val="24"/>
          <w:szCs w:val="24"/>
        </w:rPr>
        <w:t>.</w:t>
      </w:r>
    </w:p>
    <w:p w14:paraId="3F8C6C2D" w14:textId="3ADC68D0" w:rsidR="00697C93" w:rsidRPr="00581C3B" w:rsidRDefault="00697C93" w:rsidP="00697C93">
      <w:pPr>
        <w:pStyle w:val="ListParagraph"/>
        <w:spacing w:after="240" w:line="240" w:lineRule="auto"/>
        <w:ind w:left="0"/>
        <w:contextualSpacing w:val="0"/>
        <w:rPr>
          <w:rFonts w:cs="Arial"/>
          <w:b/>
          <w:i/>
          <w:sz w:val="24"/>
          <w:szCs w:val="24"/>
          <w:lang w:val="en-GB"/>
        </w:rPr>
      </w:pPr>
      <w:r w:rsidRPr="00581C3B">
        <w:rPr>
          <w:rFonts w:cs="Arial"/>
          <w:b/>
          <w:i/>
          <w:sz w:val="24"/>
          <w:szCs w:val="24"/>
        </w:rPr>
        <w:t>Unauthorised disclosure or use of data</w:t>
      </w:r>
      <w:r w:rsidR="00582154" w:rsidRPr="00581C3B">
        <w:rPr>
          <w:rFonts w:eastAsia="Arial Unicode MS" w:cs="Arial"/>
          <w:kern w:val="2"/>
          <w:sz w:val="24"/>
          <w:szCs w:val="24"/>
          <w:vertAlign w:val="superscript"/>
        </w:rPr>
        <w:footnoteReference w:id="29"/>
      </w:r>
    </w:p>
    <w:p w14:paraId="39A3E6C3" w14:textId="5250EDC3" w:rsidR="00697C93" w:rsidRPr="00581C3B" w:rsidRDefault="00582154" w:rsidP="00216EB5">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 xml:space="preserve">Recommendation 4 in the CP intended to prohibit unauthorised disclosure or use of “intercepted data”, given that the subsequent disclosure or use of intercepted data may give rise to privacy concerns and other potential </w:t>
      </w:r>
      <w:r w:rsidRPr="00581C3B">
        <w:rPr>
          <w:rFonts w:cs="Arial"/>
          <w:sz w:val="24"/>
          <w:szCs w:val="24"/>
        </w:rPr>
        <w:lastRenderedPageBreak/>
        <w:t>issues.</w:t>
      </w:r>
      <w:r w:rsidRPr="00581C3B">
        <w:rPr>
          <w:rFonts w:eastAsiaTheme="minorEastAsia" w:cs="Arial"/>
          <w:sz w:val="24"/>
          <w:szCs w:val="24"/>
          <w:vertAlign w:val="superscript"/>
          <w:lang w:val="en-GB"/>
        </w:rPr>
        <w:footnoteReference w:id="30"/>
      </w:r>
      <w:r w:rsidRPr="00581C3B">
        <w:rPr>
          <w:rFonts w:cs="Arial"/>
          <w:sz w:val="24"/>
          <w:szCs w:val="24"/>
        </w:rPr>
        <w:t xml:space="preserve">  On further reflection, an offence based on unauthorised disclosure or use of “any data” (which is not limited to intercepted data) for a dishonest or criminal purpose may be too broad since the offence will essentially apply to all kinds of data encountered in our digital everyday life.</w:t>
      </w:r>
    </w:p>
    <w:p w14:paraId="4ED0B667" w14:textId="3A05F745" w:rsidR="00582154" w:rsidRPr="00581C3B" w:rsidRDefault="00582154" w:rsidP="00216EB5">
      <w:pPr>
        <w:pStyle w:val="ListParagraph"/>
        <w:numPr>
          <w:ilvl w:val="0"/>
          <w:numId w:val="14"/>
        </w:numPr>
        <w:spacing w:after="240" w:line="240" w:lineRule="auto"/>
        <w:ind w:left="0" w:firstLine="0"/>
        <w:contextualSpacing w:val="0"/>
        <w:rPr>
          <w:rFonts w:cs="Arial"/>
          <w:sz w:val="24"/>
          <w:szCs w:val="24"/>
        </w:rPr>
      </w:pPr>
      <w:r w:rsidRPr="00581C3B">
        <w:rPr>
          <w:rFonts w:cs="Arial"/>
          <w:sz w:val="24"/>
          <w:szCs w:val="24"/>
        </w:rPr>
        <w:t>Given the wide implications of a general offence of unauthorised disclosure or use of computer data,</w:t>
      </w:r>
      <w:r w:rsidR="005C7F2B" w:rsidRPr="00581C3B">
        <w:rPr>
          <w:sz w:val="24"/>
          <w:szCs w:val="24"/>
          <w:vertAlign w:val="superscript"/>
        </w:rPr>
        <w:footnoteReference w:id="31"/>
      </w:r>
      <w:r w:rsidRPr="00581C3B">
        <w:rPr>
          <w:rFonts w:cs="Arial"/>
          <w:sz w:val="24"/>
          <w:szCs w:val="24"/>
        </w:rPr>
        <w:t xml:space="preserve"> it would be prudent to study this topic in depth in Part Two</w:t>
      </w:r>
      <w:r w:rsidRPr="00581C3B">
        <w:rPr>
          <w:sz w:val="24"/>
          <w:szCs w:val="24"/>
          <w:vertAlign w:val="superscript"/>
        </w:rPr>
        <w:footnoteReference w:id="32"/>
      </w:r>
      <w:r w:rsidRPr="00581C3B">
        <w:rPr>
          <w:rFonts w:cs="Arial"/>
          <w:sz w:val="24"/>
          <w:szCs w:val="24"/>
        </w:rPr>
        <w:t xml:space="preserve"> of our study before we express any settled view as to whether a new offence in this regard should be recommended, and if so, how.</w:t>
      </w:r>
      <w:r w:rsidR="008848A5" w:rsidRPr="00581C3B">
        <w:rPr>
          <w:rFonts w:cs="Arial"/>
          <w:sz w:val="24"/>
          <w:szCs w:val="24"/>
        </w:rPr>
        <w:t xml:space="preserve">  For example, further considerations may be given to whether such</w:t>
      </w:r>
      <w:r w:rsidR="005812C4" w:rsidRPr="00581C3B">
        <w:rPr>
          <w:rFonts w:cs="Arial"/>
          <w:sz w:val="24"/>
          <w:szCs w:val="24"/>
        </w:rPr>
        <w:t xml:space="preserve"> offence should be confined to </w:t>
      </w:r>
      <w:r w:rsidR="008848A5" w:rsidRPr="00581C3B">
        <w:rPr>
          <w:rFonts w:cs="Arial"/>
          <w:sz w:val="24"/>
          <w:szCs w:val="24"/>
        </w:rPr>
        <w:t>intercepted data as some may hold the view that if a person discloses or uses computer data “</w:t>
      </w:r>
      <w:r w:rsidR="008848A5" w:rsidRPr="00581C3B">
        <w:rPr>
          <w:rFonts w:cs="Arial"/>
          <w:i/>
          <w:sz w:val="24"/>
          <w:szCs w:val="24"/>
        </w:rPr>
        <w:t>for a dishonest or criminal purpose</w:t>
      </w:r>
      <w:r w:rsidR="008848A5" w:rsidRPr="00581C3B">
        <w:rPr>
          <w:rFonts w:cs="Arial"/>
          <w:sz w:val="24"/>
          <w:szCs w:val="24"/>
        </w:rPr>
        <w:t>”, the conduct should by itself be culpable, no matter whether the data was obtained by authorised or unauthorised interception, or any other means.</w:t>
      </w:r>
    </w:p>
    <w:p w14:paraId="0FF8F6C5" w14:textId="1787390A" w:rsidR="00216EB5" w:rsidRPr="00581C3B" w:rsidRDefault="00F363FB" w:rsidP="0090149F">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For these reasons, our </w:t>
      </w:r>
      <w:r w:rsidRPr="00581C3B">
        <w:rPr>
          <w:rFonts w:cs="Arial"/>
          <w:b/>
          <w:sz w:val="24"/>
          <w:szCs w:val="24"/>
          <w:lang w:val="en-GB"/>
        </w:rPr>
        <w:t>Final Recommendation 4</w:t>
      </w:r>
      <w:r w:rsidRPr="00581C3B">
        <w:rPr>
          <w:rFonts w:cs="Arial"/>
          <w:sz w:val="24"/>
          <w:szCs w:val="24"/>
          <w:lang w:val="en-GB"/>
        </w:rPr>
        <w:t xml:space="preserve"> is as follows:</w:t>
      </w:r>
    </w:p>
    <w:p w14:paraId="69AC9765" w14:textId="3FDAD106" w:rsidR="00F363FB" w:rsidRPr="00581C3B" w:rsidRDefault="00F363FB" w:rsidP="0090149F">
      <w:pPr>
        <w:pStyle w:val="ListParagraph"/>
        <w:widowControl/>
        <w:spacing w:after="240" w:line="240" w:lineRule="auto"/>
        <w:ind w:left="1440" w:right="720" w:hanging="720"/>
        <w:contextualSpacing w:val="0"/>
        <w:rPr>
          <w:rFonts w:cs="Arial"/>
          <w:i/>
          <w:sz w:val="24"/>
          <w:szCs w:val="24"/>
          <w:lang w:val="en-GB"/>
        </w:rPr>
      </w:pPr>
      <w:r w:rsidRPr="00581C3B">
        <w:rPr>
          <w:rFonts w:cs="Arial"/>
          <w:i/>
          <w:sz w:val="24"/>
          <w:szCs w:val="24"/>
          <w:lang w:val="en-GB"/>
        </w:rPr>
        <w:t>“We recommend that:</w:t>
      </w:r>
    </w:p>
    <w:p w14:paraId="4891BC61" w14:textId="135C874D" w:rsidR="00F363FB" w:rsidRPr="00581C3B" w:rsidRDefault="00F363FB" w:rsidP="00854598">
      <w:pPr>
        <w:pStyle w:val="ListParagraph"/>
        <w:numPr>
          <w:ilvl w:val="0"/>
          <w:numId w:val="27"/>
        </w:numPr>
        <w:spacing w:after="240" w:line="240" w:lineRule="auto"/>
        <w:ind w:left="1440" w:right="720" w:hanging="720"/>
        <w:contextualSpacing w:val="0"/>
        <w:rPr>
          <w:rFonts w:eastAsiaTheme="minorEastAsia" w:cs="Arial"/>
          <w:i/>
          <w:sz w:val="24"/>
          <w:szCs w:val="24"/>
          <w:lang w:val="en-GB"/>
        </w:rPr>
      </w:pPr>
      <w:r w:rsidRPr="00581C3B">
        <w:rPr>
          <w:rFonts w:cs="Arial"/>
          <w:i/>
          <w:sz w:val="24"/>
          <w:szCs w:val="24"/>
        </w:rPr>
        <w:t>Unauthorised interception of computer data carried out for a dishonest or criminal purpose should be an offence under the new legislation.</w:t>
      </w:r>
    </w:p>
    <w:p w14:paraId="2654CDEF" w14:textId="77777777" w:rsidR="00854598" w:rsidRPr="00581C3B" w:rsidRDefault="00854598" w:rsidP="00854598">
      <w:pPr>
        <w:pStyle w:val="ListParagraph"/>
        <w:numPr>
          <w:ilvl w:val="0"/>
          <w:numId w:val="27"/>
        </w:numPr>
        <w:spacing w:after="240" w:line="240" w:lineRule="auto"/>
        <w:ind w:left="1440" w:right="720" w:hanging="720"/>
        <w:contextualSpacing w:val="0"/>
        <w:rPr>
          <w:rFonts w:eastAsiaTheme="minorEastAsia" w:cs="Arial"/>
          <w:i/>
          <w:sz w:val="24"/>
          <w:szCs w:val="24"/>
          <w:lang w:val="en-GB"/>
        </w:rPr>
      </w:pPr>
      <w:r w:rsidRPr="00581C3B">
        <w:rPr>
          <w:rFonts w:cs="Arial"/>
          <w:i/>
          <w:sz w:val="24"/>
          <w:szCs w:val="24"/>
        </w:rPr>
        <w:t>The proposed offence should:</w:t>
      </w:r>
    </w:p>
    <w:p w14:paraId="1E6D09AA" w14:textId="77777777" w:rsidR="00854598" w:rsidRPr="00581C3B" w:rsidRDefault="00854598" w:rsidP="0090149F">
      <w:pPr>
        <w:pStyle w:val="ListParagraph"/>
        <w:numPr>
          <w:ilvl w:val="0"/>
          <w:numId w:val="28"/>
        </w:numPr>
        <w:spacing w:afterLines="50" w:after="120" w:line="240" w:lineRule="auto"/>
        <w:ind w:left="2160" w:right="720"/>
        <w:contextualSpacing w:val="0"/>
        <w:rPr>
          <w:rFonts w:eastAsiaTheme="minorEastAsia" w:cs="Arial"/>
          <w:i/>
          <w:sz w:val="24"/>
          <w:szCs w:val="24"/>
          <w:lang w:val="en-GB"/>
        </w:rPr>
      </w:pPr>
      <w:r w:rsidRPr="00581C3B">
        <w:rPr>
          <w:rFonts w:cs="Arial"/>
          <w:i/>
          <w:sz w:val="24"/>
          <w:szCs w:val="24"/>
        </w:rPr>
        <w:t>protect communication in general, rather than just private communication;</w:t>
      </w:r>
    </w:p>
    <w:p w14:paraId="58188F4E" w14:textId="77777777" w:rsidR="00854598" w:rsidRPr="00581C3B" w:rsidRDefault="00854598" w:rsidP="0090149F">
      <w:pPr>
        <w:pStyle w:val="ListParagraph"/>
        <w:numPr>
          <w:ilvl w:val="0"/>
          <w:numId w:val="28"/>
        </w:numPr>
        <w:spacing w:afterLines="50" w:after="120" w:line="240" w:lineRule="auto"/>
        <w:ind w:left="2160" w:right="720"/>
        <w:contextualSpacing w:val="0"/>
        <w:rPr>
          <w:rFonts w:eastAsiaTheme="minorEastAsia" w:cs="Arial"/>
          <w:i/>
          <w:sz w:val="24"/>
          <w:szCs w:val="24"/>
          <w:lang w:val="en-GB"/>
        </w:rPr>
      </w:pPr>
      <w:r w:rsidRPr="00581C3B">
        <w:rPr>
          <w:rFonts w:cs="Arial"/>
          <w:i/>
          <w:sz w:val="24"/>
          <w:szCs w:val="24"/>
        </w:rPr>
        <w:t>apply to data generally, whether it be metadata or not; and</w:t>
      </w:r>
    </w:p>
    <w:p w14:paraId="413E874A" w14:textId="77777777" w:rsidR="00854598" w:rsidRPr="00581C3B" w:rsidRDefault="00854598" w:rsidP="00854598">
      <w:pPr>
        <w:pStyle w:val="ListParagraph"/>
        <w:numPr>
          <w:ilvl w:val="0"/>
          <w:numId w:val="28"/>
        </w:numPr>
        <w:spacing w:after="240" w:line="240" w:lineRule="auto"/>
        <w:ind w:left="2160" w:right="720"/>
        <w:contextualSpacing w:val="0"/>
        <w:rPr>
          <w:rFonts w:eastAsiaTheme="minorEastAsia" w:cs="Arial"/>
          <w:i/>
          <w:sz w:val="24"/>
          <w:szCs w:val="24"/>
          <w:lang w:val="en-GB"/>
        </w:rPr>
      </w:pPr>
      <w:r w:rsidRPr="00581C3B">
        <w:rPr>
          <w:rFonts w:cs="Arial"/>
          <w:i/>
          <w:sz w:val="24"/>
          <w:szCs w:val="24"/>
        </w:rPr>
        <w:t>apply to interception of data en route from the sender to the intended recipient, ie both data in transit and data momentarily at rest during transmission.</w:t>
      </w:r>
    </w:p>
    <w:p w14:paraId="587A4436" w14:textId="47167D16" w:rsidR="00F363FB" w:rsidRPr="00581C3B" w:rsidRDefault="00113294" w:rsidP="00854598">
      <w:pPr>
        <w:pStyle w:val="ListParagraph"/>
        <w:numPr>
          <w:ilvl w:val="0"/>
          <w:numId w:val="27"/>
        </w:numPr>
        <w:spacing w:after="240" w:line="240" w:lineRule="auto"/>
        <w:ind w:left="1440" w:right="720" w:hanging="720"/>
        <w:contextualSpacing w:val="0"/>
        <w:rPr>
          <w:rFonts w:eastAsiaTheme="minorEastAsia" w:cs="Arial"/>
          <w:i/>
          <w:sz w:val="24"/>
          <w:szCs w:val="24"/>
          <w:lang w:val="en-GB"/>
        </w:rPr>
      </w:pPr>
      <w:r w:rsidRPr="00581C3B">
        <w:rPr>
          <w:rFonts w:cs="Arial"/>
          <w:i/>
          <w:sz w:val="24"/>
          <w:szCs w:val="24"/>
        </w:rPr>
        <w:t>The proposed provision should, subject to the above, be modelled on section 8 of the Model Law on Computer and Computer Related Crime, including the mens rea (ie to intercept “intentionally”).</w:t>
      </w:r>
    </w:p>
    <w:p w14:paraId="6569D41E" w14:textId="65475171" w:rsidR="00F363FB" w:rsidRPr="00581C3B" w:rsidRDefault="00113294" w:rsidP="00E031B1">
      <w:pPr>
        <w:pStyle w:val="ListParagraph"/>
        <w:numPr>
          <w:ilvl w:val="0"/>
          <w:numId w:val="27"/>
        </w:numPr>
        <w:spacing w:after="240" w:line="240" w:lineRule="auto"/>
        <w:ind w:left="1440" w:right="720" w:hanging="720"/>
        <w:contextualSpacing w:val="0"/>
        <w:rPr>
          <w:rFonts w:eastAsiaTheme="minorEastAsia" w:cs="Arial"/>
          <w:i/>
          <w:sz w:val="24"/>
          <w:szCs w:val="24"/>
          <w:lang w:val="en-GB"/>
        </w:rPr>
      </w:pPr>
      <w:r w:rsidRPr="00581C3B">
        <w:rPr>
          <w:rFonts w:cs="Arial"/>
          <w:i/>
          <w:sz w:val="24"/>
          <w:szCs w:val="24"/>
        </w:rPr>
        <w:t xml:space="preserve">The implications of unauthorised disclosure or use of computer data, intercepted or otherwise, should be studied </w:t>
      </w:r>
      <w:r w:rsidRPr="00581C3B">
        <w:rPr>
          <w:rFonts w:cs="Arial"/>
          <w:i/>
          <w:sz w:val="24"/>
          <w:szCs w:val="24"/>
        </w:rPr>
        <w:lastRenderedPageBreak/>
        <w:t>in greater detail in Part Two of our study before we express any settled view as to whether any new offence in this regard should be recommended, and if so, how</w:t>
      </w:r>
      <w:r w:rsidR="00F363FB" w:rsidRPr="00581C3B">
        <w:rPr>
          <w:rFonts w:cs="Arial"/>
          <w:i/>
          <w:sz w:val="24"/>
          <w:szCs w:val="24"/>
        </w:rPr>
        <w:t>.”</w:t>
      </w:r>
    </w:p>
    <w:p w14:paraId="5D1F9DEF" w14:textId="178E953A" w:rsidR="00216EB5" w:rsidRPr="00581C3B" w:rsidRDefault="00DC099E" w:rsidP="00216EB5">
      <w:pPr>
        <w:pStyle w:val="ListParagraph"/>
        <w:spacing w:after="240" w:line="240" w:lineRule="auto"/>
        <w:ind w:left="0"/>
        <w:contextualSpacing w:val="0"/>
        <w:rPr>
          <w:rFonts w:cs="Arial"/>
          <w:b/>
          <w:sz w:val="24"/>
          <w:szCs w:val="24"/>
          <w:lang w:val="en-GB"/>
        </w:rPr>
      </w:pPr>
      <w:r w:rsidRPr="00581C3B">
        <w:rPr>
          <w:rFonts w:cs="Arial"/>
          <w:b/>
          <w:i/>
          <w:sz w:val="24"/>
          <w:szCs w:val="24"/>
          <w:lang w:val="en-GB"/>
        </w:rPr>
        <w:t>Defences to the offence</w:t>
      </w:r>
      <w:r w:rsidR="00962217" w:rsidRPr="00581C3B">
        <w:rPr>
          <w:rFonts w:eastAsia="Arial Unicode MS" w:cs="Arial"/>
          <w:kern w:val="2"/>
          <w:sz w:val="24"/>
          <w:szCs w:val="24"/>
          <w:vertAlign w:val="superscript"/>
        </w:rPr>
        <w:footnoteReference w:id="33"/>
      </w:r>
    </w:p>
    <w:p w14:paraId="20FAC6C6" w14:textId="359D494F" w:rsidR="003B0AC9" w:rsidRPr="00581C3B" w:rsidRDefault="00DC099E" w:rsidP="00216EB5">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Recommendation 5 in the CP invited submiss</w:t>
      </w:r>
      <w:r w:rsidR="00623F46" w:rsidRPr="00581C3B">
        <w:rPr>
          <w:rFonts w:cs="Arial"/>
          <w:sz w:val="24"/>
          <w:szCs w:val="24"/>
          <w:lang w:val="en-GB"/>
        </w:rPr>
        <w:t>ions on the following questions, which overlap to a certain extent</w:t>
      </w:r>
      <w:r w:rsidR="00651AC0">
        <w:rPr>
          <w:rFonts w:cs="Arial"/>
          <w:sz w:val="24"/>
          <w:szCs w:val="24"/>
          <w:lang w:val="en-GB"/>
        </w:rPr>
        <w:t>:</w:t>
      </w:r>
    </w:p>
    <w:p w14:paraId="7C226BCE" w14:textId="19224A7B" w:rsidR="00DC099E" w:rsidRPr="00581C3B" w:rsidRDefault="00DC099E" w:rsidP="00E031B1">
      <w:pPr>
        <w:pStyle w:val="ListParagraph"/>
        <w:spacing w:after="240" w:line="240" w:lineRule="auto"/>
        <w:ind w:left="1440" w:right="720" w:hanging="720"/>
        <w:contextualSpacing w:val="0"/>
        <w:rPr>
          <w:rFonts w:eastAsia="DengXian" w:cs="Arial"/>
          <w:i/>
          <w:sz w:val="24"/>
          <w:szCs w:val="24"/>
        </w:rPr>
      </w:pPr>
      <w:r w:rsidRPr="00581C3B">
        <w:rPr>
          <w:rFonts w:cs="Arial"/>
          <w:i/>
          <w:sz w:val="24"/>
          <w:szCs w:val="24"/>
          <w:lang w:val="en-GB"/>
        </w:rPr>
        <w:t>“(a)</w:t>
      </w:r>
      <w:r w:rsidR="00E031B1" w:rsidRPr="00581C3B">
        <w:rPr>
          <w:rFonts w:cs="Arial"/>
          <w:i/>
          <w:sz w:val="24"/>
          <w:szCs w:val="24"/>
          <w:lang w:val="en-GB"/>
        </w:rPr>
        <w:tab/>
      </w:r>
      <w:r w:rsidRPr="00581C3B">
        <w:rPr>
          <w:rFonts w:eastAsia="DengXian" w:cs="Arial"/>
          <w:i/>
          <w:sz w:val="24"/>
          <w:szCs w:val="24"/>
        </w:rPr>
        <w:t>Should there be a defence or exemption for professions who have to intercept and use the data intercepted in the course of their ordinary and legitimate business?  If the answer is yes, what types of professions should be covered by the defence or exemption, and in what terms (eg should there be any restrictions on the use of the intercepted data)?</w:t>
      </w:r>
    </w:p>
    <w:p w14:paraId="388B723A" w14:textId="7BDD1E0D" w:rsidR="00DC099E" w:rsidRPr="00581C3B" w:rsidRDefault="00DC099E" w:rsidP="00E031B1">
      <w:pPr>
        <w:pStyle w:val="ListParagraph"/>
        <w:numPr>
          <w:ilvl w:val="0"/>
          <w:numId w:val="29"/>
        </w:numPr>
        <w:spacing w:after="240" w:line="240" w:lineRule="auto"/>
        <w:ind w:left="1440" w:right="720" w:hanging="720"/>
        <w:contextualSpacing w:val="0"/>
        <w:rPr>
          <w:rFonts w:cs="Arial"/>
          <w:i/>
          <w:sz w:val="24"/>
          <w:szCs w:val="24"/>
          <w:lang w:val="en-GB"/>
        </w:rPr>
      </w:pPr>
      <w:r w:rsidRPr="00581C3B">
        <w:rPr>
          <w:rFonts w:cs="Arial"/>
          <w:i/>
          <w:sz w:val="24"/>
          <w:szCs w:val="24"/>
          <w:lang w:val="en-GB"/>
        </w:rPr>
        <w:t>Should a genuine business (a coffee shop, a hotel, a</w:t>
      </w:r>
      <w:r w:rsidR="0090149F">
        <w:rPr>
          <w:rFonts w:cs="Arial"/>
          <w:i/>
          <w:sz w:val="24"/>
          <w:szCs w:val="24"/>
          <w:lang w:val="en-GB"/>
        </w:rPr>
        <w:t xml:space="preserve"> </w:t>
      </w:r>
      <w:r w:rsidRPr="00581C3B">
        <w:rPr>
          <w:rFonts w:cs="Arial"/>
          <w:i/>
          <w:sz w:val="24"/>
          <w:szCs w:val="24"/>
          <w:lang w:val="en-GB"/>
        </w:rPr>
        <w:t>shopping mall, an employer, etc) which provides its customers or empl</w:t>
      </w:r>
      <w:r w:rsidR="0090149F">
        <w:rPr>
          <w:rFonts w:cs="Arial"/>
          <w:i/>
          <w:sz w:val="24"/>
          <w:szCs w:val="24"/>
          <w:lang w:val="en-GB"/>
        </w:rPr>
        <w:t xml:space="preserve">oyees with a Wi-Fi hotspot or a </w:t>
      </w:r>
      <w:r w:rsidRPr="00581C3B">
        <w:rPr>
          <w:rFonts w:cs="Arial"/>
          <w:i/>
          <w:sz w:val="24"/>
          <w:szCs w:val="24"/>
          <w:lang w:val="en-GB"/>
        </w:rPr>
        <w:t>computer for use be allowed to intercept and use the data being transmitted without incurring any criminal liability?  If the answer is yes, what types of businesses should be</w:t>
      </w:r>
      <w:r w:rsidR="0090149F">
        <w:rPr>
          <w:rFonts w:cs="Arial"/>
          <w:i/>
          <w:sz w:val="24"/>
          <w:szCs w:val="24"/>
          <w:lang w:val="en-GB"/>
        </w:rPr>
        <w:t xml:space="preserve"> covered, and in what terms (eg </w:t>
      </w:r>
      <w:r w:rsidRPr="00581C3B">
        <w:rPr>
          <w:rFonts w:cs="Arial"/>
          <w:i/>
          <w:sz w:val="24"/>
          <w:szCs w:val="24"/>
          <w:lang w:val="en-GB"/>
        </w:rPr>
        <w:t>should there be any restrictions on the use of the intercepted data)?”</w:t>
      </w:r>
    </w:p>
    <w:p w14:paraId="4FA85173" w14:textId="791E41C4" w:rsidR="00216EB5" w:rsidRPr="00581C3B" w:rsidRDefault="00623F46" w:rsidP="00216EB5">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The majority of the </w:t>
      </w:r>
      <w:r w:rsidR="007F360B" w:rsidRPr="00581C3B">
        <w:rPr>
          <w:rFonts w:cs="Arial"/>
          <w:sz w:val="24"/>
          <w:szCs w:val="24"/>
          <w:lang w:val="en-GB"/>
        </w:rPr>
        <w:t>Respondents</w:t>
      </w:r>
      <w:r w:rsidRPr="00581C3B">
        <w:rPr>
          <w:rFonts w:cs="Arial"/>
          <w:sz w:val="24"/>
          <w:szCs w:val="24"/>
          <w:lang w:val="en-GB"/>
        </w:rPr>
        <w:t xml:space="preserve"> considered that there should be a defence for professions which have to intercept and use the data intercepted in the course of their ordinary and legitimate business.  They suggested specific categories of professions or activities that should be covered by the defence.</w:t>
      </w:r>
      <w:r w:rsidRPr="00581C3B">
        <w:rPr>
          <w:rFonts w:eastAsiaTheme="minorEastAsia" w:cs="Arial"/>
          <w:sz w:val="24"/>
          <w:szCs w:val="24"/>
          <w:vertAlign w:val="superscript"/>
          <w:lang w:val="en-GB"/>
        </w:rPr>
        <w:footnoteReference w:id="34"/>
      </w:r>
      <w:r w:rsidRPr="00581C3B">
        <w:rPr>
          <w:rFonts w:cs="Arial"/>
          <w:sz w:val="24"/>
          <w:szCs w:val="24"/>
          <w:lang w:val="en-GB"/>
        </w:rPr>
        <w:t xml:space="preserve">  There were mixed responses as to whether a genuine business should be allowed to intercept and use the data</w:t>
      </w:r>
      <w:r w:rsidR="00651AC0">
        <w:rPr>
          <w:rFonts w:cs="Arial"/>
          <w:sz w:val="24"/>
          <w:szCs w:val="24"/>
          <w:lang w:val="en-GB"/>
        </w:rPr>
        <w:t xml:space="preserve"> being</w:t>
      </w:r>
      <w:r w:rsidRPr="00581C3B">
        <w:rPr>
          <w:rFonts w:cs="Arial"/>
          <w:sz w:val="24"/>
          <w:szCs w:val="24"/>
          <w:lang w:val="en-GB"/>
        </w:rPr>
        <w:t xml:space="preserve"> transmitted without incurring criminal liability.</w:t>
      </w:r>
    </w:p>
    <w:p w14:paraId="493B203C" w14:textId="7A4A21C0" w:rsidR="00697C93" w:rsidRPr="00581C3B" w:rsidRDefault="007F360B" w:rsidP="00216EB5">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 xml:space="preserve">After carefully reflecting on the Respondents’ submissions and the elements of the proposed offence of illegal interception of computer data, we </w:t>
      </w:r>
      <w:r w:rsidR="00697C93" w:rsidRPr="00581C3B">
        <w:rPr>
          <w:rFonts w:cs="Arial"/>
          <w:sz w:val="24"/>
          <w:szCs w:val="24"/>
        </w:rPr>
        <w:t>consider</w:t>
      </w:r>
      <w:r w:rsidRPr="00581C3B">
        <w:rPr>
          <w:rFonts w:cs="Arial"/>
          <w:sz w:val="24"/>
          <w:szCs w:val="24"/>
        </w:rPr>
        <w:t xml:space="preserve"> that it is not necessary to put in place any specific defences or exemptions for those who have to, in the course of their ordinary and legitimate business, intercept and use computer data</w:t>
      </w:r>
      <w:r w:rsidR="00A30066" w:rsidRPr="00581C3B">
        <w:rPr>
          <w:rFonts w:cs="Arial"/>
          <w:sz w:val="24"/>
          <w:szCs w:val="24"/>
        </w:rPr>
        <w:t>.  The main reasons are</w:t>
      </w:r>
      <w:r w:rsidR="00697C93" w:rsidRPr="00581C3B">
        <w:rPr>
          <w:rFonts w:cs="Arial"/>
          <w:sz w:val="24"/>
          <w:szCs w:val="24"/>
        </w:rPr>
        <w:t>:</w:t>
      </w:r>
    </w:p>
    <w:p w14:paraId="4E457012" w14:textId="769CF711" w:rsidR="00697C93" w:rsidRPr="00581C3B" w:rsidRDefault="00A30066" w:rsidP="00E031B1">
      <w:pPr>
        <w:pStyle w:val="ListParagraph"/>
        <w:numPr>
          <w:ilvl w:val="0"/>
          <w:numId w:val="59"/>
        </w:numPr>
        <w:spacing w:after="240" w:line="240" w:lineRule="auto"/>
        <w:ind w:left="1440" w:hanging="720"/>
        <w:contextualSpacing w:val="0"/>
        <w:rPr>
          <w:rFonts w:cs="Arial"/>
          <w:sz w:val="24"/>
          <w:szCs w:val="24"/>
        </w:rPr>
      </w:pPr>
      <w:r w:rsidRPr="00581C3B">
        <w:rPr>
          <w:rFonts w:cs="Arial"/>
          <w:sz w:val="24"/>
          <w:szCs w:val="24"/>
        </w:rPr>
        <w:t>i</w:t>
      </w:r>
      <w:r w:rsidR="007F360B" w:rsidRPr="00581C3B">
        <w:rPr>
          <w:rFonts w:cs="Arial"/>
          <w:sz w:val="24"/>
          <w:szCs w:val="24"/>
        </w:rPr>
        <w:t>n theory, it does not seem logical to provide a</w:t>
      </w:r>
      <w:r w:rsidR="00962217" w:rsidRPr="00581C3B">
        <w:rPr>
          <w:rFonts w:cs="Arial"/>
          <w:sz w:val="24"/>
          <w:szCs w:val="24"/>
        </w:rPr>
        <w:t>ny defence to an offence which</w:t>
      </w:r>
      <w:r w:rsidR="007F360B" w:rsidRPr="00581C3B">
        <w:rPr>
          <w:rFonts w:cs="Arial"/>
          <w:sz w:val="24"/>
          <w:szCs w:val="24"/>
        </w:rPr>
        <w:t xml:space="preserve"> already expressly requires proof of a “</w:t>
      </w:r>
      <w:r w:rsidR="007F360B" w:rsidRPr="00581C3B">
        <w:rPr>
          <w:rFonts w:cs="Arial"/>
          <w:i/>
          <w:sz w:val="24"/>
          <w:szCs w:val="24"/>
        </w:rPr>
        <w:t>dishonest or criminal purpose</w:t>
      </w:r>
      <w:r w:rsidRPr="00581C3B">
        <w:rPr>
          <w:rFonts w:cs="Arial"/>
          <w:sz w:val="24"/>
          <w:szCs w:val="24"/>
        </w:rPr>
        <w:t>”;</w:t>
      </w:r>
    </w:p>
    <w:p w14:paraId="19E2F5B6" w14:textId="3B23552A" w:rsidR="007F360B" w:rsidRPr="00581C3B" w:rsidRDefault="00A30066" w:rsidP="0090149F">
      <w:pPr>
        <w:pStyle w:val="ListParagraph"/>
        <w:keepNext/>
        <w:widowControl/>
        <w:numPr>
          <w:ilvl w:val="0"/>
          <w:numId w:val="59"/>
        </w:numPr>
        <w:spacing w:after="240" w:line="240" w:lineRule="auto"/>
        <w:ind w:left="1440" w:hanging="720"/>
        <w:contextualSpacing w:val="0"/>
        <w:rPr>
          <w:rFonts w:cs="Arial"/>
          <w:sz w:val="24"/>
          <w:szCs w:val="24"/>
          <w:lang w:val="en-GB"/>
        </w:rPr>
      </w:pPr>
      <w:r w:rsidRPr="00581C3B">
        <w:rPr>
          <w:rFonts w:cs="Arial"/>
          <w:sz w:val="24"/>
          <w:szCs w:val="24"/>
        </w:rPr>
        <w:lastRenderedPageBreak/>
        <w:t>i</w:t>
      </w:r>
      <w:r w:rsidR="007F360B" w:rsidRPr="00581C3B">
        <w:rPr>
          <w:rFonts w:cs="Arial"/>
          <w:sz w:val="24"/>
          <w:szCs w:val="24"/>
        </w:rPr>
        <w:t>n context, if a profession or genuine business</w:t>
      </w:r>
      <w:r w:rsidR="007F360B" w:rsidRPr="00581C3B">
        <w:rPr>
          <w:rFonts w:eastAsia="DengXian"/>
          <w:sz w:val="24"/>
          <w:szCs w:val="24"/>
        </w:rPr>
        <w:t xml:space="preserve"> intercepts computer data </w:t>
      </w:r>
      <w:r w:rsidR="007F360B" w:rsidRPr="00581C3B">
        <w:rPr>
          <w:sz w:val="24"/>
          <w:szCs w:val="24"/>
        </w:rPr>
        <w:t>for a dishonest or criminal purpose, it should not be exempted from criminal liability merely because it runs a particular profession or business</w:t>
      </w:r>
      <w:r w:rsidRPr="00581C3B">
        <w:rPr>
          <w:sz w:val="24"/>
          <w:szCs w:val="24"/>
        </w:rPr>
        <w:t>;</w:t>
      </w:r>
    </w:p>
    <w:p w14:paraId="55871049" w14:textId="1A33DAAA" w:rsidR="00A30066" w:rsidRPr="00581C3B" w:rsidRDefault="00A30066" w:rsidP="00E031B1">
      <w:pPr>
        <w:pStyle w:val="ListParagraph"/>
        <w:numPr>
          <w:ilvl w:val="0"/>
          <w:numId w:val="59"/>
        </w:numPr>
        <w:spacing w:after="240" w:line="240" w:lineRule="auto"/>
        <w:ind w:left="1440" w:hanging="720"/>
        <w:contextualSpacing w:val="0"/>
        <w:rPr>
          <w:sz w:val="24"/>
          <w:szCs w:val="24"/>
        </w:rPr>
      </w:pPr>
      <w:r w:rsidRPr="00581C3B">
        <w:rPr>
          <w:sz w:val="24"/>
          <w:szCs w:val="24"/>
        </w:rPr>
        <w:t>giving a defence to institutions whose daily work frequently requires use and handling of intercepted data would in effect give some professions or businesses (such as a private investigation agency or a media agency) a carte blanche licence to intercept data; and</w:t>
      </w:r>
    </w:p>
    <w:p w14:paraId="52587ABB" w14:textId="1E3666EA" w:rsidR="00A30066" w:rsidRPr="00581C3B" w:rsidRDefault="00A30066" w:rsidP="00E031B1">
      <w:pPr>
        <w:pStyle w:val="ListParagraph"/>
        <w:numPr>
          <w:ilvl w:val="0"/>
          <w:numId w:val="59"/>
        </w:numPr>
        <w:spacing w:after="240" w:line="240" w:lineRule="auto"/>
        <w:ind w:left="1440" w:hanging="720"/>
        <w:contextualSpacing w:val="0"/>
        <w:rPr>
          <w:sz w:val="24"/>
          <w:szCs w:val="24"/>
        </w:rPr>
      </w:pPr>
      <w:r w:rsidRPr="00581C3B">
        <w:rPr>
          <w:sz w:val="24"/>
          <w:szCs w:val="24"/>
        </w:rPr>
        <w:t>providing defences to specific categories of professions or persons in the bespoke cybercrime legislation may imply that data interception by other professions or persons not specified in the legislation will always be unlawful, thereby bringing more confusion than clarity to the law.</w:t>
      </w:r>
    </w:p>
    <w:p w14:paraId="6BF42ECE" w14:textId="364EF9B7" w:rsidR="00697C93" w:rsidRPr="00581C3B" w:rsidRDefault="00697C93" w:rsidP="00216EB5">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We conclude that any business that wishes to intercept the data of patrons or consumers may obtain the latter’s authorisation for intercepting data.  If the intercepted data is used for a purpose other than the authorised purpose, it would be up to the court to decide on the evidence of a particular case whether the interception is carried out for a dishonest or criminal purpose.</w:t>
      </w:r>
    </w:p>
    <w:p w14:paraId="613A2EBB" w14:textId="22A696CE" w:rsidR="007F360B" w:rsidRPr="00581C3B" w:rsidRDefault="007F360B" w:rsidP="00216EB5">
      <w:pPr>
        <w:pStyle w:val="ListParagraph"/>
        <w:numPr>
          <w:ilvl w:val="0"/>
          <w:numId w:val="14"/>
        </w:numPr>
        <w:spacing w:after="240" w:line="240" w:lineRule="auto"/>
        <w:ind w:left="0" w:firstLine="0"/>
        <w:contextualSpacing w:val="0"/>
        <w:rPr>
          <w:rFonts w:cs="Arial"/>
          <w:sz w:val="24"/>
          <w:szCs w:val="24"/>
          <w:lang w:val="en-GB"/>
        </w:rPr>
      </w:pPr>
      <w:r w:rsidRPr="00581C3B">
        <w:rPr>
          <w:rFonts w:eastAsiaTheme="minorEastAsia" w:cs="Arial" w:hint="eastAsia"/>
          <w:sz w:val="24"/>
          <w:szCs w:val="24"/>
          <w:lang w:val="en-GB"/>
        </w:rPr>
        <w:t xml:space="preserve">We therefore make our </w:t>
      </w:r>
      <w:r w:rsidRPr="00581C3B">
        <w:rPr>
          <w:rFonts w:eastAsiaTheme="minorEastAsia" w:cs="Arial" w:hint="eastAsia"/>
          <w:b/>
          <w:sz w:val="24"/>
          <w:szCs w:val="24"/>
          <w:lang w:val="en-GB"/>
        </w:rPr>
        <w:t>Final Recommendation 5</w:t>
      </w:r>
      <w:r w:rsidRPr="00581C3B">
        <w:rPr>
          <w:rFonts w:eastAsiaTheme="minorEastAsia" w:cs="Arial" w:hint="eastAsia"/>
          <w:sz w:val="24"/>
          <w:szCs w:val="24"/>
          <w:lang w:val="en-GB"/>
        </w:rPr>
        <w:t xml:space="preserve"> as follows:</w:t>
      </w:r>
    </w:p>
    <w:p w14:paraId="37CCAF0E" w14:textId="142D906E" w:rsidR="004F69BD" w:rsidRPr="00581C3B" w:rsidRDefault="007F360B" w:rsidP="00E031B1">
      <w:pPr>
        <w:pStyle w:val="ListParagraph"/>
        <w:spacing w:after="240" w:line="240" w:lineRule="auto"/>
        <w:ind w:right="720"/>
        <w:contextualSpacing w:val="0"/>
        <w:rPr>
          <w:rFonts w:cs="Arial"/>
          <w:i/>
          <w:sz w:val="24"/>
          <w:szCs w:val="24"/>
          <w:lang w:val="en-GB"/>
        </w:rPr>
      </w:pPr>
      <w:r w:rsidRPr="00581C3B">
        <w:rPr>
          <w:rFonts w:cs="Arial"/>
          <w:i/>
          <w:sz w:val="24"/>
          <w:szCs w:val="24"/>
        </w:rPr>
        <w:t>“</w:t>
      </w:r>
      <w:r w:rsidR="00DC099E" w:rsidRPr="00581C3B">
        <w:rPr>
          <w:rFonts w:cs="Arial"/>
          <w:i/>
          <w:sz w:val="24"/>
          <w:szCs w:val="24"/>
        </w:rPr>
        <w:t>We do not recommend any defence or exemption for professions or genuine businesses (eg coffee shops, hotels, shopping malls, employers) which intercept or use computer data in the ordinary course of their operation.  The mens rea requirement of interception of computer data for a dishonest or criminal purpose has mitigated the need to provide for any specific defence or exemption.</w:t>
      </w:r>
      <w:r w:rsidRPr="00581C3B">
        <w:rPr>
          <w:rFonts w:cs="Arial"/>
          <w:i/>
          <w:sz w:val="24"/>
          <w:szCs w:val="24"/>
        </w:rPr>
        <w:t>”</w:t>
      </w:r>
    </w:p>
    <w:p w14:paraId="42647464" w14:textId="42482E69" w:rsidR="00330489" w:rsidRPr="00581C3B" w:rsidRDefault="0024442E" w:rsidP="00E031B1">
      <w:pPr>
        <w:pStyle w:val="Heading1"/>
        <w:keepLines/>
        <w:spacing w:beforeLines="200" w:before="480" w:after="240"/>
        <w:rPr>
          <w:rFonts w:cs="Arial"/>
          <w:sz w:val="28"/>
          <w:szCs w:val="28"/>
        </w:rPr>
      </w:pPr>
      <w:r w:rsidRPr="00581C3B">
        <w:rPr>
          <w:rFonts w:cs="Arial"/>
          <w:sz w:val="28"/>
          <w:szCs w:val="28"/>
        </w:rPr>
        <w:t xml:space="preserve">Chapter 4: </w:t>
      </w:r>
      <w:r w:rsidR="004B7EC6" w:rsidRPr="00581C3B">
        <w:rPr>
          <w:rFonts w:cs="Arial"/>
          <w:sz w:val="28"/>
          <w:szCs w:val="28"/>
        </w:rPr>
        <w:t xml:space="preserve">Illegal interference </w:t>
      </w:r>
      <w:r w:rsidR="007F360B" w:rsidRPr="00581C3B">
        <w:rPr>
          <w:rFonts w:cs="Arial"/>
          <w:sz w:val="28"/>
          <w:szCs w:val="28"/>
        </w:rPr>
        <w:t>with</w:t>
      </w:r>
      <w:r w:rsidR="004B7EC6" w:rsidRPr="00581C3B">
        <w:rPr>
          <w:rFonts w:cs="Arial"/>
          <w:sz w:val="28"/>
          <w:szCs w:val="28"/>
        </w:rPr>
        <w:t xml:space="preserve"> computer data</w:t>
      </w:r>
    </w:p>
    <w:p w14:paraId="10AA26F3" w14:textId="56B82829" w:rsidR="00E67C86" w:rsidRPr="00581C3B" w:rsidRDefault="00E66EEC"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eastAsiaTheme="minorEastAsia" w:cs="Arial"/>
          <w:sz w:val="24"/>
          <w:szCs w:val="24"/>
          <w:lang w:val="en-GB"/>
        </w:rPr>
        <w:t xml:space="preserve">The vast majority of the Respondents supported </w:t>
      </w:r>
      <w:r w:rsidR="00E67C86" w:rsidRPr="00581C3B">
        <w:rPr>
          <w:rFonts w:eastAsiaTheme="minorEastAsia" w:cs="Arial" w:hint="eastAsia"/>
          <w:sz w:val="24"/>
          <w:szCs w:val="24"/>
          <w:lang w:val="en-GB"/>
        </w:rPr>
        <w:t xml:space="preserve">Recommendation 6 in the CP </w:t>
      </w:r>
      <w:r w:rsidRPr="00581C3B">
        <w:rPr>
          <w:rFonts w:eastAsiaTheme="minorEastAsia" w:cs="Arial"/>
          <w:sz w:val="24"/>
          <w:szCs w:val="24"/>
          <w:lang w:val="en-GB"/>
        </w:rPr>
        <w:t xml:space="preserve">which </w:t>
      </w:r>
      <w:r w:rsidR="00E67C86" w:rsidRPr="00581C3B">
        <w:rPr>
          <w:rFonts w:eastAsiaTheme="minorEastAsia" w:cs="Arial" w:hint="eastAsia"/>
          <w:sz w:val="24"/>
          <w:szCs w:val="24"/>
          <w:lang w:val="en-GB"/>
        </w:rPr>
        <w:t xml:space="preserve">proposed making </w:t>
      </w:r>
      <w:r w:rsidR="00E67C86" w:rsidRPr="00581C3B">
        <w:rPr>
          <w:rFonts w:eastAsiaTheme="minorEastAsia" w:cs="Arial"/>
          <w:sz w:val="24"/>
          <w:szCs w:val="24"/>
          <w:lang w:val="en-GB"/>
        </w:rPr>
        <w:t>intentional</w:t>
      </w:r>
      <w:r w:rsidR="00E67C86" w:rsidRPr="00581C3B">
        <w:rPr>
          <w:rFonts w:eastAsiaTheme="minorEastAsia" w:cs="Arial" w:hint="eastAsia"/>
          <w:sz w:val="24"/>
          <w:szCs w:val="24"/>
          <w:lang w:val="en-GB"/>
        </w:rPr>
        <w:t xml:space="preserve"> </w:t>
      </w:r>
      <w:r w:rsidR="00E67C86" w:rsidRPr="00581C3B">
        <w:rPr>
          <w:rFonts w:eastAsiaTheme="minorEastAsia" w:cs="Arial"/>
          <w:sz w:val="24"/>
          <w:szCs w:val="24"/>
          <w:lang w:val="en-GB"/>
        </w:rPr>
        <w:t xml:space="preserve">interference </w:t>
      </w:r>
      <w:r w:rsidR="00EC63B1" w:rsidRPr="00581C3B">
        <w:rPr>
          <w:rFonts w:eastAsiaTheme="minorEastAsia" w:cs="Arial"/>
          <w:sz w:val="24"/>
          <w:szCs w:val="24"/>
          <w:lang w:val="en-GB"/>
        </w:rPr>
        <w:t>with</w:t>
      </w:r>
      <w:r w:rsidR="00E67C86" w:rsidRPr="00581C3B">
        <w:rPr>
          <w:rFonts w:eastAsiaTheme="minorEastAsia" w:cs="Arial"/>
          <w:sz w:val="24"/>
          <w:szCs w:val="24"/>
          <w:lang w:val="en-GB"/>
        </w:rPr>
        <w:t xml:space="preserve"> computer data without lawful authority or reasonable excuse an offence by </w:t>
      </w:r>
      <w:r w:rsidR="00A63727" w:rsidRPr="00581C3B">
        <w:rPr>
          <w:rFonts w:eastAsiaTheme="minorEastAsia" w:cs="Arial"/>
          <w:sz w:val="24"/>
          <w:szCs w:val="24"/>
          <w:lang w:val="en-GB"/>
        </w:rPr>
        <w:t>transposing</w:t>
      </w:r>
      <w:r w:rsidR="00E67C86" w:rsidRPr="00581C3B">
        <w:rPr>
          <w:rFonts w:eastAsiaTheme="minorEastAsia" w:cs="Arial"/>
          <w:sz w:val="24"/>
          <w:szCs w:val="24"/>
          <w:lang w:val="en-GB"/>
        </w:rPr>
        <w:t xml:space="preserve"> the</w:t>
      </w:r>
      <w:r w:rsidR="00F61605" w:rsidRPr="00581C3B">
        <w:rPr>
          <w:rFonts w:eastAsiaTheme="minorEastAsia" w:cs="Arial"/>
          <w:sz w:val="24"/>
          <w:szCs w:val="24"/>
          <w:lang w:val="en-GB"/>
        </w:rPr>
        <w:t xml:space="preserve"> current</w:t>
      </w:r>
      <w:r w:rsidR="00E67C86" w:rsidRPr="00581C3B">
        <w:rPr>
          <w:rFonts w:eastAsiaTheme="minorEastAsia" w:cs="Arial"/>
          <w:sz w:val="24"/>
          <w:szCs w:val="24"/>
          <w:lang w:val="en-GB"/>
        </w:rPr>
        <w:t xml:space="preserve"> regime on “</w:t>
      </w:r>
      <w:r w:rsidR="00E67C86" w:rsidRPr="00B924D1">
        <w:rPr>
          <w:rFonts w:eastAsiaTheme="minorEastAsia" w:cs="Arial"/>
          <w:i/>
          <w:sz w:val="24"/>
          <w:szCs w:val="24"/>
          <w:lang w:val="en-GB"/>
        </w:rPr>
        <w:t>misuse of a computer</w:t>
      </w:r>
      <w:r w:rsidR="00E67C86" w:rsidRPr="00581C3B">
        <w:rPr>
          <w:rFonts w:eastAsiaTheme="minorEastAsia" w:cs="Arial"/>
          <w:sz w:val="24"/>
          <w:szCs w:val="24"/>
          <w:lang w:val="en-GB"/>
        </w:rPr>
        <w:t>” under section</w:t>
      </w:r>
      <w:r w:rsidR="00A63727" w:rsidRPr="00581C3B">
        <w:rPr>
          <w:rFonts w:eastAsiaTheme="minorEastAsia" w:cs="Arial"/>
          <w:sz w:val="24"/>
          <w:szCs w:val="24"/>
          <w:lang w:val="en-GB"/>
        </w:rPr>
        <w:t>s</w:t>
      </w:r>
      <w:r w:rsidR="0090149F">
        <w:rPr>
          <w:rFonts w:eastAsiaTheme="minorEastAsia" w:cs="Arial"/>
          <w:sz w:val="24"/>
          <w:szCs w:val="24"/>
          <w:lang w:val="en-GB"/>
        </w:rPr>
        <w:t> </w:t>
      </w:r>
      <w:r w:rsidR="00A63727" w:rsidRPr="00581C3B">
        <w:rPr>
          <w:rFonts w:eastAsiaTheme="minorEastAsia" w:cs="Arial"/>
          <w:sz w:val="24"/>
          <w:szCs w:val="24"/>
          <w:lang w:val="en-GB"/>
        </w:rPr>
        <w:t>59(1A),</w:t>
      </w:r>
      <w:r w:rsidR="00E67C86" w:rsidRPr="00581C3B">
        <w:rPr>
          <w:rFonts w:eastAsiaTheme="minorEastAsia" w:cs="Arial"/>
          <w:sz w:val="24"/>
          <w:szCs w:val="24"/>
          <w:lang w:val="en-GB"/>
        </w:rPr>
        <w:t xml:space="preserve"> 60 </w:t>
      </w:r>
      <w:r w:rsidR="00A63727" w:rsidRPr="00581C3B">
        <w:rPr>
          <w:rFonts w:eastAsiaTheme="minorEastAsia" w:cs="Arial"/>
          <w:sz w:val="24"/>
          <w:szCs w:val="24"/>
          <w:lang w:val="en-GB"/>
        </w:rPr>
        <w:t xml:space="preserve">and 64(2) </w:t>
      </w:r>
      <w:r w:rsidR="00E67C86" w:rsidRPr="00581C3B">
        <w:rPr>
          <w:rFonts w:eastAsiaTheme="minorEastAsia" w:cs="Arial"/>
          <w:sz w:val="24"/>
          <w:szCs w:val="24"/>
          <w:lang w:val="en-GB"/>
        </w:rPr>
        <w:t>of the CO</w:t>
      </w:r>
      <w:r w:rsidR="00A63727" w:rsidRPr="00581C3B">
        <w:rPr>
          <w:rFonts w:eastAsiaTheme="minorEastAsia" w:cs="Arial"/>
          <w:sz w:val="24"/>
          <w:szCs w:val="24"/>
          <w:lang w:val="en-GB"/>
        </w:rPr>
        <w:t xml:space="preserve"> to the new legislation</w:t>
      </w:r>
      <w:r w:rsidR="00F61605" w:rsidRPr="00581C3B">
        <w:rPr>
          <w:rFonts w:cs="Arial"/>
          <w:sz w:val="24"/>
          <w:szCs w:val="24"/>
          <w:lang w:val="en-GB"/>
        </w:rPr>
        <w:t>.</w:t>
      </w:r>
    </w:p>
    <w:p w14:paraId="236323FE" w14:textId="20512623" w:rsidR="00443047" w:rsidRPr="00581C3B" w:rsidRDefault="00E67C86" w:rsidP="008907BF">
      <w:pPr>
        <w:pStyle w:val="ListParagraph"/>
        <w:spacing w:before="240" w:after="240" w:line="240" w:lineRule="auto"/>
        <w:ind w:left="0"/>
        <w:contextualSpacing w:val="0"/>
        <w:rPr>
          <w:rFonts w:cs="Arial"/>
          <w:b/>
          <w:i/>
          <w:sz w:val="24"/>
          <w:szCs w:val="24"/>
          <w:lang w:val="en-GB"/>
        </w:rPr>
      </w:pPr>
      <w:r w:rsidRPr="00581C3B">
        <w:rPr>
          <w:rFonts w:cs="Arial"/>
          <w:b/>
          <w:i/>
          <w:sz w:val="24"/>
          <w:szCs w:val="24"/>
          <w:lang w:val="en-GB"/>
        </w:rPr>
        <w:t xml:space="preserve">The mental elements of the </w:t>
      </w:r>
      <w:r w:rsidR="00F61605" w:rsidRPr="00581C3B">
        <w:rPr>
          <w:rFonts w:cs="Arial"/>
          <w:b/>
          <w:i/>
          <w:sz w:val="24"/>
          <w:szCs w:val="24"/>
          <w:lang w:val="en-GB"/>
        </w:rPr>
        <w:t xml:space="preserve">proposed </w:t>
      </w:r>
      <w:r w:rsidRPr="00581C3B">
        <w:rPr>
          <w:rFonts w:cs="Arial"/>
          <w:b/>
          <w:i/>
          <w:sz w:val="24"/>
          <w:szCs w:val="24"/>
          <w:lang w:val="en-GB"/>
        </w:rPr>
        <w:t>offence</w:t>
      </w:r>
      <w:r w:rsidR="00EC63B1" w:rsidRPr="00581C3B">
        <w:rPr>
          <w:rFonts w:eastAsia="Arial Unicode MS" w:cs="Arial"/>
          <w:kern w:val="2"/>
          <w:sz w:val="24"/>
          <w:szCs w:val="24"/>
          <w:vertAlign w:val="superscript"/>
        </w:rPr>
        <w:footnoteReference w:id="35"/>
      </w:r>
    </w:p>
    <w:p w14:paraId="172688F6" w14:textId="69F1D58C" w:rsidR="00DE0753" w:rsidRPr="00581C3B" w:rsidRDefault="00F61605" w:rsidP="00E212A8">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S</w:t>
      </w:r>
      <w:r w:rsidR="000A049B" w:rsidRPr="00581C3B">
        <w:rPr>
          <w:rFonts w:cs="Arial"/>
          <w:sz w:val="24"/>
          <w:szCs w:val="24"/>
          <w:lang w:val="en-GB"/>
        </w:rPr>
        <w:t>ome information technology-related bodies opined that “malice” should be a requisite element of the proposed offence</w:t>
      </w:r>
      <w:r w:rsidR="00EC63B1" w:rsidRPr="00581C3B">
        <w:rPr>
          <w:rFonts w:cs="Arial"/>
          <w:sz w:val="24"/>
          <w:szCs w:val="24"/>
          <w:lang w:val="en-GB"/>
        </w:rPr>
        <w:t>.  A</w:t>
      </w:r>
      <w:r w:rsidR="000A049B" w:rsidRPr="00581C3B">
        <w:rPr>
          <w:rFonts w:cs="Arial"/>
          <w:sz w:val="24"/>
          <w:szCs w:val="24"/>
          <w:lang w:val="en-GB"/>
        </w:rPr>
        <w:t xml:space="preserve"> </w:t>
      </w:r>
      <w:r w:rsidR="00DE0753" w:rsidRPr="00581C3B">
        <w:rPr>
          <w:rFonts w:cs="Arial"/>
          <w:sz w:val="24"/>
          <w:szCs w:val="24"/>
          <w:lang w:val="en-GB"/>
        </w:rPr>
        <w:t>legal professional body sought clarifications as to why the mental requirement of “recklessness” is appropriate or relevant.</w:t>
      </w:r>
    </w:p>
    <w:p w14:paraId="49E9AF27" w14:textId="14482164" w:rsidR="00915B84" w:rsidRPr="00581C3B" w:rsidRDefault="00D12C43" w:rsidP="0090149F">
      <w:pPr>
        <w:pStyle w:val="ListParagraph"/>
        <w:keepNext/>
        <w:widowControl/>
        <w:numPr>
          <w:ilvl w:val="0"/>
          <w:numId w:val="14"/>
        </w:numPr>
        <w:spacing w:after="240" w:line="240" w:lineRule="auto"/>
        <w:ind w:left="0" w:firstLine="0"/>
        <w:contextualSpacing w:val="0"/>
        <w:rPr>
          <w:rFonts w:cs="Arial"/>
          <w:sz w:val="24"/>
          <w:szCs w:val="24"/>
          <w:lang w:val="en-GB"/>
        </w:rPr>
      </w:pPr>
      <w:r w:rsidRPr="00581C3B">
        <w:rPr>
          <w:rFonts w:eastAsiaTheme="minorEastAsia" w:cs="Arial"/>
          <w:sz w:val="24"/>
          <w:szCs w:val="24"/>
          <w:lang w:val="en-GB"/>
        </w:rPr>
        <w:lastRenderedPageBreak/>
        <w:t>“Malice” is an archaic term that caused difficulties for interpretation.</w:t>
      </w:r>
      <w:r w:rsidRPr="00581C3B">
        <w:rPr>
          <w:rFonts w:eastAsia="Arial Unicode MS" w:cs="Arial"/>
          <w:kern w:val="2"/>
          <w:sz w:val="24"/>
          <w:szCs w:val="24"/>
          <w:vertAlign w:val="superscript"/>
        </w:rPr>
        <w:footnoteReference w:id="36"/>
      </w:r>
      <w:r w:rsidRPr="00581C3B">
        <w:rPr>
          <w:rFonts w:eastAsiaTheme="minorEastAsia" w:cs="Arial"/>
          <w:sz w:val="24"/>
          <w:szCs w:val="24"/>
          <w:lang w:val="en-GB"/>
        </w:rPr>
        <w:t xml:space="preserve">  Besides, the existing offence o</w:t>
      </w:r>
      <w:r w:rsidR="0090149F">
        <w:rPr>
          <w:rFonts w:eastAsiaTheme="minorEastAsia" w:cs="Arial"/>
          <w:sz w:val="24"/>
          <w:szCs w:val="24"/>
          <w:lang w:val="en-GB"/>
        </w:rPr>
        <w:t>f criminal damage under section </w:t>
      </w:r>
      <w:r w:rsidRPr="00581C3B">
        <w:rPr>
          <w:rFonts w:eastAsiaTheme="minorEastAsia" w:cs="Arial"/>
          <w:sz w:val="24"/>
          <w:szCs w:val="24"/>
          <w:lang w:val="en-GB"/>
        </w:rPr>
        <w:t>60 of the CO, which extends to “</w:t>
      </w:r>
      <w:r w:rsidRPr="00B924D1">
        <w:rPr>
          <w:rFonts w:eastAsiaTheme="minorEastAsia" w:cs="Arial"/>
          <w:i/>
          <w:sz w:val="24"/>
          <w:szCs w:val="24"/>
          <w:lang w:val="en-GB"/>
        </w:rPr>
        <w:t>misuse of a computer</w:t>
      </w:r>
      <w:r w:rsidRPr="00581C3B">
        <w:rPr>
          <w:rFonts w:eastAsiaTheme="minorEastAsia" w:cs="Arial"/>
          <w:sz w:val="24"/>
          <w:szCs w:val="24"/>
          <w:lang w:val="en-GB"/>
        </w:rPr>
        <w:t>” by virtue of section</w:t>
      </w:r>
      <w:r w:rsidR="009E33B1" w:rsidRPr="00581C3B">
        <w:rPr>
          <w:rFonts w:eastAsiaTheme="minorEastAsia" w:cs="Arial"/>
          <w:sz w:val="24"/>
          <w:szCs w:val="24"/>
          <w:lang w:val="en-GB"/>
        </w:rPr>
        <w:t> </w:t>
      </w:r>
      <w:r w:rsidRPr="00581C3B">
        <w:rPr>
          <w:rFonts w:eastAsiaTheme="minorEastAsia" w:cs="Arial"/>
          <w:sz w:val="24"/>
          <w:szCs w:val="24"/>
          <w:lang w:val="en-GB"/>
        </w:rPr>
        <w:t>59(1)(b) and (1A),</w:t>
      </w:r>
      <w:r w:rsidRPr="00581C3B">
        <w:rPr>
          <w:rStyle w:val="FootnoteReference"/>
          <w:rFonts w:cs="Arial"/>
          <w:sz w:val="24"/>
          <w:szCs w:val="24"/>
          <w:lang w:val="en-GB"/>
        </w:rPr>
        <w:footnoteReference w:id="37"/>
      </w:r>
      <w:r w:rsidRPr="00581C3B">
        <w:rPr>
          <w:rFonts w:eastAsiaTheme="minorEastAsia" w:cs="Arial"/>
          <w:sz w:val="24"/>
          <w:szCs w:val="24"/>
          <w:lang w:val="en-GB"/>
        </w:rPr>
        <w:t xml:space="preserve"> adopts the mental elements of “intention” and “recklessness”.  As a general principle, the concept of “recklessness” under criminal law requires proof that a defendant was aware of the risk and that, in the circumstances known to him, it was unreasonable to take the risk.</w:t>
      </w:r>
      <w:r w:rsidRPr="00581C3B">
        <w:rPr>
          <w:rFonts w:eastAsiaTheme="minorEastAsia"/>
          <w:sz w:val="24"/>
          <w:szCs w:val="24"/>
          <w:vertAlign w:val="superscript"/>
          <w:lang w:val="en-GB"/>
        </w:rPr>
        <w:footnoteReference w:id="38"/>
      </w:r>
      <w:r w:rsidRPr="00581C3B">
        <w:rPr>
          <w:rFonts w:eastAsiaTheme="minorEastAsia" w:cs="Arial"/>
          <w:sz w:val="24"/>
          <w:szCs w:val="24"/>
          <w:lang w:val="en-GB"/>
        </w:rPr>
        <w:t xml:space="preserve">  </w:t>
      </w:r>
      <w:r w:rsidR="00456CA5" w:rsidRPr="00581C3B">
        <w:rPr>
          <w:rFonts w:eastAsiaTheme="minorEastAsia" w:cs="Arial" w:hint="eastAsia"/>
          <w:sz w:val="24"/>
          <w:szCs w:val="24"/>
          <w:lang w:val="en-GB"/>
        </w:rPr>
        <w:t>I</w:t>
      </w:r>
      <w:r w:rsidR="00915B84" w:rsidRPr="00581C3B">
        <w:rPr>
          <w:rFonts w:eastAsiaTheme="minorEastAsia" w:cs="Arial"/>
          <w:sz w:val="24"/>
          <w:szCs w:val="24"/>
          <w:lang w:val="en-GB"/>
        </w:rPr>
        <w:t>t</w:t>
      </w:r>
      <w:r w:rsidR="00456CA5" w:rsidRPr="00581C3B">
        <w:rPr>
          <w:rFonts w:eastAsiaTheme="minorEastAsia" w:cs="Arial" w:hint="eastAsia"/>
          <w:sz w:val="24"/>
          <w:szCs w:val="24"/>
          <w:lang w:val="en-GB"/>
        </w:rPr>
        <w:t xml:space="preserve"> </w:t>
      </w:r>
      <w:r w:rsidR="00915B84" w:rsidRPr="00581C3B">
        <w:rPr>
          <w:rFonts w:cs="Arial"/>
          <w:sz w:val="24"/>
          <w:szCs w:val="24"/>
        </w:rPr>
        <w:t>ha</w:t>
      </w:r>
      <w:r w:rsidR="00456CA5" w:rsidRPr="00581C3B">
        <w:rPr>
          <w:rFonts w:cs="Arial"/>
          <w:sz w:val="24"/>
          <w:szCs w:val="24"/>
        </w:rPr>
        <w:t>s</w:t>
      </w:r>
      <w:r w:rsidR="00915B84" w:rsidRPr="00581C3B">
        <w:rPr>
          <w:rFonts w:cs="Arial"/>
          <w:sz w:val="24"/>
          <w:szCs w:val="24"/>
        </w:rPr>
        <w:t xml:space="preserve"> been</w:t>
      </w:r>
      <w:r w:rsidR="00456CA5" w:rsidRPr="00581C3B">
        <w:rPr>
          <w:rFonts w:cs="Arial"/>
          <w:sz w:val="24"/>
          <w:szCs w:val="24"/>
        </w:rPr>
        <w:t xml:space="preserve"> adopt</w:t>
      </w:r>
      <w:r w:rsidR="00915B84" w:rsidRPr="00581C3B">
        <w:rPr>
          <w:rFonts w:cs="Arial"/>
          <w:sz w:val="24"/>
          <w:szCs w:val="24"/>
        </w:rPr>
        <w:t>ed</w:t>
      </w:r>
      <w:r w:rsidR="00456CA5" w:rsidRPr="00581C3B">
        <w:rPr>
          <w:rFonts w:cs="Arial"/>
          <w:sz w:val="24"/>
          <w:szCs w:val="24"/>
        </w:rPr>
        <w:t xml:space="preserve"> as a fault element alongside “intention” or “knowledge”</w:t>
      </w:r>
      <w:r w:rsidR="00915B84" w:rsidRPr="00581C3B">
        <w:rPr>
          <w:rFonts w:cs="Arial"/>
          <w:sz w:val="24"/>
          <w:szCs w:val="24"/>
        </w:rPr>
        <w:t xml:space="preserve"> in many criminal offences</w:t>
      </w:r>
      <w:r w:rsidR="00456CA5" w:rsidRPr="00581C3B">
        <w:rPr>
          <w:rFonts w:cs="Arial"/>
          <w:sz w:val="24"/>
          <w:szCs w:val="24"/>
        </w:rPr>
        <w:t>.</w:t>
      </w:r>
    </w:p>
    <w:p w14:paraId="614DB06F" w14:textId="747D906B" w:rsidR="004A6B7C" w:rsidRPr="00581C3B" w:rsidRDefault="00F61605" w:rsidP="0090149F">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rPr>
        <w:t>In the context of cybercrime, t</w:t>
      </w:r>
      <w:r w:rsidR="00D24AD1" w:rsidRPr="00581C3B">
        <w:rPr>
          <w:rFonts w:cs="Arial"/>
          <w:sz w:val="24"/>
          <w:szCs w:val="24"/>
        </w:rPr>
        <w:t xml:space="preserve">he concept of “recklessness” </w:t>
      </w:r>
      <w:r w:rsidRPr="00581C3B">
        <w:rPr>
          <w:rFonts w:cs="Arial"/>
          <w:sz w:val="24"/>
          <w:szCs w:val="24"/>
        </w:rPr>
        <w:t>underscores</w:t>
      </w:r>
      <w:r w:rsidR="00D24AD1" w:rsidRPr="00581C3B">
        <w:rPr>
          <w:rFonts w:cs="Arial"/>
          <w:sz w:val="24"/>
          <w:szCs w:val="24"/>
        </w:rPr>
        <w:t xml:space="preserve"> the importance of exercising care and responsibility in the use of computer technology, ie a person must be vigilant to the possible consequences of his online actions, including the impact that t</w:t>
      </w:r>
      <w:r w:rsidR="004A6B7C" w:rsidRPr="00581C3B">
        <w:rPr>
          <w:rFonts w:cs="Arial"/>
          <w:sz w:val="24"/>
          <w:szCs w:val="24"/>
        </w:rPr>
        <w:t>hey may have on others.</w:t>
      </w:r>
    </w:p>
    <w:p w14:paraId="0A270804" w14:textId="5E311BB7" w:rsidR="00456CA5" w:rsidRPr="00581C3B" w:rsidRDefault="00915B84" w:rsidP="00E212A8">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Accordingly</w:t>
      </w:r>
      <w:r w:rsidR="004A6B7C" w:rsidRPr="00581C3B">
        <w:rPr>
          <w:rFonts w:cs="Arial"/>
          <w:sz w:val="24"/>
          <w:szCs w:val="24"/>
          <w:lang w:val="en-GB"/>
        </w:rPr>
        <w:t>,</w:t>
      </w:r>
      <w:r w:rsidR="00D24AD1" w:rsidRPr="00581C3B">
        <w:rPr>
          <w:rFonts w:cs="Arial"/>
          <w:sz w:val="24"/>
          <w:szCs w:val="24"/>
        </w:rPr>
        <w:t xml:space="preserve"> we recommend retaining</w:t>
      </w:r>
      <w:r w:rsidR="004A6B7C" w:rsidRPr="00581C3B">
        <w:rPr>
          <w:rFonts w:cs="Arial"/>
          <w:sz w:val="24"/>
          <w:szCs w:val="24"/>
        </w:rPr>
        <w:t xml:space="preserve"> the </w:t>
      </w:r>
      <w:r w:rsidR="004A6B7C" w:rsidRPr="00581C3B">
        <w:rPr>
          <w:rFonts w:cs="Arial"/>
          <w:i/>
          <w:sz w:val="24"/>
          <w:szCs w:val="24"/>
        </w:rPr>
        <w:t>mens rea</w:t>
      </w:r>
      <w:r w:rsidR="004A6B7C" w:rsidRPr="00581C3B">
        <w:rPr>
          <w:rFonts w:cs="Arial"/>
          <w:sz w:val="24"/>
          <w:szCs w:val="24"/>
        </w:rPr>
        <w:t xml:space="preserve"> elements in Recommendation 6(b)(ii), ie</w:t>
      </w:r>
      <w:r w:rsidR="00D24AD1" w:rsidRPr="00581C3B">
        <w:rPr>
          <w:rFonts w:cs="Arial"/>
          <w:sz w:val="24"/>
          <w:szCs w:val="24"/>
        </w:rPr>
        <w:t xml:space="preserve"> “</w:t>
      </w:r>
      <w:r w:rsidR="004A6B7C" w:rsidRPr="00581C3B">
        <w:rPr>
          <w:rFonts w:cs="Arial"/>
          <w:i/>
          <w:sz w:val="24"/>
          <w:szCs w:val="24"/>
        </w:rPr>
        <w:t>intent or recklessness, but not malice</w:t>
      </w:r>
      <w:r w:rsidR="004A6B7C" w:rsidRPr="00581C3B">
        <w:rPr>
          <w:rFonts w:cs="Arial"/>
          <w:sz w:val="24"/>
          <w:szCs w:val="24"/>
        </w:rPr>
        <w:t>”</w:t>
      </w:r>
      <w:r w:rsidR="00D24AD1" w:rsidRPr="00581C3B">
        <w:rPr>
          <w:rFonts w:cs="Arial"/>
          <w:sz w:val="24"/>
          <w:szCs w:val="24"/>
        </w:rPr>
        <w:t xml:space="preserve"> for the offence of illegal interference with computer data.</w:t>
      </w:r>
    </w:p>
    <w:p w14:paraId="0E257FC0" w14:textId="7DAD34AA" w:rsidR="00D36D6F" w:rsidRPr="00581C3B" w:rsidRDefault="00D36D6F" w:rsidP="00D36D6F">
      <w:pPr>
        <w:pStyle w:val="ListParagraph"/>
        <w:spacing w:after="240" w:line="240" w:lineRule="auto"/>
        <w:ind w:left="0"/>
        <w:contextualSpacing w:val="0"/>
        <w:rPr>
          <w:rFonts w:cs="Arial"/>
          <w:b/>
          <w:sz w:val="24"/>
          <w:szCs w:val="24"/>
          <w:lang w:val="en-GB"/>
        </w:rPr>
      </w:pPr>
      <w:r w:rsidRPr="00581C3B">
        <w:rPr>
          <w:rFonts w:cs="Arial"/>
          <w:b/>
          <w:i/>
          <w:sz w:val="24"/>
          <w:szCs w:val="24"/>
        </w:rPr>
        <w:t>The aggravated offence and acts endangering national security</w:t>
      </w:r>
    </w:p>
    <w:p w14:paraId="6B43D469" w14:textId="77777777" w:rsidR="004A3422" w:rsidRPr="00581C3B" w:rsidRDefault="004A3422" w:rsidP="00E212A8">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 xml:space="preserve">A Respondent suggested that </w:t>
      </w:r>
      <w:r w:rsidRPr="00581C3B">
        <w:rPr>
          <w:rFonts w:eastAsia="DengXian" w:cs="Arial"/>
          <w:sz w:val="24"/>
          <w:szCs w:val="24"/>
        </w:rPr>
        <w:t>on top of the elements stated in section 60(2) of the CO, “</w:t>
      </w:r>
      <w:r w:rsidRPr="00581C3B">
        <w:rPr>
          <w:rFonts w:eastAsia="DengXian" w:cs="Arial"/>
          <w:i/>
          <w:sz w:val="24"/>
          <w:szCs w:val="24"/>
        </w:rPr>
        <w:t xml:space="preserve">any act or activity intending to endanger national security or being reckless as to whether national security would be thereby endangered” </w:t>
      </w:r>
      <w:r w:rsidRPr="00581C3B">
        <w:rPr>
          <w:rFonts w:eastAsia="DengXian" w:cs="Arial"/>
          <w:sz w:val="24"/>
          <w:szCs w:val="24"/>
        </w:rPr>
        <w:t>should also be regarded as an aggravated offence.</w:t>
      </w:r>
    </w:p>
    <w:p w14:paraId="62423C4E" w14:textId="3D83CBF7" w:rsidR="00734626" w:rsidRPr="00581C3B" w:rsidRDefault="004A3422" w:rsidP="00D42EF7">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Our analysis is detailed at paragraphs 4.23 to 4.</w:t>
      </w:r>
      <w:r w:rsidR="00734626" w:rsidRPr="00581C3B">
        <w:rPr>
          <w:rFonts w:cs="Arial"/>
          <w:sz w:val="24"/>
          <w:szCs w:val="24"/>
        </w:rPr>
        <w:t>3</w:t>
      </w:r>
      <w:r w:rsidR="009F5BF3">
        <w:rPr>
          <w:rFonts w:cs="Arial"/>
          <w:sz w:val="24"/>
          <w:szCs w:val="24"/>
        </w:rPr>
        <w:t>1</w:t>
      </w:r>
      <w:r w:rsidRPr="00581C3B">
        <w:rPr>
          <w:rFonts w:cs="Arial"/>
          <w:sz w:val="24"/>
          <w:szCs w:val="24"/>
        </w:rPr>
        <w:t xml:space="preserve"> of the Report</w:t>
      </w:r>
      <w:r w:rsidRPr="00581C3B">
        <w:rPr>
          <w:sz w:val="24"/>
          <w:szCs w:val="24"/>
        </w:rPr>
        <w:t>.  In gist, we observe that a number of provisions of the Law of th</w:t>
      </w:r>
      <w:r w:rsidRPr="00581C3B">
        <w:rPr>
          <w:rFonts w:eastAsia="DengXian" w:cs="Arial"/>
          <w:sz w:val="24"/>
          <w:szCs w:val="24"/>
        </w:rPr>
        <w:t>e People’s Republic of China on Safeguarding National Security in the Hong Kong Special Administrative Region (“</w:t>
      </w:r>
      <w:r w:rsidRPr="00581C3B">
        <w:rPr>
          <w:rFonts w:eastAsia="DengXian" w:cs="Arial"/>
          <w:b/>
          <w:sz w:val="24"/>
          <w:szCs w:val="24"/>
        </w:rPr>
        <w:t>NSL</w:t>
      </w:r>
      <w:r w:rsidRPr="00581C3B">
        <w:rPr>
          <w:rFonts w:eastAsia="DengXian" w:cs="Arial"/>
          <w:sz w:val="24"/>
          <w:szCs w:val="24"/>
        </w:rPr>
        <w:t>”)</w:t>
      </w:r>
      <w:r w:rsidRPr="00581C3B">
        <w:rPr>
          <w:sz w:val="24"/>
          <w:szCs w:val="24"/>
        </w:rPr>
        <w:t xml:space="preserve"> seem wide enough to embrace acts of illegal interference with computer data (and computer system) already.  Among them, Article 24(4) of the NSL distinctly covers acts of interference with, and damage to, the electronic control systems of the internet.  </w:t>
      </w:r>
      <w:r w:rsidR="00D36D6F" w:rsidRPr="00581C3B">
        <w:rPr>
          <w:sz w:val="24"/>
          <w:szCs w:val="24"/>
        </w:rPr>
        <w:t xml:space="preserve">Since the </w:t>
      </w:r>
      <w:r w:rsidR="00D36D6F" w:rsidRPr="00581C3B">
        <w:rPr>
          <w:rFonts w:eastAsia="DengXian" w:cs="Arial"/>
          <w:sz w:val="24"/>
          <w:szCs w:val="24"/>
        </w:rPr>
        <w:t>NSL</w:t>
      </w:r>
      <w:r w:rsidR="00D36D6F" w:rsidRPr="00581C3B">
        <w:rPr>
          <w:sz w:val="24"/>
          <w:szCs w:val="24"/>
        </w:rPr>
        <w:t xml:space="preserve"> forms an essential part of the fabric of our legal system, i</w:t>
      </w:r>
      <w:r w:rsidR="00D36D6F" w:rsidRPr="00581C3B">
        <w:rPr>
          <w:rFonts w:hint="eastAsia"/>
          <w:sz w:val="24"/>
          <w:szCs w:val="24"/>
        </w:rPr>
        <w:t xml:space="preserve">t is important that </w:t>
      </w:r>
      <w:r w:rsidR="00D36D6F" w:rsidRPr="00581C3B">
        <w:rPr>
          <w:rFonts w:cs="Arial"/>
          <w:sz w:val="24"/>
          <w:szCs w:val="24"/>
        </w:rPr>
        <w:t>the bespoke cybercrime legislation does not create any inconsistencies or conflict, eve</w:t>
      </w:r>
      <w:r w:rsidR="00734626" w:rsidRPr="00581C3B">
        <w:rPr>
          <w:rFonts w:cs="Arial"/>
          <w:sz w:val="24"/>
          <w:szCs w:val="24"/>
        </w:rPr>
        <w:t>n if unintended, with the NSL.</w:t>
      </w:r>
    </w:p>
    <w:p w14:paraId="13C71ADF" w14:textId="26DC85FF" w:rsidR="00734626" w:rsidRPr="00581C3B" w:rsidRDefault="00734626" w:rsidP="00D42EF7">
      <w:pPr>
        <w:pStyle w:val="ListParagraph"/>
        <w:numPr>
          <w:ilvl w:val="0"/>
          <w:numId w:val="14"/>
        </w:numPr>
        <w:spacing w:after="240" w:line="240" w:lineRule="auto"/>
        <w:ind w:left="0" w:firstLine="0"/>
        <w:contextualSpacing w:val="0"/>
        <w:rPr>
          <w:rFonts w:cs="Arial"/>
          <w:sz w:val="24"/>
          <w:szCs w:val="24"/>
          <w:lang w:val="en-GB"/>
        </w:rPr>
      </w:pPr>
      <w:r w:rsidRPr="00581C3B">
        <w:rPr>
          <w:rFonts w:cs="Arial" w:hint="eastAsia"/>
          <w:sz w:val="24"/>
          <w:szCs w:val="24"/>
        </w:rPr>
        <w:lastRenderedPageBreak/>
        <w:t xml:space="preserve">In </w:t>
      </w:r>
      <w:r w:rsidR="00463930" w:rsidRPr="00581C3B">
        <w:rPr>
          <w:rFonts w:cs="Arial"/>
          <w:sz w:val="24"/>
          <w:szCs w:val="24"/>
        </w:rPr>
        <w:t>March</w:t>
      </w:r>
      <w:r w:rsidRPr="00581C3B">
        <w:rPr>
          <w:rFonts w:cs="Arial"/>
          <w:sz w:val="24"/>
          <w:szCs w:val="24"/>
        </w:rPr>
        <w:t xml:space="preserve"> </w:t>
      </w:r>
      <w:r w:rsidRPr="00581C3B">
        <w:rPr>
          <w:rFonts w:cs="Arial" w:hint="eastAsia"/>
          <w:sz w:val="24"/>
          <w:szCs w:val="24"/>
        </w:rPr>
        <w:t xml:space="preserve">2024, </w:t>
      </w:r>
      <w:r w:rsidR="00463930" w:rsidRPr="00581C3B">
        <w:rPr>
          <w:rFonts w:cs="Arial"/>
          <w:sz w:val="24"/>
          <w:szCs w:val="24"/>
        </w:rPr>
        <w:t>the</w:t>
      </w:r>
      <w:r w:rsidRPr="00581C3B">
        <w:rPr>
          <w:rFonts w:cs="Arial" w:hint="eastAsia"/>
          <w:sz w:val="24"/>
          <w:szCs w:val="24"/>
        </w:rPr>
        <w:t xml:space="preserve"> Safeguarding National Security </w:t>
      </w:r>
      <w:r w:rsidR="000579C2" w:rsidRPr="00581C3B">
        <w:rPr>
          <w:rFonts w:cs="Arial"/>
          <w:sz w:val="24"/>
          <w:szCs w:val="24"/>
        </w:rPr>
        <w:t>Ordinance</w:t>
      </w:r>
      <w:r w:rsidRPr="00581C3B">
        <w:rPr>
          <w:rFonts w:cs="Arial"/>
          <w:sz w:val="24"/>
          <w:szCs w:val="24"/>
        </w:rPr>
        <w:t xml:space="preserve"> (“</w:t>
      </w:r>
      <w:r w:rsidRPr="00581C3B">
        <w:rPr>
          <w:rFonts w:cs="Arial"/>
          <w:b/>
          <w:sz w:val="24"/>
          <w:szCs w:val="24"/>
        </w:rPr>
        <w:t>BL 23 legislation</w:t>
      </w:r>
      <w:r w:rsidRPr="00581C3B">
        <w:rPr>
          <w:rFonts w:cs="Arial"/>
          <w:sz w:val="24"/>
          <w:szCs w:val="24"/>
        </w:rPr>
        <w:t>”)</w:t>
      </w:r>
      <w:r w:rsidR="00463930" w:rsidRPr="00581C3B">
        <w:rPr>
          <w:rFonts w:cs="Arial"/>
          <w:sz w:val="24"/>
          <w:szCs w:val="24"/>
        </w:rPr>
        <w:t xml:space="preserve"> </w:t>
      </w:r>
      <w:r w:rsidR="000579C2" w:rsidRPr="00581C3B">
        <w:rPr>
          <w:rFonts w:cs="Arial"/>
          <w:sz w:val="24"/>
          <w:szCs w:val="24"/>
        </w:rPr>
        <w:t>was enacted</w:t>
      </w:r>
      <w:r w:rsidRPr="00581C3B">
        <w:rPr>
          <w:rFonts w:cs="Arial" w:hint="eastAsia"/>
          <w:sz w:val="24"/>
          <w:szCs w:val="24"/>
        </w:rPr>
        <w:t>.</w:t>
      </w:r>
      <w:r w:rsidRPr="00581C3B">
        <w:rPr>
          <w:rFonts w:cs="Arial"/>
          <w:sz w:val="24"/>
          <w:szCs w:val="24"/>
        </w:rPr>
        <w:t xml:space="preserve">  </w:t>
      </w:r>
      <w:r w:rsidR="00463930" w:rsidRPr="00581C3B">
        <w:rPr>
          <w:rFonts w:cs="Arial"/>
          <w:sz w:val="24"/>
          <w:szCs w:val="24"/>
        </w:rPr>
        <w:t>O</w:t>
      </w:r>
      <w:r w:rsidRPr="00581C3B">
        <w:rPr>
          <w:rFonts w:cs="Arial"/>
          <w:sz w:val="24"/>
          <w:szCs w:val="24"/>
        </w:rPr>
        <w:t xml:space="preserve">ffences </w:t>
      </w:r>
      <w:r w:rsidR="00463930" w:rsidRPr="00581C3B">
        <w:rPr>
          <w:rFonts w:cs="Arial"/>
          <w:sz w:val="24"/>
          <w:szCs w:val="24"/>
        </w:rPr>
        <w:t>under</w:t>
      </w:r>
      <w:r w:rsidRPr="00581C3B">
        <w:rPr>
          <w:rFonts w:cs="Arial"/>
          <w:sz w:val="24"/>
          <w:szCs w:val="24"/>
        </w:rPr>
        <w:t xml:space="preserve"> the BL 23 legislation include, </w:t>
      </w:r>
      <w:r w:rsidRPr="00581C3B">
        <w:rPr>
          <w:rFonts w:cs="Arial"/>
          <w:i/>
          <w:sz w:val="24"/>
          <w:szCs w:val="24"/>
        </w:rPr>
        <w:t>inter alia</w:t>
      </w:r>
      <w:r w:rsidRPr="00581C3B">
        <w:rPr>
          <w:rFonts w:cs="Arial"/>
          <w:sz w:val="24"/>
          <w:szCs w:val="24"/>
        </w:rPr>
        <w:t>, the offence of sabotage activities carried out with intent to endanger national security (or being reckless as to whether national security would be endangered), damaging or weakening public infrastructure (which includes</w:t>
      </w:r>
      <w:r w:rsidR="00630549" w:rsidRPr="00581C3B">
        <w:rPr>
          <w:rFonts w:cs="Arial"/>
          <w:sz w:val="24"/>
          <w:szCs w:val="24"/>
        </w:rPr>
        <w:t xml:space="preserve"> any</w:t>
      </w:r>
      <w:r w:rsidRPr="00581C3B">
        <w:rPr>
          <w:rFonts w:cs="Arial"/>
          <w:sz w:val="24"/>
          <w:szCs w:val="24"/>
        </w:rPr>
        <w:t xml:space="preserve"> software constituting the infrastructure),</w:t>
      </w:r>
      <w:r w:rsidRPr="00581C3B">
        <w:rPr>
          <w:rFonts w:cs="Arial"/>
          <w:sz w:val="24"/>
          <w:szCs w:val="24"/>
          <w:vertAlign w:val="superscript"/>
        </w:rPr>
        <w:footnoteReference w:id="39"/>
      </w:r>
      <w:r w:rsidRPr="00581C3B">
        <w:rPr>
          <w:rFonts w:cs="Arial"/>
          <w:sz w:val="24"/>
          <w:szCs w:val="24"/>
        </w:rPr>
        <w:t xml:space="preserve"> and more specifically, the offence of doing an act in relation to a computer or electronic system with intent to endanger national security without lawful authority.</w:t>
      </w:r>
      <w:r w:rsidRPr="00581C3B">
        <w:rPr>
          <w:rFonts w:cs="Arial"/>
          <w:sz w:val="24"/>
          <w:szCs w:val="24"/>
          <w:vertAlign w:val="superscript"/>
        </w:rPr>
        <w:footnoteReference w:id="40"/>
      </w:r>
    </w:p>
    <w:p w14:paraId="3C49C89D" w14:textId="74888584" w:rsidR="00D36D6F" w:rsidRPr="00581C3B" w:rsidRDefault="00D36D6F" w:rsidP="00D42EF7">
      <w:pPr>
        <w:pStyle w:val="ListParagraph"/>
        <w:numPr>
          <w:ilvl w:val="0"/>
          <w:numId w:val="14"/>
        </w:numPr>
        <w:spacing w:after="240" w:line="240" w:lineRule="auto"/>
        <w:ind w:left="0" w:firstLine="0"/>
        <w:contextualSpacing w:val="0"/>
        <w:rPr>
          <w:rFonts w:cs="Arial"/>
          <w:sz w:val="24"/>
          <w:szCs w:val="24"/>
        </w:rPr>
      </w:pPr>
      <w:r w:rsidRPr="00581C3B">
        <w:rPr>
          <w:rFonts w:cs="Arial"/>
          <w:sz w:val="24"/>
          <w:szCs w:val="24"/>
        </w:rPr>
        <w:t xml:space="preserve">Given </w:t>
      </w:r>
      <w:r w:rsidR="00734626" w:rsidRPr="00581C3B">
        <w:rPr>
          <w:rFonts w:cs="Arial"/>
          <w:sz w:val="24"/>
          <w:szCs w:val="24"/>
        </w:rPr>
        <w:t xml:space="preserve">the manner in which Article 23 of the Basic Law </w:t>
      </w:r>
      <w:r w:rsidR="00C814F1">
        <w:rPr>
          <w:rFonts w:cs="Arial"/>
          <w:sz w:val="24"/>
          <w:szCs w:val="24"/>
        </w:rPr>
        <w:t xml:space="preserve">is now implemented by way of local legislation </w:t>
      </w:r>
      <w:r w:rsidR="00734626" w:rsidRPr="00581C3B">
        <w:rPr>
          <w:rFonts w:cs="Arial"/>
          <w:sz w:val="24"/>
          <w:szCs w:val="24"/>
        </w:rPr>
        <w:t>(which includes the introduction of a specific offence covering national security risks in cyberspace), we consider that the Government would be better placed to evaluate the adequacy or otherwise of all extant national security-related offences holistically and consider our recommendations to see if any refinements should be proposed</w:t>
      </w:r>
      <w:r w:rsidRPr="00581C3B">
        <w:rPr>
          <w:rFonts w:cs="Arial"/>
          <w:sz w:val="24"/>
          <w:szCs w:val="24"/>
        </w:rPr>
        <w:t>.</w:t>
      </w:r>
    </w:p>
    <w:p w14:paraId="68F80713" w14:textId="601EB722" w:rsidR="00770835" w:rsidRPr="00581C3B" w:rsidRDefault="0052616A" w:rsidP="0090149F">
      <w:pPr>
        <w:pStyle w:val="ListParagraph"/>
        <w:widowControl/>
        <w:spacing w:after="240" w:line="240" w:lineRule="auto"/>
        <w:ind w:left="0"/>
        <w:contextualSpacing w:val="0"/>
        <w:rPr>
          <w:b/>
          <w:i/>
          <w:sz w:val="24"/>
          <w:szCs w:val="24"/>
        </w:rPr>
      </w:pPr>
      <w:r w:rsidRPr="00581C3B">
        <w:rPr>
          <w:b/>
          <w:i/>
          <w:sz w:val="24"/>
          <w:szCs w:val="24"/>
        </w:rPr>
        <w:t>Specific defences</w:t>
      </w:r>
    </w:p>
    <w:p w14:paraId="0194B730" w14:textId="29144504" w:rsidR="00D36D6F" w:rsidRPr="00581C3B" w:rsidRDefault="00770835" w:rsidP="0090149F">
      <w:pPr>
        <w:pStyle w:val="ListParagraph"/>
        <w:widowControl/>
        <w:spacing w:after="240" w:line="240" w:lineRule="auto"/>
        <w:ind w:left="0"/>
        <w:contextualSpacing w:val="0"/>
        <w:rPr>
          <w:rFonts w:cs="Arial"/>
          <w:sz w:val="24"/>
          <w:szCs w:val="24"/>
          <w:lang w:val="en-GB"/>
        </w:rPr>
      </w:pPr>
      <w:r w:rsidRPr="00581C3B">
        <w:rPr>
          <w:i/>
          <w:sz w:val="24"/>
          <w:szCs w:val="24"/>
        </w:rPr>
        <w:t xml:space="preserve">Interference with computer data </w:t>
      </w:r>
      <w:r w:rsidR="0052616A" w:rsidRPr="00581C3B">
        <w:rPr>
          <w:i/>
          <w:sz w:val="24"/>
          <w:szCs w:val="24"/>
        </w:rPr>
        <w:t>for cybersecurity purposes</w:t>
      </w:r>
      <w:r w:rsidR="0024184E" w:rsidRPr="00581C3B">
        <w:rPr>
          <w:rFonts w:eastAsia="Arial Unicode MS" w:cs="Arial"/>
          <w:kern w:val="2"/>
          <w:sz w:val="24"/>
          <w:szCs w:val="24"/>
          <w:vertAlign w:val="superscript"/>
        </w:rPr>
        <w:footnoteReference w:id="41"/>
      </w:r>
    </w:p>
    <w:p w14:paraId="202ADC08" w14:textId="4B87AA88" w:rsidR="00B060FE" w:rsidRPr="00581C3B" w:rsidRDefault="00CA26F3" w:rsidP="00D42EF7">
      <w:pPr>
        <w:pStyle w:val="ListParagraph"/>
        <w:numPr>
          <w:ilvl w:val="0"/>
          <w:numId w:val="14"/>
        </w:numPr>
        <w:spacing w:after="240" w:line="240" w:lineRule="auto"/>
        <w:ind w:left="0" w:firstLine="0"/>
        <w:contextualSpacing w:val="0"/>
        <w:rPr>
          <w:rFonts w:cs="Arial"/>
          <w:sz w:val="24"/>
          <w:szCs w:val="24"/>
          <w:lang w:val="en-GB"/>
        </w:rPr>
      </w:pPr>
      <w:r w:rsidRPr="00581C3B">
        <w:rPr>
          <w:rFonts w:hint="eastAsia"/>
          <w:sz w:val="24"/>
          <w:szCs w:val="24"/>
        </w:rPr>
        <w:t>As interference</w:t>
      </w:r>
      <w:r w:rsidRPr="00581C3B">
        <w:rPr>
          <w:sz w:val="24"/>
          <w:szCs w:val="24"/>
        </w:rPr>
        <w:t xml:space="preserve"> with computer data (or computer system) normally occurs upon access to program or data</w:t>
      </w:r>
      <w:r w:rsidRPr="00581C3B">
        <w:rPr>
          <w:rFonts w:hint="eastAsia"/>
          <w:sz w:val="24"/>
          <w:szCs w:val="24"/>
        </w:rPr>
        <w:t>,</w:t>
      </w:r>
      <w:r w:rsidRPr="00581C3B">
        <w:rPr>
          <w:sz w:val="24"/>
          <w:szCs w:val="24"/>
        </w:rPr>
        <w:t xml:space="preserve"> </w:t>
      </w:r>
      <w:r w:rsidR="00770835" w:rsidRPr="00581C3B">
        <w:rPr>
          <w:rFonts w:cs="Arial"/>
          <w:sz w:val="24"/>
          <w:szCs w:val="24"/>
        </w:rPr>
        <w:t>we have considered whether the defences applicable to the Access Offence</w:t>
      </w:r>
      <w:r w:rsidR="00BF5D7A" w:rsidRPr="00581C3B">
        <w:rPr>
          <w:rFonts w:cs="Arial"/>
          <w:sz w:val="24"/>
          <w:szCs w:val="24"/>
        </w:rPr>
        <w:t xml:space="preserve"> discussed in Chapter 2</w:t>
      </w:r>
      <w:r w:rsidR="00770835" w:rsidRPr="00581C3B">
        <w:rPr>
          <w:rFonts w:cs="Arial"/>
          <w:sz w:val="24"/>
          <w:szCs w:val="24"/>
        </w:rPr>
        <w:t xml:space="preserve"> should likewise apply to the </w:t>
      </w:r>
      <w:r w:rsidR="0024184E" w:rsidRPr="00581C3B">
        <w:rPr>
          <w:rFonts w:cs="Arial"/>
          <w:sz w:val="24"/>
          <w:szCs w:val="24"/>
        </w:rPr>
        <w:t>Interference O</w:t>
      </w:r>
      <w:r w:rsidR="00770835" w:rsidRPr="00581C3B">
        <w:rPr>
          <w:rFonts w:cs="Arial"/>
          <w:sz w:val="24"/>
          <w:szCs w:val="24"/>
        </w:rPr>
        <w:t>ffence</w:t>
      </w:r>
      <w:r w:rsidR="0024184E" w:rsidRPr="00581C3B">
        <w:rPr>
          <w:rFonts w:cs="Arial"/>
          <w:sz w:val="24"/>
          <w:szCs w:val="24"/>
        </w:rPr>
        <w:t>s</w:t>
      </w:r>
      <w:r w:rsidR="00770835" w:rsidRPr="00581C3B">
        <w:rPr>
          <w:rFonts w:cs="Arial"/>
          <w:sz w:val="24"/>
          <w:szCs w:val="24"/>
        </w:rPr>
        <w:t xml:space="preserve">.  </w:t>
      </w:r>
      <w:r w:rsidR="00ED4A0D" w:rsidRPr="00581C3B">
        <w:rPr>
          <w:rFonts w:cs="Arial"/>
          <w:sz w:val="24"/>
          <w:szCs w:val="24"/>
        </w:rPr>
        <w:t>The</w:t>
      </w:r>
      <w:r w:rsidR="00536748" w:rsidRPr="00581C3B">
        <w:rPr>
          <w:rFonts w:hint="eastAsia"/>
          <w:sz w:val="24"/>
          <w:szCs w:val="24"/>
        </w:rPr>
        <w:t xml:space="preserve"> logical</w:t>
      </w:r>
      <w:r w:rsidR="00ED4A0D" w:rsidRPr="00581C3B">
        <w:rPr>
          <w:sz w:val="24"/>
          <w:szCs w:val="24"/>
        </w:rPr>
        <w:t xml:space="preserve"> conclusion is that the defence of </w:t>
      </w:r>
      <w:r w:rsidR="00536748" w:rsidRPr="00581C3B">
        <w:rPr>
          <w:sz w:val="24"/>
          <w:szCs w:val="24"/>
        </w:rPr>
        <w:t>interference with computer data for cybersecurity purposes</w:t>
      </w:r>
      <w:r w:rsidR="00C52536" w:rsidRPr="00581C3B">
        <w:rPr>
          <w:rFonts w:cs="Arial"/>
          <w:sz w:val="24"/>
          <w:szCs w:val="24"/>
          <w:vertAlign w:val="superscript"/>
        </w:rPr>
        <w:footnoteReference w:id="42"/>
      </w:r>
      <w:r w:rsidRPr="00581C3B">
        <w:rPr>
          <w:rFonts w:cs="Arial"/>
          <w:sz w:val="24"/>
          <w:szCs w:val="24"/>
        </w:rPr>
        <w:t xml:space="preserve"> </w:t>
      </w:r>
      <w:r w:rsidR="001D3459" w:rsidRPr="00581C3B">
        <w:rPr>
          <w:rFonts w:cs="Arial"/>
          <w:sz w:val="24"/>
          <w:szCs w:val="24"/>
        </w:rPr>
        <w:t>should apply to both types of offences</w:t>
      </w:r>
      <w:r w:rsidRPr="00581C3B">
        <w:rPr>
          <w:rFonts w:cs="Arial"/>
          <w:sz w:val="24"/>
          <w:szCs w:val="24"/>
        </w:rPr>
        <w:t xml:space="preserve"> </w:t>
      </w:r>
      <w:r w:rsidR="00ED4A0D" w:rsidRPr="00581C3B">
        <w:rPr>
          <w:sz w:val="24"/>
          <w:szCs w:val="24"/>
        </w:rPr>
        <w:t>and we</w:t>
      </w:r>
      <w:r w:rsidR="005D7A8C" w:rsidRPr="00581C3B">
        <w:rPr>
          <w:sz w:val="24"/>
          <w:szCs w:val="24"/>
        </w:rPr>
        <w:t xml:space="preserve"> </w:t>
      </w:r>
      <w:r w:rsidR="00ED4A0D" w:rsidRPr="00581C3B">
        <w:rPr>
          <w:sz w:val="24"/>
          <w:szCs w:val="24"/>
        </w:rPr>
        <w:t>s</w:t>
      </w:r>
      <w:r w:rsidR="005D7A8C" w:rsidRPr="00581C3B">
        <w:rPr>
          <w:rFonts w:hint="eastAsia"/>
          <w:sz w:val="24"/>
          <w:szCs w:val="24"/>
        </w:rPr>
        <w:t xml:space="preserve">o </w:t>
      </w:r>
      <w:r w:rsidR="005D7A8C" w:rsidRPr="00581C3B">
        <w:rPr>
          <w:sz w:val="24"/>
          <w:szCs w:val="24"/>
        </w:rPr>
        <w:t>recommend.</w:t>
      </w:r>
    </w:p>
    <w:p w14:paraId="6D1DB89B" w14:textId="29BEEF88" w:rsidR="0008388B" w:rsidRPr="00581C3B" w:rsidRDefault="00FC271F" w:rsidP="0008388B">
      <w:pPr>
        <w:pStyle w:val="ListParagraph"/>
        <w:spacing w:after="240" w:line="240" w:lineRule="auto"/>
        <w:ind w:left="0"/>
        <w:contextualSpacing w:val="0"/>
        <w:rPr>
          <w:rFonts w:cs="Arial"/>
          <w:sz w:val="24"/>
          <w:szCs w:val="24"/>
          <w:lang w:val="en-GB"/>
        </w:rPr>
      </w:pPr>
      <w:r w:rsidRPr="00581C3B">
        <w:rPr>
          <w:rFonts w:cs="Arial"/>
          <w:i/>
          <w:sz w:val="24"/>
          <w:szCs w:val="24"/>
        </w:rPr>
        <w:t>Interference with computer data for protecting the interests of a child</w:t>
      </w:r>
      <w:r w:rsidR="00D93941">
        <w:rPr>
          <w:rFonts w:cs="Arial"/>
          <w:i/>
          <w:sz w:val="24"/>
          <w:szCs w:val="24"/>
        </w:rPr>
        <w:t xml:space="preserve"> </w:t>
      </w:r>
      <w:r w:rsidR="00D93941">
        <w:rPr>
          <w:rFonts w:cs="Arial"/>
          <w:i/>
          <w:sz w:val="24"/>
          <w:szCs w:val="24"/>
          <w:lang w:val="en-GB"/>
        </w:rPr>
        <w:t xml:space="preserve">or </w:t>
      </w:r>
      <w:r w:rsidR="00D93941" w:rsidRPr="007B12AE">
        <w:rPr>
          <w:rFonts w:cs="Arial"/>
          <w:i/>
          <w:sz w:val="24"/>
          <w:szCs w:val="24"/>
          <w:lang w:val="en-GB"/>
        </w:rPr>
        <w:t>vulnerable person</w:t>
      </w:r>
      <w:r w:rsidR="00D93941" w:rsidRPr="00581C3B">
        <w:rPr>
          <w:rFonts w:eastAsia="Arial Unicode MS" w:cs="Arial"/>
          <w:kern w:val="2"/>
          <w:sz w:val="24"/>
          <w:szCs w:val="24"/>
          <w:vertAlign w:val="superscript"/>
        </w:rPr>
        <w:t xml:space="preserve"> </w:t>
      </w:r>
      <w:r w:rsidR="008402EA" w:rsidRPr="00581C3B">
        <w:rPr>
          <w:rFonts w:eastAsia="Arial Unicode MS" w:cs="Arial"/>
          <w:kern w:val="2"/>
          <w:sz w:val="24"/>
          <w:szCs w:val="24"/>
          <w:vertAlign w:val="superscript"/>
        </w:rPr>
        <w:footnoteReference w:id="43"/>
      </w:r>
    </w:p>
    <w:p w14:paraId="0A8B0FF8" w14:textId="06E72571" w:rsidR="00A128C6" w:rsidRPr="00D93941" w:rsidRDefault="00FC271F" w:rsidP="00765211">
      <w:pPr>
        <w:pStyle w:val="ListParagraph"/>
        <w:numPr>
          <w:ilvl w:val="0"/>
          <w:numId w:val="14"/>
        </w:numPr>
        <w:spacing w:after="240" w:line="240" w:lineRule="auto"/>
        <w:ind w:left="0" w:firstLine="0"/>
        <w:contextualSpacing w:val="0"/>
        <w:rPr>
          <w:rFonts w:cs="Arial"/>
          <w:sz w:val="24"/>
          <w:szCs w:val="24"/>
        </w:rPr>
      </w:pPr>
      <w:r w:rsidRPr="00581C3B">
        <w:rPr>
          <w:rFonts w:hint="eastAsia"/>
          <w:sz w:val="24"/>
          <w:szCs w:val="24"/>
        </w:rPr>
        <w:t xml:space="preserve">While a parent, guardian or other persons may </w:t>
      </w:r>
      <w:r w:rsidRPr="00581C3B">
        <w:rPr>
          <w:sz w:val="24"/>
          <w:szCs w:val="24"/>
        </w:rPr>
        <w:t>require</w:t>
      </w:r>
      <w:r w:rsidRPr="00581C3B">
        <w:rPr>
          <w:rFonts w:hint="eastAsia"/>
          <w:sz w:val="24"/>
          <w:szCs w:val="24"/>
        </w:rPr>
        <w:t xml:space="preserve"> access to</w:t>
      </w:r>
      <w:r w:rsidRPr="00581C3B">
        <w:rPr>
          <w:sz w:val="24"/>
          <w:szCs w:val="24"/>
        </w:rPr>
        <w:t xml:space="preserve"> the</w:t>
      </w:r>
      <w:r w:rsidRPr="00581C3B">
        <w:rPr>
          <w:rFonts w:hint="eastAsia"/>
          <w:sz w:val="24"/>
          <w:szCs w:val="24"/>
        </w:rPr>
        <w:t xml:space="preserve"> program or data </w:t>
      </w:r>
      <w:r w:rsidRPr="00581C3B">
        <w:rPr>
          <w:sz w:val="24"/>
          <w:szCs w:val="24"/>
        </w:rPr>
        <w:t>of a child</w:t>
      </w:r>
      <w:r w:rsidR="00D30AC1">
        <w:rPr>
          <w:sz w:val="24"/>
          <w:szCs w:val="24"/>
        </w:rPr>
        <w:t xml:space="preserve"> or vulnerable person</w:t>
      </w:r>
      <w:r w:rsidRPr="00581C3B">
        <w:rPr>
          <w:sz w:val="24"/>
          <w:szCs w:val="24"/>
        </w:rPr>
        <w:t xml:space="preserve"> to safeguard him from online harm, we understand that such access does not entail any alteration or interference with computer data (or computer system).  </w:t>
      </w:r>
      <w:r w:rsidR="008402EA" w:rsidRPr="00581C3B">
        <w:rPr>
          <w:sz w:val="24"/>
          <w:szCs w:val="24"/>
        </w:rPr>
        <w:t>Also</w:t>
      </w:r>
      <w:r w:rsidRPr="00581C3B">
        <w:rPr>
          <w:sz w:val="24"/>
          <w:szCs w:val="24"/>
        </w:rPr>
        <w:t xml:space="preserve">, </w:t>
      </w:r>
      <w:r w:rsidRPr="00581C3B">
        <w:rPr>
          <w:rFonts w:cs="Arial"/>
          <w:sz w:val="24"/>
          <w:szCs w:val="24"/>
        </w:rPr>
        <w:t>granting a person access to any program or data in no way implies that the person is authorised to alter or otherwise tamper with the data</w:t>
      </w:r>
      <w:r w:rsidR="00D50E99" w:rsidRPr="00581C3B">
        <w:rPr>
          <w:rFonts w:cs="Arial"/>
          <w:sz w:val="24"/>
          <w:szCs w:val="24"/>
          <w:lang w:val="en-GB"/>
        </w:rPr>
        <w:t>.</w:t>
      </w:r>
      <w:r w:rsidRPr="00581C3B">
        <w:rPr>
          <w:rFonts w:cs="Arial"/>
          <w:sz w:val="24"/>
          <w:szCs w:val="24"/>
          <w:lang w:val="en-GB"/>
        </w:rPr>
        <w:t xml:space="preserve">  Thus, </w:t>
      </w:r>
      <w:r w:rsidRPr="00581C3B">
        <w:rPr>
          <w:sz w:val="24"/>
          <w:szCs w:val="24"/>
        </w:rPr>
        <w:t xml:space="preserve">we consider that </w:t>
      </w:r>
      <w:r w:rsidRPr="00581C3B">
        <w:rPr>
          <w:rFonts w:hint="eastAsia"/>
          <w:sz w:val="24"/>
          <w:szCs w:val="24"/>
        </w:rPr>
        <w:t xml:space="preserve">it is not necessary to provide a specific defence to the </w:t>
      </w:r>
      <w:r w:rsidR="008402EA" w:rsidRPr="00581C3B">
        <w:rPr>
          <w:rFonts w:hint="eastAsia"/>
          <w:sz w:val="24"/>
          <w:szCs w:val="24"/>
        </w:rPr>
        <w:t xml:space="preserve">Interference </w:t>
      </w:r>
      <w:r w:rsidR="008402EA" w:rsidRPr="00581C3B">
        <w:rPr>
          <w:sz w:val="24"/>
          <w:szCs w:val="24"/>
        </w:rPr>
        <w:t>O</w:t>
      </w:r>
      <w:r w:rsidRPr="00581C3B">
        <w:rPr>
          <w:rFonts w:hint="eastAsia"/>
          <w:sz w:val="24"/>
          <w:szCs w:val="24"/>
        </w:rPr>
        <w:t>ffence</w:t>
      </w:r>
      <w:r w:rsidR="008402EA" w:rsidRPr="00581C3B">
        <w:rPr>
          <w:sz w:val="24"/>
          <w:szCs w:val="24"/>
        </w:rPr>
        <w:t>s</w:t>
      </w:r>
      <w:r w:rsidRPr="00581C3B">
        <w:rPr>
          <w:sz w:val="24"/>
          <w:szCs w:val="24"/>
        </w:rPr>
        <w:t xml:space="preserve"> for the purpose of protecting the interests of a chil</w:t>
      </w:r>
      <w:r w:rsidRPr="00D93941">
        <w:rPr>
          <w:rFonts w:cs="Arial"/>
          <w:sz w:val="24"/>
          <w:szCs w:val="24"/>
        </w:rPr>
        <w:t>d</w:t>
      </w:r>
      <w:r w:rsidR="00D93941" w:rsidRPr="00D93941">
        <w:rPr>
          <w:rFonts w:cs="Arial"/>
          <w:sz w:val="24"/>
          <w:szCs w:val="24"/>
        </w:rPr>
        <w:t xml:space="preserve"> or vulnerable person</w:t>
      </w:r>
      <w:r w:rsidRPr="00D93941">
        <w:rPr>
          <w:rFonts w:cs="Arial"/>
          <w:sz w:val="24"/>
          <w:szCs w:val="24"/>
        </w:rPr>
        <w:t>.</w:t>
      </w:r>
    </w:p>
    <w:p w14:paraId="759B6FAA" w14:textId="3A8EC58D" w:rsidR="00811F10" w:rsidRPr="00581C3B" w:rsidRDefault="00811F10" w:rsidP="00811F10">
      <w:pPr>
        <w:pStyle w:val="ListParagraph"/>
        <w:spacing w:after="240" w:line="240" w:lineRule="auto"/>
        <w:ind w:left="0"/>
        <w:contextualSpacing w:val="0"/>
        <w:rPr>
          <w:rFonts w:cs="Arial"/>
          <w:sz w:val="24"/>
          <w:szCs w:val="24"/>
          <w:lang w:val="en-GB"/>
        </w:rPr>
      </w:pPr>
      <w:r w:rsidRPr="00581C3B">
        <w:rPr>
          <w:rFonts w:cs="Arial"/>
          <w:i/>
          <w:sz w:val="24"/>
          <w:szCs w:val="24"/>
        </w:rPr>
        <w:t>Interference with computer data for genuine research purposes</w:t>
      </w:r>
      <w:r w:rsidR="00DC4A22" w:rsidRPr="00581C3B">
        <w:rPr>
          <w:rFonts w:eastAsia="Arial Unicode MS" w:cs="Arial"/>
          <w:kern w:val="2"/>
          <w:sz w:val="24"/>
          <w:szCs w:val="24"/>
          <w:vertAlign w:val="superscript"/>
        </w:rPr>
        <w:footnoteReference w:id="44"/>
      </w:r>
    </w:p>
    <w:p w14:paraId="554397C0" w14:textId="2EA5EF3C" w:rsidR="00EB499B" w:rsidRPr="00581C3B" w:rsidRDefault="00B21DA4" w:rsidP="00765211">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W</w:t>
      </w:r>
      <w:r w:rsidR="00EB499B" w:rsidRPr="00581C3B">
        <w:rPr>
          <w:sz w:val="24"/>
          <w:szCs w:val="24"/>
        </w:rPr>
        <w:t xml:space="preserve">e </w:t>
      </w:r>
      <w:r w:rsidR="00EB499B" w:rsidRPr="00581C3B">
        <w:rPr>
          <w:rFonts w:cs="Arial"/>
          <w:sz w:val="24"/>
          <w:szCs w:val="24"/>
        </w:rPr>
        <w:t xml:space="preserve">find it inconceivable that the conduct of genuine research would necessitate interference with computer data (or computer system).  Thus, </w:t>
      </w:r>
      <w:r w:rsidR="00EB499B" w:rsidRPr="00581C3B">
        <w:rPr>
          <w:rFonts w:hint="eastAsia"/>
          <w:sz w:val="24"/>
          <w:szCs w:val="24"/>
        </w:rPr>
        <w:t xml:space="preserve">it is not necessary to provide a specific defence to </w:t>
      </w:r>
      <w:r w:rsidR="00EB499B" w:rsidRPr="00581C3B">
        <w:rPr>
          <w:sz w:val="24"/>
          <w:szCs w:val="24"/>
        </w:rPr>
        <w:t>exempt</w:t>
      </w:r>
      <w:r w:rsidR="00EB499B" w:rsidRPr="00581C3B">
        <w:rPr>
          <w:rFonts w:hint="eastAsia"/>
          <w:sz w:val="24"/>
          <w:szCs w:val="24"/>
        </w:rPr>
        <w:t xml:space="preserve"> illegal interference with computer</w:t>
      </w:r>
      <w:r w:rsidR="00EB499B" w:rsidRPr="00581C3B">
        <w:rPr>
          <w:sz w:val="24"/>
          <w:szCs w:val="24"/>
        </w:rPr>
        <w:t xml:space="preserve"> data (or computer system) carried out for genuine research </w:t>
      </w:r>
      <w:r w:rsidR="00EB499B" w:rsidRPr="00581C3B">
        <w:rPr>
          <w:sz w:val="24"/>
          <w:szCs w:val="24"/>
        </w:rPr>
        <w:lastRenderedPageBreak/>
        <w:t>purposes.</w:t>
      </w:r>
    </w:p>
    <w:p w14:paraId="14B368D2" w14:textId="4EEC515F" w:rsidR="00476B2F" w:rsidRPr="00581C3B" w:rsidRDefault="00476B2F" w:rsidP="00476B2F">
      <w:pPr>
        <w:pStyle w:val="ListParagraph"/>
        <w:spacing w:after="240" w:line="240" w:lineRule="auto"/>
        <w:ind w:left="0"/>
        <w:contextualSpacing w:val="0"/>
        <w:rPr>
          <w:rFonts w:cs="Arial"/>
          <w:sz w:val="24"/>
          <w:szCs w:val="24"/>
          <w:lang w:val="en-GB"/>
        </w:rPr>
      </w:pPr>
      <w:r w:rsidRPr="00581C3B">
        <w:rPr>
          <w:i/>
          <w:sz w:val="24"/>
          <w:szCs w:val="24"/>
        </w:rPr>
        <w:t>Transposing the defences under S64(2) of the Crimes Ordinance</w:t>
      </w:r>
      <w:r w:rsidR="007C34EE" w:rsidRPr="00581C3B">
        <w:rPr>
          <w:rFonts w:eastAsia="Arial Unicode MS" w:cs="Arial"/>
          <w:kern w:val="2"/>
          <w:sz w:val="24"/>
          <w:szCs w:val="24"/>
          <w:vertAlign w:val="superscript"/>
        </w:rPr>
        <w:footnoteReference w:id="45"/>
      </w:r>
    </w:p>
    <w:p w14:paraId="63267B33" w14:textId="58FE5A6A" w:rsidR="00476B2F" w:rsidRPr="00581C3B" w:rsidRDefault="00476B2F"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hint="eastAsia"/>
          <w:sz w:val="24"/>
          <w:szCs w:val="24"/>
        </w:rPr>
        <w:t>Recommendation 6 of the CP propose</w:t>
      </w:r>
      <w:r w:rsidRPr="00581C3B">
        <w:rPr>
          <w:sz w:val="24"/>
          <w:szCs w:val="24"/>
        </w:rPr>
        <w:t>d</w:t>
      </w:r>
      <w:r w:rsidRPr="00581C3B">
        <w:rPr>
          <w:rFonts w:hint="eastAsia"/>
          <w:sz w:val="24"/>
          <w:szCs w:val="24"/>
        </w:rPr>
        <w:t xml:space="preserve"> to </w:t>
      </w:r>
      <w:r w:rsidRPr="00581C3B">
        <w:rPr>
          <w:sz w:val="24"/>
          <w:szCs w:val="24"/>
        </w:rPr>
        <w:t xml:space="preserve">adopt the two “lawful excuses” currently provided for under S64(2) of the CO.  </w:t>
      </w:r>
      <w:r w:rsidRPr="00581C3B">
        <w:rPr>
          <w:rFonts w:hint="eastAsia"/>
          <w:sz w:val="24"/>
          <w:szCs w:val="24"/>
        </w:rPr>
        <w:t xml:space="preserve">As the Respondents generally welcomed the </w:t>
      </w:r>
      <w:r w:rsidRPr="00581C3B">
        <w:rPr>
          <w:sz w:val="24"/>
          <w:szCs w:val="24"/>
        </w:rPr>
        <w:t xml:space="preserve">adoption of the existing regime under the CO for the purposes of the </w:t>
      </w:r>
      <w:r w:rsidR="007C34EE" w:rsidRPr="00581C3B">
        <w:rPr>
          <w:sz w:val="24"/>
          <w:szCs w:val="24"/>
        </w:rPr>
        <w:t>Interference O</w:t>
      </w:r>
      <w:r w:rsidRPr="00581C3B">
        <w:rPr>
          <w:sz w:val="24"/>
          <w:szCs w:val="24"/>
        </w:rPr>
        <w:t xml:space="preserve">ffences, we </w:t>
      </w:r>
      <w:r w:rsidR="007C34EE" w:rsidRPr="00581C3B">
        <w:rPr>
          <w:sz w:val="24"/>
          <w:szCs w:val="24"/>
        </w:rPr>
        <w:t>recommend</w:t>
      </w:r>
      <w:r w:rsidRPr="00581C3B">
        <w:rPr>
          <w:sz w:val="24"/>
          <w:szCs w:val="24"/>
        </w:rPr>
        <w:t xml:space="preserve"> maintain</w:t>
      </w:r>
      <w:r w:rsidR="007C34EE" w:rsidRPr="00581C3B">
        <w:rPr>
          <w:sz w:val="24"/>
          <w:szCs w:val="24"/>
        </w:rPr>
        <w:t>ing</w:t>
      </w:r>
      <w:r w:rsidRPr="00581C3B">
        <w:rPr>
          <w:sz w:val="24"/>
          <w:szCs w:val="24"/>
        </w:rPr>
        <w:t xml:space="preserve"> Recommendation 6, subject to the </w:t>
      </w:r>
      <w:r w:rsidR="007C34EE" w:rsidRPr="00581C3B">
        <w:rPr>
          <w:rFonts w:cs="Arial"/>
          <w:sz w:val="24"/>
          <w:szCs w:val="24"/>
        </w:rPr>
        <w:t>inclusion</w:t>
      </w:r>
      <w:r w:rsidRPr="00581C3B">
        <w:rPr>
          <w:rFonts w:cs="Arial"/>
          <w:sz w:val="24"/>
          <w:szCs w:val="24"/>
        </w:rPr>
        <w:t xml:space="preserve"> of an objective test into the consent defence and the </w:t>
      </w:r>
      <w:r w:rsidRPr="00581C3B">
        <w:rPr>
          <w:rFonts w:eastAsia="DengXian" w:cs="Arial"/>
          <w:sz w:val="24"/>
          <w:szCs w:val="24"/>
        </w:rPr>
        <w:t>property protection</w:t>
      </w:r>
      <w:r w:rsidR="005C1E41" w:rsidRPr="00581C3B">
        <w:rPr>
          <w:rFonts w:cs="Arial"/>
          <w:sz w:val="24"/>
          <w:szCs w:val="24"/>
        </w:rPr>
        <w:t xml:space="preserve"> defence </w:t>
      </w:r>
      <w:r w:rsidR="007C34EE" w:rsidRPr="00581C3B">
        <w:rPr>
          <w:rFonts w:cs="Arial"/>
          <w:sz w:val="24"/>
          <w:szCs w:val="24"/>
        </w:rPr>
        <w:t>(as in the case of</w:t>
      </w:r>
      <w:r w:rsidRPr="00581C3B">
        <w:rPr>
          <w:rFonts w:cs="Arial"/>
          <w:sz w:val="24"/>
          <w:szCs w:val="24"/>
        </w:rPr>
        <w:t xml:space="preserve"> </w:t>
      </w:r>
      <w:r w:rsidR="005C1E41" w:rsidRPr="00581C3B">
        <w:rPr>
          <w:rFonts w:cs="Arial"/>
          <w:sz w:val="24"/>
          <w:szCs w:val="24"/>
        </w:rPr>
        <w:t>the A</w:t>
      </w:r>
      <w:r w:rsidRPr="00581C3B">
        <w:rPr>
          <w:rFonts w:cs="Arial"/>
          <w:sz w:val="24"/>
          <w:szCs w:val="24"/>
        </w:rPr>
        <w:t xml:space="preserve">ccess </w:t>
      </w:r>
      <w:r w:rsidR="005C1E41" w:rsidRPr="00581C3B">
        <w:rPr>
          <w:rFonts w:cs="Arial"/>
          <w:sz w:val="24"/>
          <w:szCs w:val="24"/>
        </w:rPr>
        <w:t>O</w:t>
      </w:r>
      <w:r w:rsidRPr="00581C3B">
        <w:rPr>
          <w:rFonts w:cs="Arial"/>
          <w:sz w:val="24"/>
          <w:szCs w:val="24"/>
        </w:rPr>
        <w:t xml:space="preserve">ffence discussed in </w:t>
      </w:r>
      <w:r w:rsidRPr="00B66AB8">
        <w:rPr>
          <w:rFonts w:cs="Arial"/>
          <w:sz w:val="24"/>
          <w:szCs w:val="24"/>
        </w:rPr>
        <w:t xml:space="preserve">paragraph </w:t>
      </w:r>
      <w:r w:rsidR="001436ED" w:rsidRPr="00B66AB8">
        <w:rPr>
          <w:rFonts w:cs="Arial"/>
          <w:sz w:val="24"/>
          <w:szCs w:val="24"/>
        </w:rPr>
        <w:t>3</w:t>
      </w:r>
      <w:r w:rsidR="009F5BF3">
        <w:rPr>
          <w:rFonts w:cs="Arial"/>
          <w:sz w:val="24"/>
          <w:szCs w:val="24"/>
        </w:rPr>
        <w:t>2</w:t>
      </w:r>
      <w:r w:rsidRPr="00581C3B">
        <w:rPr>
          <w:rFonts w:cs="Arial"/>
          <w:sz w:val="24"/>
          <w:szCs w:val="24"/>
        </w:rPr>
        <w:t xml:space="preserve"> above</w:t>
      </w:r>
      <w:r w:rsidR="007C34EE" w:rsidRPr="00581C3B">
        <w:rPr>
          <w:rFonts w:cs="Arial"/>
          <w:sz w:val="24"/>
          <w:szCs w:val="24"/>
        </w:rPr>
        <w:t>)</w:t>
      </w:r>
      <w:r w:rsidR="001436ED" w:rsidRPr="00581C3B">
        <w:rPr>
          <w:rFonts w:cs="Arial"/>
          <w:sz w:val="24"/>
          <w:szCs w:val="24"/>
        </w:rPr>
        <w:t>.</w:t>
      </w:r>
    </w:p>
    <w:p w14:paraId="72265A0C" w14:textId="135E1AC3" w:rsidR="008D3B57" w:rsidRPr="00581C3B" w:rsidRDefault="001436ED" w:rsidP="00765211">
      <w:pPr>
        <w:pStyle w:val="ListParagraph"/>
        <w:widowControl/>
        <w:numPr>
          <w:ilvl w:val="0"/>
          <w:numId w:val="14"/>
        </w:numPr>
        <w:spacing w:after="240" w:line="240" w:lineRule="auto"/>
        <w:ind w:left="0" w:firstLine="0"/>
        <w:contextualSpacing w:val="0"/>
        <w:rPr>
          <w:rFonts w:cs="Arial"/>
          <w:sz w:val="24"/>
          <w:szCs w:val="24"/>
          <w:lang w:val="en-GB"/>
        </w:rPr>
      </w:pPr>
      <w:r w:rsidRPr="00581C3B">
        <w:rPr>
          <w:sz w:val="24"/>
          <w:szCs w:val="24"/>
        </w:rPr>
        <w:t>W</w:t>
      </w:r>
      <w:r w:rsidR="008D3B57" w:rsidRPr="00581C3B">
        <w:rPr>
          <w:sz w:val="24"/>
          <w:szCs w:val="24"/>
        </w:rPr>
        <w:t>e noted</w:t>
      </w:r>
      <w:r w:rsidR="008D3B57" w:rsidRPr="00581C3B">
        <w:rPr>
          <w:rFonts w:cs="Arial"/>
          <w:sz w:val="24"/>
          <w:szCs w:val="24"/>
        </w:rPr>
        <w:t xml:space="preserve"> that the “lawful excuse” under the existing S64(2)(b) of the CO is confined to </w:t>
      </w:r>
      <w:r w:rsidR="006C48DA" w:rsidRPr="00581C3B">
        <w:rPr>
          <w:rFonts w:cs="Arial"/>
          <w:sz w:val="24"/>
          <w:szCs w:val="24"/>
        </w:rPr>
        <w:t>property</w:t>
      </w:r>
      <w:r w:rsidR="008D3B57" w:rsidRPr="00581C3B">
        <w:rPr>
          <w:rFonts w:cs="Arial"/>
          <w:sz w:val="24"/>
          <w:szCs w:val="24"/>
        </w:rPr>
        <w:t xml:space="preserve"> protection</w:t>
      </w:r>
      <w:r w:rsidR="00B573CF" w:rsidRPr="00581C3B">
        <w:rPr>
          <w:rFonts w:cs="Arial"/>
          <w:sz w:val="24"/>
          <w:szCs w:val="24"/>
        </w:rPr>
        <w:t xml:space="preserve"> only</w:t>
      </w:r>
      <w:r w:rsidR="008D3B57" w:rsidRPr="00581C3B">
        <w:rPr>
          <w:rFonts w:cs="Arial"/>
          <w:sz w:val="24"/>
          <w:szCs w:val="24"/>
        </w:rPr>
        <w:t xml:space="preserve"> and does not cover the protection of human lives.  We have considered whether the specific defence to the </w:t>
      </w:r>
      <w:r w:rsidRPr="00581C3B">
        <w:rPr>
          <w:rFonts w:cs="Arial"/>
          <w:sz w:val="24"/>
          <w:szCs w:val="24"/>
        </w:rPr>
        <w:t>Interference O</w:t>
      </w:r>
      <w:r w:rsidR="008D3B57" w:rsidRPr="00581C3B">
        <w:rPr>
          <w:rFonts w:cs="Arial"/>
          <w:sz w:val="24"/>
          <w:szCs w:val="24"/>
        </w:rPr>
        <w:t xml:space="preserve">ffences should provide for the protection of life and/or prevention of physical harm to a person.  </w:t>
      </w:r>
      <w:r w:rsidRPr="00581C3B">
        <w:rPr>
          <w:rFonts w:cs="Arial"/>
          <w:sz w:val="24"/>
          <w:szCs w:val="24"/>
        </w:rPr>
        <w:t>We believe that t</w:t>
      </w:r>
      <w:r w:rsidR="008D3B57" w:rsidRPr="00581C3B">
        <w:rPr>
          <w:rFonts w:cs="Arial"/>
          <w:sz w:val="24"/>
          <w:szCs w:val="24"/>
        </w:rPr>
        <w:t xml:space="preserve">he general “reasonable excuse” defence under Recommendation 6 could cater to situations where a person interfered with computer data (or computer system) for the protection of life and/or prevention of physical harm, so it might not be necessary to propose another defence for this specific purpose.  </w:t>
      </w:r>
      <w:r w:rsidR="007C34EE" w:rsidRPr="00581C3B">
        <w:rPr>
          <w:rFonts w:cs="Arial"/>
          <w:sz w:val="24"/>
          <w:szCs w:val="24"/>
        </w:rPr>
        <w:t>W</w:t>
      </w:r>
      <w:r w:rsidR="008D3B57" w:rsidRPr="00581C3B">
        <w:rPr>
          <w:rFonts w:cs="Arial"/>
          <w:sz w:val="24"/>
          <w:szCs w:val="24"/>
        </w:rPr>
        <w:t>e are content to maintain the status quo of S64(2)(b) in this respect.</w:t>
      </w:r>
    </w:p>
    <w:p w14:paraId="754300CB" w14:textId="57BA2C48" w:rsidR="002A5010" w:rsidRPr="00581C3B" w:rsidRDefault="008D3B57" w:rsidP="009E33B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Our </w:t>
      </w:r>
      <w:r w:rsidRPr="00581C3B">
        <w:rPr>
          <w:rFonts w:cs="Arial"/>
          <w:b/>
          <w:sz w:val="24"/>
          <w:szCs w:val="24"/>
          <w:lang w:val="en-GB"/>
        </w:rPr>
        <w:t>Final Recommendation 6</w:t>
      </w:r>
      <w:r w:rsidRPr="00581C3B">
        <w:rPr>
          <w:rFonts w:cs="Arial"/>
          <w:sz w:val="24"/>
          <w:szCs w:val="24"/>
          <w:lang w:val="en-GB"/>
        </w:rPr>
        <w:t xml:space="preserve"> is as follows:</w:t>
      </w:r>
    </w:p>
    <w:p w14:paraId="1C419ECD" w14:textId="1EAE5436" w:rsidR="008D3B57" w:rsidRPr="00581C3B" w:rsidRDefault="008D3B57" w:rsidP="009E33B1">
      <w:pPr>
        <w:pStyle w:val="ListParagraph"/>
        <w:spacing w:after="240" w:line="240" w:lineRule="auto"/>
        <w:ind w:left="1440" w:right="720" w:hanging="720"/>
        <w:contextualSpacing w:val="0"/>
        <w:rPr>
          <w:rFonts w:cs="Arial"/>
          <w:i/>
          <w:sz w:val="24"/>
          <w:szCs w:val="24"/>
        </w:rPr>
      </w:pPr>
      <w:r w:rsidRPr="00581C3B">
        <w:rPr>
          <w:rFonts w:cs="Arial"/>
          <w:i/>
          <w:sz w:val="24"/>
          <w:szCs w:val="24"/>
          <w:lang w:val="en-GB"/>
        </w:rPr>
        <w:t>“</w:t>
      </w:r>
      <w:r w:rsidRPr="00581C3B">
        <w:rPr>
          <w:rFonts w:cs="Arial"/>
          <w:i/>
          <w:sz w:val="24"/>
          <w:szCs w:val="24"/>
        </w:rPr>
        <w:t>We recommend that:</w:t>
      </w:r>
    </w:p>
    <w:p w14:paraId="20E15098" w14:textId="7F4B3EAA" w:rsidR="008D3B57" w:rsidRPr="00581C3B" w:rsidRDefault="008D3B57" w:rsidP="009E33B1">
      <w:pPr>
        <w:pStyle w:val="ListParagraph"/>
        <w:numPr>
          <w:ilvl w:val="0"/>
          <w:numId w:val="30"/>
        </w:numPr>
        <w:spacing w:after="240" w:line="240" w:lineRule="auto"/>
        <w:ind w:left="1440" w:right="720" w:hanging="720"/>
        <w:contextualSpacing w:val="0"/>
        <w:rPr>
          <w:rFonts w:cs="Arial"/>
          <w:i/>
          <w:sz w:val="24"/>
          <w:szCs w:val="24"/>
          <w:lang w:val="en-GB"/>
        </w:rPr>
      </w:pPr>
      <w:r w:rsidRPr="00581C3B">
        <w:rPr>
          <w:rFonts w:cs="Arial"/>
          <w:i/>
          <w:sz w:val="24"/>
          <w:szCs w:val="24"/>
        </w:rPr>
        <w:t xml:space="preserve">Subject to a statutory defence of reasonable excuse, intentional interference (damaging, deletion, deterioration, alteration or suppression) </w:t>
      </w:r>
      <w:r w:rsidR="006C48DA" w:rsidRPr="00581C3B">
        <w:rPr>
          <w:rFonts w:cs="Arial"/>
          <w:i/>
          <w:sz w:val="24"/>
          <w:szCs w:val="24"/>
        </w:rPr>
        <w:t>with</w:t>
      </w:r>
      <w:r w:rsidRPr="00581C3B">
        <w:rPr>
          <w:rFonts w:cs="Arial"/>
          <w:i/>
          <w:sz w:val="24"/>
          <w:szCs w:val="24"/>
        </w:rPr>
        <w:t xml:space="preserve"> computer data without lawful authority should be an offence under the new legislation.</w:t>
      </w:r>
    </w:p>
    <w:p w14:paraId="1C1A901B" w14:textId="2071BC57" w:rsidR="008D3B57" w:rsidRPr="00581C3B" w:rsidRDefault="008D3B57" w:rsidP="00E031B1">
      <w:pPr>
        <w:pStyle w:val="ListParagraph"/>
        <w:widowControl/>
        <w:numPr>
          <w:ilvl w:val="0"/>
          <w:numId w:val="30"/>
        </w:numPr>
        <w:spacing w:after="240" w:line="240" w:lineRule="auto"/>
        <w:ind w:left="1440" w:right="720" w:hanging="720"/>
        <w:contextualSpacing w:val="0"/>
        <w:rPr>
          <w:rFonts w:cs="Arial"/>
          <w:i/>
          <w:sz w:val="24"/>
          <w:szCs w:val="24"/>
          <w:lang w:val="en-GB"/>
        </w:rPr>
      </w:pPr>
      <w:r w:rsidRPr="00581C3B">
        <w:rPr>
          <w:rFonts w:cs="Arial"/>
          <w:i/>
          <w:sz w:val="24"/>
          <w:szCs w:val="24"/>
        </w:rPr>
        <w:t>The new legislation should adopt the following features under the Crimes Ordinance (Cap 200):</w:t>
      </w:r>
    </w:p>
    <w:p w14:paraId="46530735" w14:textId="43EC32C6" w:rsidR="008D3B57" w:rsidRPr="00581C3B" w:rsidRDefault="008D3B57" w:rsidP="0090149F">
      <w:pPr>
        <w:pStyle w:val="ListParagraph"/>
        <w:widowControl/>
        <w:numPr>
          <w:ilvl w:val="0"/>
          <w:numId w:val="31"/>
        </w:numPr>
        <w:spacing w:afterLines="50" w:after="120" w:line="240" w:lineRule="auto"/>
        <w:ind w:left="2160" w:right="720"/>
        <w:contextualSpacing w:val="0"/>
        <w:rPr>
          <w:rFonts w:cs="Arial"/>
          <w:i/>
          <w:sz w:val="24"/>
          <w:szCs w:val="24"/>
          <w:lang w:val="en-GB"/>
        </w:rPr>
      </w:pPr>
      <w:r w:rsidRPr="00581C3B">
        <w:rPr>
          <w:rFonts w:cs="Arial"/>
          <w:i/>
          <w:sz w:val="24"/>
          <w:szCs w:val="24"/>
        </w:rPr>
        <w:t>the actus reus under section 59(1A)(a), (b) and (c);</w:t>
      </w:r>
    </w:p>
    <w:p w14:paraId="5764B34B" w14:textId="3F91F7C6" w:rsidR="008D3B57" w:rsidRPr="00581C3B" w:rsidRDefault="008D3B57" w:rsidP="0090149F">
      <w:pPr>
        <w:pStyle w:val="ListParagraph"/>
        <w:widowControl/>
        <w:numPr>
          <w:ilvl w:val="0"/>
          <w:numId w:val="31"/>
        </w:numPr>
        <w:spacing w:afterLines="50" w:after="120" w:line="240" w:lineRule="auto"/>
        <w:ind w:left="2160" w:right="720"/>
        <w:contextualSpacing w:val="0"/>
        <w:rPr>
          <w:rFonts w:cs="Arial"/>
          <w:i/>
          <w:sz w:val="24"/>
          <w:szCs w:val="24"/>
          <w:lang w:val="en-GB"/>
        </w:rPr>
      </w:pPr>
      <w:r w:rsidRPr="00581C3B">
        <w:rPr>
          <w:rFonts w:cs="Arial"/>
          <w:i/>
          <w:sz w:val="24"/>
          <w:szCs w:val="24"/>
        </w:rPr>
        <w:t>the mens rea under section 60(1) (which requires intent or recklessness, instead of malice);</w:t>
      </w:r>
    </w:p>
    <w:p w14:paraId="5DDB378D" w14:textId="405F823E" w:rsidR="008D3B57" w:rsidRPr="00581C3B" w:rsidRDefault="008D3B57" w:rsidP="0090149F">
      <w:pPr>
        <w:pStyle w:val="ListParagraph"/>
        <w:widowControl/>
        <w:numPr>
          <w:ilvl w:val="0"/>
          <w:numId w:val="31"/>
        </w:numPr>
        <w:spacing w:afterLines="50" w:after="120" w:line="240" w:lineRule="auto"/>
        <w:ind w:left="2160" w:right="720"/>
        <w:contextualSpacing w:val="0"/>
        <w:rPr>
          <w:rFonts w:cs="Arial"/>
          <w:i/>
          <w:sz w:val="24"/>
          <w:szCs w:val="24"/>
          <w:lang w:val="en-GB"/>
        </w:rPr>
      </w:pPr>
      <w:r w:rsidRPr="00581C3B">
        <w:rPr>
          <w:rFonts w:cs="Arial"/>
          <w:i/>
          <w:sz w:val="24"/>
          <w:szCs w:val="24"/>
        </w:rPr>
        <w:t>the two defences identified under section 64(2) subject to such refinement as may be required for their proper articulation in the light of the reformulation of the offence under paragraph (a) above, while preserving any other lawful excuse or defence recognised by law; and</w:t>
      </w:r>
    </w:p>
    <w:p w14:paraId="2B14694E" w14:textId="0F91E82D" w:rsidR="008D3B57" w:rsidRPr="00581C3B" w:rsidRDefault="008D3B57" w:rsidP="00E031B1">
      <w:pPr>
        <w:pStyle w:val="ListParagraph"/>
        <w:widowControl/>
        <w:numPr>
          <w:ilvl w:val="0"/>
          <w:numId w:val="31"/>
        </w:numPr>
        <w:spacing w:after="240" w:line="240" w:lineRule="auto"/>
        <w:ind w:left="2160" w:right="720"/>
        <w:contextualSpacing w:val="0"/>
        <w:rPr>
          <w:rFonts w:cs="Arial"/>
          <w:i/>
          <w:sz w:val="24"/>
          <w:szCs w:val="24"/>
          <w:lang w:val="en-GB"/>
        </w:rPr>
      </w:pPr>
      <w:r w:rsidRPr="00581C3B">
        <w:rPr>
          <w:rFonts w:cs="Arial"/>
          <w:i/>
          <w:sz w:val="24"/>
          <w:szCs w:val="24"/>
        </w:rPr>
        <w:t>the aggravated offence under section 60(2).</w:t>
      </w:r>
    </w:p>
    <w:p w14:paraId="5478E951" w14:textId="51EBE530" w:rsidR="008D3B57" w:rsidRPr="00581C3B" w:rsidRDefault="008D3B57" w:rsidP="00E031B1">
      <w:pPr>
        <w:pStyle w:val="ListParagraph"/>
        <w:widowControl/>
        <w:numPr>
          <w:ilvl w:val="0"/>
          <w:numId w:val="30"/>
        </w:numPr>
        <w:spacing w:after="240" w:line="240" w:lineRule="auto"/>
        <w:ind w:left="1440" w:right="720" w:hanging="720"/>
        <w:contextualSpacing w:val="0"/>
        <w:rPr>
          <w:rFonts w:cs="Arial"/>
          <w:i/>
          <w:sz w:val="24"/>
          <w:szCs w:val="24"/>
          <w:lang w:val="en-GB"/>
        </w:rPr>
      </w:pPr>
      <w:r w:rsidRPr="00581C3B">
        <w:rPr>
          <w:rFonts w:hint="eastAsia"/>
          <w:i/>
          <w:sz w:val="24"/>
          <w:szCs w:val="24"/>
        </w:rPr>
        <w:lastRenderedPageBreak/>
        <w:t>The</w:t>
      </w:r>
      <w:r w:rsidRPr="00581C3B">
        <w:rPr>
          <w:i/>
          <w:sz w:val="24"/>
          <w:szCs w:val="24"/>
        </w:rPr>
        <w:t xml:space="preserve"> </w:t>
      </w:r>
      <w:r w:rsidRPr="00581C3B">
        <w:rPr>
          <w:rFonts w:cs="Arial"/>
          <w:i/>
          <w:sz w:val="24"/>
          <w:szCs w:val="24"/>
        </w:rPr>
        <w:t>two defences covered under section 64(2) apply to situations where a defendant:</w:t>
      </w:r>
    </w:p>
    <w:p w14:paraId="61C43B9A" w14:textId="5578D4B0" w:rsidR="008D3B57" w:rsidRPr="00581C3B" w:rsidRDefault="008D3B57" w:rsidP="0090149F">
      <w:pPr>
        <w:pStyle w:val="ListParagraph"/>
        <w:widowControl/>
        <w:numPr>
          <w:ilvl w:val="0"/>
          <w:numId w:val="32"/>
        </w:numPr>
        <w:spacing w:afterLines="50" w:after="120" w:line="240" w:lineRule="auto"/>
        <w:ind w:left="2160" w:right="720"/>
        <w:contextualSpacing w:val="0"/>
        <w:rPr>
          <w:rFonts w:cs="Arial"/>
          <w:i/>
          <w:sz w:val="24"/>
          <w:szCs w:val="24"/>
          <w:lang w:val="en-GB"/>
        </w:rPr>
      </w:pPr>
      <w:r w:rsidRPr="00581C3B">
        <w:rPr>
          <w:rFonts w:cs="Arial"/>
          <w:i/>
          <w:sz w:val="24"/>
          <w:szCs w:val="24"/>
        </w:rPr>
        <w:t>interfered with computer data in the belief that his act was, or would be, consented to; or</w:t>
      </w:r>
    </w:p>
    <w:p w14:paraId="17844E90" w14:textId="685E0124" w:rsidR="008D3B57" w:rsidRPr="00581C3B" w:rsidRDefault="008D3B57" w:rsidP="00E031B1">
      <w:pPr>
        <w:pStyle w:val="ListParagraph"/>
        <w:widowControl/>
        <w:numPr>
          <w:ilvl w:val="0"/>
          <w:numId w:val="32"/>
        </w:numPr>
        <w:spacing w:after="240" w:line="240" w:lineRule="auto"/>
        <w:ind w:left="2160" w:right="720"/>
        <w:contextualSpacing w:val="0"/>
        <w:rPr>
          <w:rFonts w:cs="Arial"/>
          <w:i/>
          <w:sz w:val="24"/>
          <w:szCs w:val="24"/>
          <w:lang w:val="en-GB"/>
        </w:rPr>
      </w:pPr>
      <w:r w:rsidRPr="00581C3B">
        <w:rPr>
          <w:rFonts w:cs="Arial"/>
          <w:i/>
          <w:sz w:val="24"/>
          <w:szCs w:val="24"/>
        </w:rPr>
        <w:t>interfered with computer data in the belief that the property was in immediate need of protection, and the means of protection adopted was reasonable having regard to all the circumstances.</w:t>
      </w:r>
    </w:p>
    <w:p w14:paraId="795E9F96" w14:textId="3CB7A2FD" w:rsidR="008D3B57" w:rsidRPr="00581C3B" w:rsidRDefault="008D3B57" w:rsidP="00A22E61">
      <w:pPr>
        <w:pStyle w:val="ListParagraph"/>
        <w:widowControl/>
        <w:spacing w:after="240" w:line="240" w:lineRule="auto"/>
        <w:ind w:left="1440" w:right="720"/>
        <w:contextualSpacing w:val="0"/>
        <w:rPr>
          <w:rFonts w:cs="Arial"/>
          <w:i/>
          <w:sz w:val="24"/>
          <w:szCs w:val="24"/>
          <w:lang w:val="en-GB"/>
        </w:rPr>
      </w:pPr>
      <w:r w:rsidRPr="00581C3B">
        <w:rPr>
          <w:rFonts w:cs="Arial"/>
          <w:i/>
          <w:sz w:val="24"/>
          <w:szCs w:val="24"/>
        </w:rPr>
        <w:t>The defendant’s belief under both the consent defence and the property protection defence must be reasonably held.</w:t>
      </w:r>
    </w:p>
    <w:p w14:paraId="785C2BC1" w14:textId="6D3C783F" w:rsidR="008D3B57" w:rsidRPr="00581C3B" w:rsidRDefault="008D3B57" w:rsidP="00E031B1">
      <w:pPr>
        <w:pStyle w:val="ListParagraph"/>
        <w:widowControl/>
        <w:numPr>
          <w:ilvl w:val="0"/>
          <w:numId w:val="30"/>
        </w:numPr>
        <w:spacing w:after="240" w:line="240" w:lineRule="auto"/>
        <w:ind w:left="1440" w:right="720" w:hanging="720"/>
        <w:contextualSpacing w:val="0"/>
        <w:rPr>
          <w:rFonts w:cs="Arial"/>
          <w:i/>
          <w:sz w:val="24"/>
          <w:szCs w:val="24"/>
          <w:lang w:val="en-GB"/>
        </w:rPr>
      </w:pPr>
      <w:r w:rsidRPr="00581C3B">
        <w:rPr>
          <w:rFonts w:cs="Arial"/>
          <w:i/>
          <w:sz w:val="24"/>
          <w:szCs w:val="24"/>
        </w:rPr>
        <w:t xml:space="preserve">The above provisions regarding </w:t>
      </w:r>
      <w:r w:rsidR="00923B78">
        <w:rPr>
          <w:rFonts w:cs="Arial"/>
          <w:i/>
          <w:sz w:val="24"/>
          <w:szCs w:val="24"/>
        </w:rPr>
        <w:t>‘</w:t>
      </w:r>
      <w:r w:rsidRPr="00581C3B">
        <w:rPr>
          <w:rFonts w:cs="Arial"/>
          <w:i/>
          <w:sz w:val="24"/>
          <w:szCs w:val="24"/>
        </w:rPr>
        <w:t>misuse of a computer</w:t>
      </w:r>
      <w:r w:rsidR="00923B78">
        <w:rPr>
          <w:rFonts w:cs="Arial"/>
          <w:i/>
          <w:sz w:val="24"/>
          <w:szCs w:val="24"/>
        </w:rPr>
        <w:t>’</w:t>
      </w:r>
      <w:r w:rsidRPr="00581C3B">
        <w:rPr>
          <w:rFonts w:cs="Arial"/>
          <w:i/>
          <w:sz w:val="24"/>
          <w:szCs w:val="24"/>
        </w:rPr>
        <w:t xml:space="preserve"> should be separated from the offence of criminal damage and adopted in the new legi</w:t>
      </w:r>
      <w:r w:rsidR="0090149F">
        <w:rPr>
          <w:rFonts w:cs="Arial"/>
          <w:i/>
          <w:sz w:val="24"/>
          <w:szCs w:val="24"/>
        </w:rPr>
        <w:t>slation, while deleting section </w:t>
      </w:r>
      <w:r w:rsidRPr="00581C3B">
        <w:rPr>
          <w:rFonts w:cs="Arial"/>
          <w:i/>
          <w:sz w:val="24"/>
          <w:szCs w:val="24"/>
        </w:rPr>
        <w:t>59(1)(b) and (1A) of the Crimes</w:t>
      </w:r>
      <w:r w:rsidR="0090149F">
        <w:rPr>
          <w:rFonts w:cs="Arial"/>
          <w:i/>
          <w:sz w:val="24"/>
          <w:szCs w:val="24"/>
        </w:rPr>
        <w:t xml:space="preserve"> Ordinance (Cap </w:t>
      </w:r>
      <w:r w:rsidRPr="00581C3B">
        <w:rPr>
          <w:rFonts w:cs="Arial"/>
          <w:i/>
          <w:sz w:val="24"/>
          <w:szCs w:val="24"/>
        </w:rPr>
        <w:t>200).</w:t>
      </w:r>
    </w:p>
    <w:p w14:paraId="59AE3B87" w14:textId="3715D1C1" w:rsidR="008D3B57" w:rsidRPr="00581C3B" w:rsidRDefault="008D3B57" w:rsidP="00E031B1">
      <w:pPr>
        <w:pStyle w:val="ListParagraph"/>
        <w:widowControl/>
        <w:numPr>
          <w:ilvl w:val="0"/>
          <w:numId w:val="30"/>
        </w:numPr>
        <w:spacing w:after="240" w:line="240" w:lineRule="auto"/>
        <w:ind w:left="1440" w:right="720" w:hanging="720"/>
        <w:contextualSpacing w:val="0"/>
        <w:rPr>
          <w:rFonts w:cs="Arial"/>
          <w:i/>
          <w:sz w:val="24"/>
          <w:szCs w:val="24"/>
          <w:lang w:val="en-GB"/>
        </w:rPr>
      </w:pPr>
      <w:r w:rsidRPr="00581C3B">
        <w:rPr>
          <w:rFonts w:cs="Arial" w:hint="eastAsia"/>
          <w:i/>
          <w:sz w:val="24"/>
          <w:szCs w:val="24"/>
        </w:rPr>
        <w:t>The</w:t>
      </w:r>
      <w:r w:rsidRPr="00581C3B">
        <w:rPr>
          <w:rFonts w:cs="Arial"/>
          <w:i/>
          <w:sz w:val="24"/>
          <w:szCs w:val="24"/>
        </w:rPr>
        <w:t>re should be a specific defence for illegal interference with computer data for cybersecurity purposes</w:t>
      </w:r>
      <w:r w:rsidR="00975646" w:rsidRPr="00581C3B">
        <w:rPr>
          <w:rFonts w:cs="Arial"/>
          <w:i/>
          <w:sz w:val="24"/>
          <w:szCs w:val="24"/>
        </w:rPr>
        <w:t xml:space="preserve"> with the following conditions</w:t>
      </w:r>
      <w:r w:rsidRPr="00581C3B">
        <w:rPr>
          <w:rFonts w:cs="Arial"/>
          <w:i/>
          <w:sz w:val="24"/>
          <w:szCs w:val="24"/>
        </w:rPr>
        <w:t>:</w:t>
      </w:r>
    </w:p>
    <w:p w14:paraId="76E11534" w14:textId="254B5ED9" w:rsidR="008D3B57" w:rsidRPr="00581C3B" w:rsidRDefault="00081134" w:rsidP="0090149F">
      <w:pPr>
        <w:pStyle w:val="ListParagraph"/>
        <w:widowControl/>
        <w:numPr>
          <w:ilvl w:val="0"/>
          <w:numId w:val="33"/>
        </w:numPr>
        <w:spacing w:afterLines="50" w:after="120" w:line="240" w:lineRule="auto"/>
        <w:ind w:left="2160" w:right="720"/>
        <w:contextualSpacing w:val="0"/>
        <w:rPr>
          <w:rFonts w:cs="Arial"/>
          <w:i/>
          <w:sz w:val="24"/>
          <w:szCs w:val="24"/>
          <w:lang w:val="en-GB"/>
        </w:rPr>
      </w:pPr>
      <w:r>
        <w:rPr>
          <w:rFonts w:cs="Arial"/>
          <w:i/>
          <w:sz w:val="24"/>
          <w:szCs w:val="24"/>
        </w:rPr>
        <w:t>T</w:t>
      </w:r>
      <w:r w:rsidR="008D3B57" w:rsidRPr="00581C3B">
        <w:rPr>
          <w:rFonts w:cs="Arial"/>
          <w:i/>
          <w:sz w:val="24"/>
          <w:szCs w:val="24"/>
        </w:rPr>
        <w:t xml:space="preserve">he defendant must be an accredited cybersecurity practitioner (the details of the accreditation regime, which are essentially matters of policy, are best left to </w:t>
      </w:r>
      <w:r w:rsidR="00975646" w:rsidRPr="00581C3B">
        <w:rPr>
          <w:rFonts w:cs="Arial"/>
          <w:i/>
          <w:sz w:val="24"/>
          <w:szCs w:val="24"/>
        </w:rPr>
        <w:t>the Government’s consideration);</w:t>
      </w:r>
    </w:p>
    <w:p w14:paraId="64E9DC0A" w14:textId="4203B05E" w:rsidR="008D3B57" w:rsidRPr="00581C3B" w:rsidRDefault="00081134" w:rsidP="0090149F">
      <w:pPr>
        <w:pStyle w:val="ListParagraph"/>
        <w:widowControl/>
        <w:numPr>
          <w:ilvl w:val="0"/>
          <w:numId w:val="33"/>
        </w:numPr>
        <w:spacing w:afterLines="50" w:after="120" w:line="240" w:lineRule="auto"/>
        <w:ind w:left="2160" w:right="720"/>
        <w:contextualSpacing w:val="0"/>
        <w:rPr>
          <w:rFonts w:cs="Arial"/>
          <w:i/>
          <w:sz w:val="24"/>
          <w:szCs w:val="24"/>
          <w:lang w:val="en-GB"/>
        </w:rPr>
      </w:pPr>
      <w:r>
        <w:rPr>
          <w:rFonts w:cs="Arial"/>
          <w:i/>
          <w:sz w:val="24"/>
          <w:szCs w:val="24"/>
        </w:rPr>
        <w:t>T</w:t>
      </w:r>
      <w:r w:rsidR="008D3B57" w:rsidRPr="00581C3B">
        <w:rPr>
          <w:rFonts w:cs="Arial"/>
          <w:i/>
          <w:sz w:val="24"/>
          <w:szCs w:val="24"/>
        </w:rPr>
        <w:t xml:space="preserve">he defendant must act for </w:t>
      </w:r>
      <w:r w:rsidR="00975646" w:rsidRPr="00581C3B">
        <w:rPr>
          <w:rFonts w:cs="Arial"/>
          <w:i/>
          <w:sz w:val="24"/>
          <w:szCs w:val="24"/>
        </w:rPr>
        <w:t>a genuine cybersecurity purpose; and</w:t>
      </w:r>
    </w:p>
    <w:p w14:paraId="1D1A4418" w14:textId="51AC7A2F" w:rsidR="008D3B57" w:rsidRPr="00581C3B" w:rsidRDefault="00081134" w:rsidP="00E031B1">
      <w:pPr>
        <w:pStyle w:val="ListParagraph"/>
        <w:widowControl/>
        <w:numPr>
          <w:ilvl w:val="0"/>
          <w:numId w:val="33"/>
        </w:numPr>
        <w:spacing w:after="240" w:line="240" w:lineRule="auto"/>
        <w:ind w:left="2160" w:right="720"/>
        <w:contextualSpacing w:val="0"/>
        <w:rPr>
          <w:rFonts w:cs="Arial"/>
          <w:i/>
          <w:sz w:val="24"/>
          <w:szCs w:val="24"/>
          <w:lang w:val="en-GB"/>
        </w:rPr>
      </w:pPr>
      <w:r>
        <w:rPr>
          <w:rFonts w:cs="Arial"/>
          <w:i/>
          <w:sz w:val="24"/>
          <w:szCs w:val="24"/>
          <w:lang w:val="en-GB"/>
        </w:rPr>
        <w:t>T</w:t>
      </w:r>
      <w:r w:rsidR="008D3B57" w:rsidRPr="00581C3B">
        <w:rPr>
          <w:rFonts w:cs="Arial"/>
          <w:i/>
          <w:sz w:val="24"/>
          <w:szCs w:val="24"/>
        </w:rPr>
        <w:t>he defendant’s conduct must be reasonable having regard to all the circumstances.”</w:t>
      </w:r>
    </w:p>
    <w:p w14:paraId="65D62D4E" w14:textId="1EB360BE" w:rsidR="005C48C8" w:rsidRPr="00581C3B" w:rsidRDefault="0024442E" w:rsidP="00E031B1">
      <w:pPr>
        <w:pStyle w:val="Heading1"/>
        <w:spacing w:beforeLines="200" w:before="480" w:after="240"/>
        <w:rPr>
          <w:rFonts w:cs="Arial"/>
          <w:sz w:val="28"/>
          <w:szCs w:val="28"/>
        </w:rPr>
      </w:pPr>
      <w:r w:rsidRPr="00581C3B">
        <w:rPr>
          <w:rFonts w:cs="Arial"/>
          <w:sz w:val="28"/>
          <w:szCs w:val="28"/>
        </w:rPr>
        <w:t xml:space="preserve">Chapter 5: </w:t>
      </w:r>
      <w:r w:rsidR="004B7EC6" w:rsidRPr="00581C3B">
        <w:rPr>
          <w:rFonts w:cs="Arial"/>
          <w:sz w:val="28"/>
          <w:szCs w:val="28"/>
        </w:rPr>
        <w:t xml:space="preserve">Illegal interference </w:t>
      </w:r>
      <w:r w:rsidR="00C94A0A" w:rsidRPr="00581C3B">
        <w:rPr>
          <w:rFonts w:cs="Arial"/>
          <w:sz w:val="28"/>
          <w:szCs w:val="28"/>
        </w:rPr>
        <w:t>with</w:t>
      </w:r>
      <w:r w:rsidR="004B7EC6" w:rsidRPr="00581C3B">
        <w:rPr>
          <w:rFonts w:cs="Arial"/>
          <w:sz w:val="28"/>
          <w:szCs w:val="28"/>
        </w:rPr>
        <w:t xml:space="preserve"> computer system</w:t>
      </w:r>
    </w:p>
    <w:p w14:paraId="6494F142" w14:textId="637A2EB7" w:rsidR="001C5505" w:rsidRPr="00581C3B" w:rsidRDefault="00C1367F"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As Hong Kong law currently addresses illegal interference with computer data and that of computer system by treating both as “</w:t>
      </w:r>
      <w:r w:rsidRPr="00B924D1">
        <w:rPr>
          <w:rFonts w:cs="Arial"/>
          <w:i/>
          <w:sz w:val="24"/>
          <w:szCs w:val="24"/>
          <w:lang w:val="en-GB"/>
        </w:rPr>
        <w:t>misuse of a computer</w:t>
      </w:r>
      <w:r w:rsidRPr="00581C3B">
        <w:rPr>
          <w:rFonts w:cs="Arial"/>
          <w:sz w:val="24"/>
          <w:szCs w:val="24"/>
          <w:lang w:val="en-GB"/>
        </w:rPr>
        <w:t xml:space="preserve">” (which is a form of criminal damage), Recommendation 7 of the CP </w:t>
      </w:r>
      <w:r w:rsidR="000E00BE" w:rsidRPr="00581C3B">
        <w:rPr>
          <w:rFonts w:cs="Arial"/>
          <w:sz w:val="24"/>
          <w:szCs w:val="24"/>
          <w:lang w:val="en-GB"/>
        </w:rPr>
        <w:t xml:space="preserve">proposed </w:t>
      </w:r>
      <w:r w:rsidR="008050F0" w:rsidRPr="00581C3B">
        <w:rPr>
          <w:rFonts w:cs="Arial"/>
          <w:sz w:val="24"/>
          <w:szCs w:val="24"/>
          <w:lang w:val="en-GB"/>
        </w:rPr>
        <w:t xml:space="preserve">to phrase </w:t>
      </w:r>
      <w:r w:rsidR="000E00BE" w:rsidRPr="00581C3B">
        <w:rPr>
          <w:rFonts w:cs="Arial"/>
          <w:sz w:val="24"/>
          <w:szCs w:val="24"/>
          <w:lang w:val="en-GB"/>
        </w:rPr>
        <w:t>the provisions regarding illegal interference</w:t>
      </w:r>
      <w:r w:rsidRPr="00581C3B">
        <w:rPr>
          <w:rFonts w:cs="Arial"/>
          <w:sz w:val="24"/>
          <w:szCs w:val="24"/>
          <w:lang w:val="en-GB"/>
        </w:rPr>
        <w:t xml:space="preserve"> </w:t>
      </w:r>
      <w:r w:rsidR="000E00BE" w:rsidRPr="00581C3B">
        <w:rPr>
          <w:rFonts w:cs="Arial"/>
          <w:sz w:val="24"/>
          <w:szCs w:val="24"/>
          <w:lang w:val="en-GB"/>
        </w:rPr>
        <w:t>with computer data and that of computer system in the same way</w:t>
      </w:r>
      <w:r w:rsidR="001C5505" w:rsidRPr="00581C3B">
        <w:rPr>
          <w:rFonts w:cs="Arial"/>
          <w:sz w:val="24"/>
          <w:szCs w:val="24"/>
          <w:lang w:val="en-GB"/>
        </w:rPr>
        <w:t>.</w:t>
      </w:r>
    </w:p>
    <w:p w14:paraId="159D29C0" w14:textId="2CE24D09" w:rsidR="000E00BE" w:rsidRPr="00581C3B" w:rsidRDefault="00CA2559" w:rsidP="00D42EF7">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As the offences of illegal interference with computer system is closely related to that of illegal interference with computer data, Recommendation 7 was </w:t>
      </w:r>
      <w:r w:rsidR="008050F0" w:rsidRPr="00581C3B">
        <w:rPr>
          <w:rFonts w:cs="Arial"/>
          <w:sz w:val="24"/>
          <w:szCs w:val="24"/>
          <w:lang w:val="en-GB"/>
        </w:rPr>
        <w:t xml:space="preserve">likewise </w:t>
      </w:r>
      <w:r w:rsidRPr="00581C3B">
        <w:rPr>
          <w:rFonts w:cs="Arial"/>
          <w:sz w:val="24"/>
          <w:szCs w:val="24"/>
          <w:lang w:val="en-GB"/>
        </w:rPr>
        <w:t>supported by an overwhelming majority of t</w:t>
      </w:r>
      <w:r w:rsidR="000E00BE" w:rsidRPr="00581C3B">
        <w:rPr>
          <w:rFonts w:cs="Arial"/>
          <w:sz w:val="24"/>
          <w:szCs w:val="24"/>
          <w:lang w:val="en-GB"/>
        </w:rPr>
        <w:t>he Respondents</w:t>
      </w:r>
      <w:r w:rsidRPr="00581C3B">
        <w:rPr>
          <w:rFonts w:cs="Arial"/>
          <w:sz w:val="24"/>
          <w:szCs w:val="24"/>
          <w:lang w:val="en-GB"/>
        </w:rPr>
        <w:t xml:space="preserve">, whose responses on Recommendation 7 were largely similar to those on Recommendation 6.  We repeat our analysis in paragraphs </w:t>
      </w:r>
      <w:r w:rsidR="008050F0" w:rsidRPr="00581C3B">
        <w:rPr>
          <w:rFonts w:cs="Arial"/>
          <w:sz w:val="24"/>
          <w:szCs w:val="24"/>
          <w:lang w:val="en-GB"/>
        </w:rPr>
        <w:t>5</w:t>
      </w:r>
      <w:r w:rsidR="009F5BF3">
        <w:rPr>
          <w:rFonts w:cs="Arial"/>
          <w:sz w:val="24"/>
          <w:szCs w:val="24"/>
          <w:lang w:val="en-GB"/>
        </w:rPr>
        <w:t>1</w:t>
      </w:r>
      <w:r w:rsidRPr="00581C3B">
        <w:rPr>
          <w:rFonts w:cs="Arial"/>
          <w:sz w:val="24"/>
          <w:szCs w:val="24"/>
          <w:lang w:val="en-GB"/>
        </w:rPr>
        <w:t xml:space="preserve"> to </w:t>
      </w:r>
      <w:r w:rsidR="008050F0" w:rsidRPr="00581C3B">
        <w:rPr>
          <w:rFonts w:cs="Arial"/>
          <w:sz w:val="24"/>
          <w:szCs w:val="24"/>
          <w:lang w:val="en-GB"/>
        </w:rPr>
        <w:t>6</w:t>
      </w:r>
      <w:r w:rsidR="009F5BF3">
        <w:rPr>
          <w:rFonts w:cs="Arial"/>
          <w:sz w:val="24"/>
          <w:szCs w:val="24"/>
          <w:lang w:val="en-GB"/>
        </w:rPr>
        <w:t>3</w:t>
      </w:r>
      <w:r w:rsidRPr="00581C3B">
        <w:rPr>
          <w:rFonts w:cs="Arial"/>
          <w:sz w:val="24"/>
          <w:szCs w:val="24"/>
          <w:lang w:val="en-GB"/>
        </w:rPr>
        <w:t xml:space="preserve"> above and make o</w:t>
      </w:r>
      <w:r w:rsidR="000E00BE" w:rsidRPr="00581C3B">
        <w:rPr>
          <w:rFonts w:cs="Arial"/>
          <w:sz w:val="24"/>
          <w:szCs w:val="24"/>
          <w:lang w:val="en-GB"/>
        </w:rPr>
        <w:t xml:space="preserve">ur </w:t>
      </w:r>
      <w:r w:rsidR="000E00BE" w:rsidRPr="00581C3B">
        <w:rPr>
          <w:rFonts w:cs="Arial"/>
          <w:b/>
          <w:sz w:val="24"/>
          <w:szCs w:val="24"/>
          <w:lang w:val="en-GB"/>
        </w:rPr>
        <w:t>Final Recommendation 7</w:t>
      </w:r>
      <w:r w:rsidR="000E00BE" w:rsidRPr="00581C3B">
        <w:rPr>
          <w:rFonts w:cs="Arial"/>
          <w:sz w:val="24"/>
          <w:szCs w:val="24"/>
          <w:lang w:val="en-GB"/>
        </w:rPr>
        <w:t xml:space="preserve"> as follows:</w:t>
      </w:r>
    </w:p>
    <w:p w14:paraId="495776F4" w14:textId="77777777" w:rsidR="000E00BE" w:rsidRPr="00581C3B" w:rsidRDefault="000E00BE" w:rsidP="00AC3A68">
      <w:pPr>
        <w:pStyle w:val="ListParagraph"/>
        <w:keepNext/>
        <w:widowControl/>
        <w:spacing w:after="240" w:line="240" w:lineRule="auto"/>
        <w:ind w:left="1440" w:right="720" w:hanging="720"/>
        <w:contextualSpacing w:val="0"/>
        <w:rPr>
          <w:rFonts w:cs="Arial"/>
          <w:i/>
          <w:sz w:val="24"/>
          <w:szCs w:val="24"/>
        </w:rPr>
      </w:pPr>
      <w:r w:rsidRPr="00581C3B">
        <w:rPr>
          <w:rFonts w:cs="Arial"/>
          <w:i/>
          <w:sz w:val="24"/>
          <w:szCs w:val="24"/>
          <w:lang w:val="en-GB"/>
        </w:rPr>
        <w:lastRenderedPageBreak/>
        <w:t>“</w:t>
      </w:r>
      <w:r w:rsidRPr="00581C3B">
        <w:rPr>
          <w:rFonts w:cs="Arial"/>
          <w:i/>
          <w:sz w:val="24"/>
          <w:szCs w:val="24"/>
        </w:rPr>
        <w:t>We recommend that:</w:t>
      </w:r>
    </w:p>
    <w:p w14:paraId="3B7B3E11" w14:textId="49925179" w:rsidR="000E00BE" w:rsidRPr="00581C3B" w:rsidRDefault="000E00BE" w:rsidP="00AC3A68">
      <w:pPr>
        <w:pStyle w:val="ListParagraph"/>
        <w:keepNext/>
        <w:widowControl/>
        <w:numPr>
          <w:ilvl w:val="0"/>
          <w:numId w:val="34"/>
        </w:numPr>
        <w:spacing w:after="240" w:line="240" w:lineRule="auto"/>
        <w:ind w:left="1440" w:right="720" w:hanging="720"/>
        <w:contextualSpacing w:val="0"/>
        <w:rPr>
          <w:rFonts w:cs="Arial"/>
          <w:i/>
          <w:sz w:val="24"/>
          <w:szCs w:val="24"/>
        </w:rPr>
      </w:pPr>
      <w:r w:rsidRPr="00581C3B">
        <w:rPr>
          <w:rFonts w:cs="Arial"/>
          <w:i/>
          <w:sz w:val="24"/>
          <w:szCs w:val="24"/>
        </w:rPr>
        <w:t>The proposed provisions regarding the illegal interference with computer data and computer system should be phrased in the same way.</w:t>
      </w:r>
    </w:p>
    <w:p w14:paraId="0208DA56" w14:textId="5ED0F620" w:rsidR="000E00BE" w:rsidRPr="00581C3B" w:rsidRDefault="000E00BE" w:rsidP="00687A7F">
      <w:pPr>
        <w:pStyle w:val="ListParagraph"/>
        <w:widowControl/>
        <w:numPr>
          <w:ilvl w:val="0"/>
          <w:numId w:val="34"/>
        </w:numPr>
        <w:spacing w:after="240" w:line="240" w:lineRule="auto"/>
        <w:ind w:left="1440" w:right="720" w:hanging="720"/>
        <w:contextualSpacing w:val="0"/>
        <w:rPr>
          <w:rFonts w:cs="Arial"/>
          <w:i/>
          <w:sz w:val="24"/>
          <w:szCs w:val="24"/>
        </w:rPr>
      </w:pPr>
      <w:r w:rsidRPr="00581C3B">
        <w:rPr>
          <w:rFonts w:cs="Arial"/>
          <w:i/>
          <w:sz w:val="24"/>
          <w:szCs w:val="24"/>
        </w:rPr>
        <w:t>Sections 59(1A) and 60 of the Crimes Ordinance (Cap 200) suffice to prohibit the illegal interference with computer system and should also be adopted in the new legislation.</w:t>
      </w:r>
    </w:p>
    <w:p w14:paraId="3BD4B339" w14:textId="03B7C4DE" w:rsidR="000E00BE" w:rsidRPr="00581C3B" w:rsidRDefault="000E00BE" w:rsidP="00687A7F">
      <w:pPr>
        <w:pStyle w:val="ListParagraph"/>
        <w:widowControl/>
        <w:numPr>
          <w:ilvl w:val="0"/>
          <w:numId w:val="34"/>
        </w:numPr>
        <w:spacing w:after="240" w:line="240" w:lineRule="auto"/>
        <w:ind w:left="1440" w:right="720" w:hanging="720"/>
        <w:contextualSpacing w:val="0"/>
        <w:rPr>
          <w:rFonts w:cs="Arial"/>
          <w:i/>
          <w:sz w:val="24"/>
          <w:szCs w:val="24"/>
        </w:rPr>
      </w:pPr>
      <w:r w:rsidRPr="00581C3B">
        <w:rPr>
          <w:rFonts w:cs="Arial"/>
          <w:i/>
          <w:sz w:val="24"/>
          <w:szCs w:val="24"/>
        </w:rPr>
        <w:t xml:space="preserve">The new legislation should retain the breadth of the existing law and should not be too restrictive, while clarifying the phrase </w:t>
      </w:r>
      <w:r w:rsidR="00923B78">
        <w:rPr>
          <w:rFonts w:cs="Arial"/>
          <w:i/>
          <w:sz w:val="24"/>
          <w:szCs w:val="24"/>
        </w:rPr>
        <w:t>‘</w:t>
      </w:r>
      <w:r w:rsidRPr="00581C3B">
        <w:rPr>
          <w:rFonts w:cs="Arial"/>
          <w:i/>
          <w:sz w:val="24"/>
          <w:szCs w:val="24"/>
        </w:rPr>
        <w:t>misuse of a computer</w:t>
      </w:r>
      <w:r w:rsidR="00923B78">
        <w:rPr>
          <w:rFonts w:cs="Arial"/>
          <w:i/>
          <w:sz w:val="24"/>
          <w:szCs w:val="24"/>
        </w:rPr>
        <w:t>’</w:t>
      </w:r>
      <w:r w:rsidRPr="00581C3B">
        <w:rPr>
          <w:rFonts w:cs="Arial"/>
          <w:i/>
          <w:sz w:val="24"/>
          <w:szCs w:val="24"/>
        </w:rPr>
        <w:t xml:space="preserve"> as appropriat</w:t>
      </w:r>
      <w:r w:rsidR="00923B78">
        <w:rPr>
          <w:rFonts w:cs="Arial"/>
          <w:i/>
          <w:sz w:val="24"/>
          <w:szCs w:val="24"/>
        </w:rPr>
        <w:t>e (eg incorporating the notion ‘</w:t>
      </w:r>
      <w:r w:rsidRPr="00581C3B">
        <w:rPr>
          <w:rFonts w:cs="Arial"/>
          <w:i/>
          <w:sz w:val="24"/>
          <w:szCs w:val="24"/>
        </w:rPr>
        <w:t>impair the operation of any computer</w:t>
      </w:r>
      <w:r w:rsidR="00923B78">
        <w:rPr>
          <w:rFonts w:cs="Arial"/>
          <w:i/>
          <w:sz w:val="24"/>
          <w:szCs w:val="24"/>
        </w:rPr>
        <w:t>’</w:t>
      </w:r>
      <w:r w:rsidRPr="00581C3B">
        <w:rPr>
          <w:rFonts w:cs="Arial"/>
          <w:i/>
          <w:sz w:val="24"/>
          <w:szCs w:val="24"/>
        </w:rPr>
        <w:t>).</w:t>
      </w:r>
    </w:p>
    <w:p w14:paraId="0F09E1DB" w14:textId="58027341" w:rsidR="000E00BE" w:rsidRPr="00581C3B" w:rsidRDefault="000E00BE" w:rsidP="00687A7F">
      <w:pPr>
        <w:pStyle w:val="ListParagraph"/>
        <w:widowControl/>
        <w:numPr>
          <w:ilvl w:val="0"/>
          <w:numId w:val="34"/>
        </w:numPr>
        <w:spacing w:after="240" w:line="240" w:lineRule="auto"/>
        <w:ind w:left="1440" w:right="720" w:hanging="720"/>
        <w:contextualSpacing w:val="0"/>
        <w:rPr>
          <w:rFonts w:cs="Arial"/>
          <w:i/>
          <w:sz w:val="24"/>
          <w:szCs w:val="24"/>
        </w:rPr>
      </w:pPr>
      <w:r w:rsidRPr="00581C3B">
        <w:rPr>
          <w:rFonts w:cs="Arial"/>
          <w:i/>
          <w:sz w:val="24"/>
          <w:szCs w:val="24"/>
        </w:rPr>
        <w:t>The proposed offence of illegal interference with computer system should, for example, apply to a person who intentionally or recklessly:</w:t>
      </w:r>
    </w:p>
    <w:p w14:paraId="337698FD" w14:textId="44FC39B2" w:rsidR="000E00BE" w:rsidRPr="00581C3B" w:rsidRDefault="000E00BE" w:rsidP="0090149F">
      <w:pPr>
        <w:pStyle w:val="ListParagraph"/>
        <w:widowControl/>
        <w:numPr>
          <w:ilvl w:val="0"/>
          <w:numId w:val="35"/>
        </w:numPr>
        <w:spacing w:afterLines="50" w:after="120" w:line="240" w:lineRule="auto"/>
        <w:ind w:left="2160" w:right="720"/>
        <w:contextualSpacing w:val="0"/>
        <w:rPr>
          <w:rFonts w:cs="Arial"/>
          <w:i/>
          <w:sz w:val="24"/>
          <w:szCs w:val="24"/>
        </w:rPr>
      </w:pPr>
      <w:r w:rsidRPr="00581C3B">
        <w:rPr>
          <w:rFonts w:cs="Arial"/>
          <w:i/>
          <w:sz w:val="24"/>
          <w:szCs w:val="24"/>
        </w:rPr>
        <w:t>attacked a computer system</w:t>
      </w:r>
      <w:r w:rsidR="00B90684">
        <w:rPr>
          <w:rFonts w:cs="Arial"/>
          <w:i/>
          <w:sz w:val="24"/>
          <w:szCs w:val="24"/>
        </w:rPr>
        <w:t>,</w:t>
      </w:r>
      <w:r w:rsidRPr="00581C3B">
        <w:rPr>
          <w:rFonts w:cs="Arial"/>
          <w:i/>
          <w:sz w:val="24"/>
          <w:szCs w:val="24"/>
        </w:rPr>
        <w:t xml:space="preserve"> whether successful or not (criminal liability should not depend on the success of an interference);</w:t>
      </w:r>
    </w:p>
    <w:p w14:paraId="67D7EDE3" w14:textId="56302027" w:rsidR="000E00BE" w:rsidRPr="00581C3B" w:rsidRDefault="000E00BE" w:rsidP="0090149F">
      <w:pPr>
        <w:pStyle w:val="ListParagraph"/>
        <w:widowControl/>
        <w:numPr>
          <w:ilvl w:val="0"/>
          <w:numId w:val="35"/>
        </w:numPr>
        <w:spacing w:afterLines="50" w:after="120" w:line="240" w:lineRule="auto"/>
        <w:ind w:left="2160" w:right="720"/>
        <w:contextualSpacing w:val="0"/>
        <w:rPr>
          <w:rFonts w:cs="Arial"/>
          <w:i/>
          <w:sz w:val="24"/>
          <w:szCs w:val="24"/>
        </w:rPr>
      </w:pPr>
      <w:r w:rsidRPr="00581C3B">
        <w:rPr>
          <w:rFonts w:cs="Arial"/>
          <w:i/>
          <w:sz w:val="24"/>
          <w:szCs w:val="24"/>
        </w:rPr>
        <w:t>coded a software with a bug during its manufacture; and</w:t>
      </w:r>
    </w:p>
    <w:p w14:paraId="0F4E6172" w14:textId="0F2A3453" w:rsidR="000E00BE" w:rsidRPr="00581C3B" w:rsidRDefault="000E00BE" w:rsidP="00687A7F">
      <w:pPr>
        <w:pStyle w:val="ListParagraph"/>
        <w:widowControl/>
        <w:numPr>
          <w:ilvl w:val="0"/>
          <w:numId w:val="35"/>
        </w:numPr>
        <w:spacing w:after="240" w:line="240" w:lineRule="auto"/>
        <w:ind w:left="2160" w:right="720"/>
        <w:contextualSpacing w:val="0"/>
        <w:rPr>
          <w:rFonts w:cs="Arial"/>
          <w:i/>
          <w:sz w:val="24"/>
          <w:szCs w:val="24"/>
        </w:rPr>
      </w:pPr>
      <w:r w:rsidRPr="00581C3B">
        <w:rPr>
          <w:rFonts w:cs="Arial"/>
          <w:i/>
          <w:sz w:val="24"/>
          <w:szCs w:val="24"/>
        </w:rPr>
        <w:t>changed a computer system without authorisation, knowing that the change may have the effect of preventing access to, or proper use, of the system by legitimate users.”</w:t>
      </w:r>
    </w:p>
    <w:p w14:paraId="40F86EB5" w14:textId="1D0B8580" w:rsidR="00D5620E" w:rsidRPr="00581C3B" w:rsidRDefault="00B4144F" w:rsidP="000E00BE">
      <w:pPr>
        <w:pStyle w:val="ListParagraph"/>
        <w:numPr>
          <w:ilvl w:val="0"/>
          <w:numId w:val="14"/>
        </w:numPr>
        <w:spacing w:after="240" w:line="240" w:lineRule="auto"/>
        <w:ind w:left="0" w:firstLine="0"/>
        <w:contextualSpacing w:val="0"/>
        <w:rPr>
          <w:rFonts w:cs="Arial"/>
          <w:sz w:val="24"/>
          <w:szCs w:val="24"/>
          <w:lang w:val="en-GB"/>
        </w:rPr>
      </w:pPr>
      <w:r w:rsidRPr="00581C3B">
        <w:rPr>
          <w:rFonts w:eastAsiaTheme="minorEastAsia" w:cs="Arial" w:hint="eastAsia"/>
          <w:sz w:val="24"/>
          <w:szCs w:val="24"/>
          <w:lang w:val="en-GB"/>
        </w:rPr>
        <w:t>R</w:t>
      </w:r>
      <w:r w:rsidRPr="00581C3B">
        <w:rPr>
          <w:rFonts w:eastAsiaTheme="minorEastAsia" w:cs="Arial"/>
          <w:sz w:val="24"/>
          <w:szCs w:val="24"/>
          <w:lang w:val="en-GB"/>
        </w:rPr>
        <w:t xml:space="preserve">ecommendation 8 of the CP </w:t>
      </w:r>
      <w:r w:rsidR="00CA7880" w:rsidRPr="00581C3B">
        <w:rPr>
          <w:rFonts w:eastAsiaTheme="minorEastAsia" w:cs="Arial"/>
          <w:sz w:val="24"/>
          <w:szCs w:val="24"/>
          <w:lang w:val="en-GB"/>
        </w:rPr>
        <w:t xml:space="preserve">mainly </w:t>
      </w:r>
      <w:r w:rsidRPr="00581C3B">
        <w:rPr>
          <w:rFonts w:eastAsiaTheme="minorEastAsia" w:cs="Arial"/>
          <w:sz w:val="24"/>
          <w:szCs w:val="24"/>
          <w:lang w:val="en-GB"/>
        </w:rPr>
        <w:t>sought the public’s views on</w:t>
      </w:r>
      <w:r w:rsidR="00CA7880" w:rsidRPr="00581C3B">
        <w:rPr>
          <w:rFonts w:eastAsiaTheme="minorEastAsia" w:cs="Arial"/>
          <w:sz w:val="24"/>
          <w:szCs w:val="24"/>
          <w:lang w:val="en-GB"/>
        </w:rPr>
        <w:t xml:space="preserve"> whether the following activities should qualify as a lawful excuse with regard to the proposed offence of illegal interference with computer system:</w:t>
      </w:r>
    </w:p>
    <w:p w14:paraId="3E5DE8B5" w14:textId="76071F48" w:rsidR="00B4144F" w:rsidRPr="00581C3B" w:rsidRDefault="00CA7880" w:rsidP="00687A7F">
      <w:pPr>
        <w:pStyle w:val="ListParagraph"/>
        <w:numPr>
          <w:ilvl w:val="0"/>
          <w:numId w:val="38"/>
        </w:numPr>
        <w:spacing w:after="240" w:line="240" w:lineRule="auto"/>
        <w:ind w:left="1440" w:hanging="720"/>
        <w:contextualSpacing w:val="0"/>
        <w:rPr>
          <w:rFonts w:eastAsiaTheme="minorEastAsia" w:cs="Arial"/>
          <w:sz w:val="24"/>
          <w:szCs w:val="24"/>
          <w:lang w:val="en-GB"/>
        </w:rPr>
      </w:pPr>
      <w:r w:rsidRPr="00581C3B">
        <w:rPr>
          <w:rFonts w:eastAsiaTheme="minorEastAsia" w:cs="Arial"/>
          <w:sz w:val="24"/>
          <w:szCs w:val="24"/>
          <w:lang w:val="en-GB"/>
        </w:rPr>
        <w:t>scanning (or any similar form of testing) of others’ computers;</w:t>
      </w:r>
    </w:p>
    <w:p w14:paraId="0AF082DE" w14:textId="20F58661" w:rsidR="00CA7880" w:rsidRPr="00581C3B" w:rsidRDefault="00CA7880" w:rsidP="00687A7F">
      <w:pPr>
        <w:pStyle w:val="ListParagraph"/>
        <w:numPr>
          <w:ilvl w:val="0"/>
          <w:numId w:val="38"/>
        </w:numPr>
        <w:spacing w:after="240" w:line="240" w:lineRule="auto"/>
        <w:ind w:left="1440" w:hanging="720"/>
        <w:contextualSpacing w:val="0"/>
        <w:rPr>
          <w:rFonts w:cs="Arial"/>
          <w:sz w:val="24"/>
          <w:szCs w:val="24"/>
          <w:lang w:val="en-GB"/>
        </w:rPr>
      </w:pPr>
      <w:r w:rsidRPr="00581C3B">
        <w:rPr>
          <w:rFonts w:eastAsiaTheme="minorEastAsia" w:cs="Arial" w:hint="eastAsia"/>
          <w:sz w:val="24"/>
          <w:szCs w:val="24"/>
          <w:lang w:val="en-GB"/>
        </w:rPr>
        <w:t xml:space="preserve">actions by non-security professionals, such as web scraping </w:t>
      </w:r>
      <w:r w:rsidR="0090149F">
        <w:rPr>
          <w:rFonts w:cs="Arial"/>
          <w:sz w:val="24"/>
          <w:szCs w:val="24"/>
        </w:rPr>
        <w:t>(ie </w:t>
      </w:r>
      <w:r w:rsidR="00F44E23" w:rsidRPr="00581C3B">
        <w:rPr>
          <w:rFonts w:cs="Arial"/>
          <w:sz w:val="24"/>
          <w:szCs w:val="24"/>
        </w:rPr>
        <w:t xml:space="preserve">the process of using bots to extract content and data from a website) </w:t>
      </w:r>
      <w:r w:rsidRPr="00581C3B">
        <w:rPr>
          <w:rFonts w:eastAsiaTheme="minorEastAsia" w:cs="Arial" w:hint="eastAsia"/>
          <w:sz w:val="24"/>
          <w:szCs w:val="24"/>
          <w:lang w:val="en-GB"/>
        </w:rPr>
        <w:t>by robots or web crawlers</w:t>
      </w:r>
      <w:r w:rsidR="00F44E23" w:rsidRPr="00581C3B">
        <w:rPr>
          <w:rFonts w:eastAsiaTheme="minorEastAsia" w:cs="Arial"/>
          <w:sz w:val="24"/>
          <w:szCs w:val="24"/>
          <w:lang w:val="en-GB"/>
        </w:rPr>
        <w:t xml:space="preserve"> </w:t>
      </w:r>
      <w:r w:rsidR="00F44E23" w:rsidRPr="00581C3B">
        <w:rPr>
          <w:rFonts w:cs="Arial"/>
          <w:sz w:val="24"/>
          <w:szCs w:val="24"/>
        </w:rPr>
        <w:t>(ie an internet bot that systematically browses webpages for the purpose of indexing)</w:t>
      </w:r>
      <w:r w:rsidRPr="00581C3B">
        <w:rPr>
          <w:rFonts w:eastAsiaTheme="minorEastAsia" w:cs="Arial" w:hint="eastAsia"/>
          <w:sz w:val="24"/>
          <w:szCs w:val="24"/>
          <w:lang w:val="en-GB"/>
        </w:rPr>
        <w:t xml:space="preserve"> ini</w:t>
      </w:r>
      <w:r w:rsidRPr="00581C3B">
        <w:rPr>
          <w:rFonts w:eastAsiaTheme="minorEastAsia" w:cs="Arial"/>
          <w:sz w:val="24"/>
          <w:szCs w:val="24"/>
          <w:lang w:val="en-GB"/>
        </w:rPr>
        <w:t>t</w:t>
      </w:r>
      <w:r w:rsidRPr="00581C3B">
        <w:rPr>
          <w:rFonts w:eastAsiaTheme="minorEastAsia" w:cs="Arial" w:hint="eastAsia"/>
          <w:sz w:val="24"/>
          <w:szCs w:val="24"/>
          <w:lang w:val="en-GB"/>
        </w:rPr>
        <w:t>iated by internet information collection tools</w:t>
      </w:r>
      <w:r w:rsidR="00F44E23" w:rsidRPr="00581C3B">
        <w:rPr>
          <w:rFonts w:eastAsiaTheme="minorEastAsia" w:cs="Arial"/>
          <w:sz w:val="24"/>
          <w:szCs w:val="24"/>
          <w:lang w:val="en-GB"/>
        </w:rPr>
        <w:t>, such as search engines, to collect data from servers without authorisation</w:t>
      </w:r>
      <w:r w:rsidRPr="00581C3B">
        <w:rPr>
          <w:rFonts w:eastAsiaTheme="minorEastAsia" w:cs="Arial" w:hint="eastAsia"/>
          <w:sz w:val="24"/>
          <w:szCs w:val="24"/>
          <w:lang w:val="en-GB"/>
        </w:rPr>
        <w:t>.</w:t>
      </w:r>
    </w:p>
    <w:p w14:paraId="19F7E150" w14:textId="3483FB5E" w:rsidR="008712AB" w:rsidRPr="00581C3B" w:rsidRDefault="008712AB" w:rsidP="008712AB">
      <w:pPr>
        <w:pStyle w:val="ListParagraph"/>
        <w:spacing w:after="240" w:line="240" w:lineRule="auto"/>
        <w:ind w:left="0"/>
        <w:contextualSpacing w:val="0"/>
        <w:rPr>
          <w:rFonts w:cs="Arial"/>
          <w:sz w:val="24"/>
          <w:szCs w:val="24"/>
          <w:lang w:val="en-GB"/>
        </w:rPr>
      </w:pPr>
      <w:r w:rsidRPr="00581C3B">
        <w:rPr>
          <w:b/>
          <w:i/>
          <w:sz w:val="24"/>
          <w:szCs w:val="24"/>
        </w:rPr>
        <w:t>Recommendation 8(a): Specific defences</w:t>
      </w:r>
      <w:r w:rsidR="00BB3BBC" w:rsidRPr="00581C3B">
        <w:rPr>
          <w:rFonts w:eastAsia="Arial Unicode MS" w:cs="Arial"/>
          <w:kern w:val="2"/>
          <w:sz w:val="24"/>
          <w:szCs w:val="24"/>
          <w:vertAlign w:val="superscript"/>
        </w:rPr>
        <w:footnoteReference w:id="46"/>
      </w:r>
    </w:p>
    <w:p w14:paraId="46C4C122" w14:textId="22876583" w:rsidR="00BB0DED" w:rsidRPr="00581C3B" w:rsidRDefault="00BB0DED"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sz w:val="24"/>
          <w:szCs w:val="24"/>
          <w:lang w:val="en-GB"/>
        </w:rPr>
        <w:t xml:space="preserve">Given the close relationship between the </w:t>
      </w:r>
      <w:r w:rsidR="000D24F7" w:rsidRPr="00581C3B">
        <w:rPr>
          <w:rFonts w:eastAsiaTheme="minorEastAsia" w:cs="Arial"/>
          <w:sz w:val="24"/>
          <w:szCs w:val="24"/>
          <w:lang w:val="en-GB"/>
        </w:rPr>
        <w:t>Interference O</w:t>
      </w:r>
      <w:r w:rsidRPr="00581C3B">
        <w:rPr>
          <w:rFonts w:eastAsiaTheme="minorEastAsia" w:cs="Arial"/>
          <w:sz w:val="24"/>
          <w:szCs w:val="24"/>
          <w:lang w:val="en-GB"/>
        </w:rPr>
        <w:t>ffences, we similarly recommend that interference with computer system for cybersecurity purposes should be a defence to the offence of illegal interference with computer system</w:t>
      </w:r>
      <w:r w:rsidR="00BB3BBC" w:rsidRPr="00581C3B">
        <w:rPr>
          <w:rFonts w:eastAsiaTheme="minorEastAsia" w:cs="Arial"/>
          <w:sz w:val="24"/>
          <w:szCs w:val="24"/>
          <w:lang w:val="en-GB"/>
        </w:rPr>
        <w:t xml:space="preserve">. </w:t>
      </w:r>
      <w:r w:rsidRPr="00581C3B">
        <w:rPr>
          <w:rFonts w:eastAsiaTheme="minorEastAsia" w:cs="Arial"/>
          <w:sz w:val="24"/>
          <w:szCs w:val="24"/>
          <w:lang w:val="en-GB"/>
        </w:rPr>
        <w:t xml:space="preserve"> </w:t>
      </w:r>
      <w:r w:rsidR="00BB3BBC" w:rsidRPr="00581C3B">
        <w:rPr>
          <w:rFonts w:eastAsiaTheme="minorEastAsia" w:cs="Arial"/>
          <w:sz w:val="24"/>
          <w:szCs w:val="24"/>
          <w:lang w:val="en-GB"/>
        </w:rPr>
        <w:t>O</w:t>
      </w:r>
      <w:r w:rsidR="000D24F7" w:rsidRPr="00581C3B">
        <w:rPr>
          <w:rFonts w:eastAsiaTheme="minorEastAsia" w:cs="Arial"/>
          <w:sz w:val="24"/>
          <w:szCs w:val="24"/>
          <w:lang w:val="en-GB"/>
        </w:rPr>
        <w:t>ur</w:t>
      </w:r>
      <w:r w:rsidRPr="00581C3B">
        <w:rPr>
          <w:rFonts w:eastAsiaTheme="minorEastAsia" w:cs="Arial"/>
          <w:sz w:val="24"/>
          <w:szCs w:val="24"/>
          <w:lang w:val="en-GB"/>
        </w:rPr>
        <w:t xml:space="preserve"> </w:t>
      </w:r>
      <w:r w:rsidR="0092275E" w:rsidRPr="00581C3B">
        <w:rPr>
          <w:rFonts w:eastAsiaTheme="minorEastAsia" w:cs="Arial"/>
          <w:sz w:val="24"/>
          <w:szCs w:val="24"/>
          <w:lang w:val="en-GB"/>
        </w:rPr>
        <w:t xml:space="preserve">reasoning </w:t>
      </w:r>
      <w:r w:rsidR="000D24F7" w:rsidRPr="00581C3B">
        <w:rPr>
          <w:rFonts w:eastAsiaTheme="minorEastAsia" w:cs="Arial"/>
          <w:sz w:val="24"/>
          <w:szCs w:val="24"/>
          <w:lang w:val="en-GB"/>
        </w:rPr>
        <w:t>for</w:t>
      </w:r>
      <w:r w:rsidRPr="00581C3B">
        <w:rPr>
          <w:rFonts w:eastAsiaTheme="minorEastAsia" w:cs="Arial"/>
          <w:sz w:val="24"/>
          <w:szCs w:val="24"/>
          <w:lang w:val="en-GB"/>
        </w:rPr>
        <w:t xml:space="preserve"> the </w:t>
      </w:r>
      <w:r w:rsidR="000D24F7" w:rsidRPr="00581C3B">
        <w:rPr>
          <w:rFonts w:eastAsiaTheme="minorEastAsia" w:cs="Arial"/>
          <w:sz w:val="24"/>
          <w:szCs w:val="24"/>
          <w:lang w:val="en-GB"/>
        </w:rPr>
        <w:t>specific</w:t>
      </w:r>
      <w:r w:rsidRPr="00581C3B">
        <w:rPr>
          <w:rFonts w:eastAsiaTheme="minorEastAsia" w:cs="Arial"/>
          <w:sz w:val="24"/>
          <w:szCs w:val="24"/>
          <w:lang w:val="en-GB"/>
        </w:rPr>
        <w:t xml:space="preserve"> defences to the offence of illegal interference with computer data in paragraphs </w:t>
      </w:r>
      <w:r w:rsidR="000D24F7" w:rsidRPr="00581C3B">
        <w:rPr>
          <w:rFonts w:eastAsiaTheme="minorEastAsia" w:cs="Arial"/>
          <w:sz w:val="24"/>
          <w:szCs w:val="24"/>
          <w:lang w:val="en-GB"/>
        </w:rPr>
        <w:t>5</w:t>
      </w:r>
      <w:r w:rsidR="00027085">
        <w:rPr>
          <w:rFonts w:eastAsiaTheme="minorEastAsia" w:cs="Arial"/>
          <w:sz w:val="24"/>
          <w:szCs w:val="24"/>
          <w:lang w:val="en-GB"/>
        </w:rPr>
        <w:t>9</w:t>
      </w:r>
      <w:r w:rsidR="000D24F7" w:rsidRPr="00581C3B">
        <w:rPr>
          <w:rFonts w:eastAsiaTheme="minorEastAsia" w:cs="Arial"/>
          <w:sz w:val="24"/>
          <w:szCs w:val="24"/>
          <w:lang w:val="en-GB"/>
        </w:rPr>
        <w:t xml:space="preserve"> to </w:t>
      </w:r>
      <w:r w:rsidR="00BB3BBC" w:rsidRPr="00581C3B">
        <w:rPr>
          <w:rFonts w:eastAsiaTheme="minorEastAsia" w:cs="Arial"/>
          <w:sz w:val="24"/>
          <w:szCs w:val="24"/>
          <w:lang w:val="en-GB"/>
        </w:rPr>
        <w:t>6</w:t>
      </w:r>
      <w:r w:rsidR="00027085">
        <w:rPr>
          <w:rFonts w:eastAsiaTheme="minorEastAsia" w:cs="Arial"/>
          <w:sz w:val="24"/>
          <w:szCs w:val="24"/>
          <w:lang w:val="en-GB"/>
        </w:rPr>
        <w:t>3</w:t>
      </w:r>
      <w:r w:rsidRPr="00581C3B">
        <w:rPr>
          <w:rFonts w:eastAsiaTheme="minorEastAsia" w:cs="Arial"/>
          <w:sz w:val="24"/>
          <w:szCs w:val="24"/>
          <w:lang w:val="en-GB"/>
        </w:rPr>
        <w:t xml:space="preserve"> above</w:t>
      </w:r>
      <w:r w:rsidR="0092275E" w:rsidRPr="00581C3B">
        <w:rPr>
          <w:rFonts w:eastAsiaTheme="minorEastAsia" w:cs="Arial"/>
          <w:sz w:val="24"/>
          <w:szCs w:val="24"/>
          <w:lang w:val="en-GB"/>
        </w:rPr>
        <w:t xml:space="preserve"> </w:t>
      </w:r>
      <w:r w:rsidR="00BB3BBC" w:rsidRPr="00581C3B">
        <w:rPr>
          <w:rFonts w:eastAsiaTheme="minorEastAsia" w:cs="Arial"/>
          <w:sz w:val="24"/>
          <w:szCs w:val="24"/>
          <w:lang w:val="en-GB"/>
        </w:rPr>
        <w:t>equally</w:t>
      </w:r>
      <w:r w:rsidR="0092275E" w:rsidRPr="00581C3B">
        <w:rPr>
          <w:rFonts w:eastAsiaTheme="minorEastAsia" w:cs="Arial"/>
          <w:sz w:val="24"/>
          <w:szCs w:val="24"/>
          <w:lang w:val="en-GB"/>
        </w:rPr>
        <w:t xml:space="preserve"> applies to the offence of illegal interference with computer system</w:t>
      </w:r>
      <w:r w:rsidRPr="00581C3B">
        <w:rPr>
          <w:rFonts w:eastAsiaTheme="minorEastAsia" w:cs="Arial"/>
          <w:sz w:val="24"/>
          <w:szCs w:val="24"/>
          <w:lang w:val="en-GB"/>
        </w:rPr>
        <w:t>.</w:t>
      </w:r>
    </w:p>
    <w:p w14:paraId="67CDE4AE" w14:textId="655A081A" w:rsidR="0067332F" w:rsidRPr="00581C3B" w:rsidRDefault="0067332F" w:rsidP="0067332F">
      <w:pPr>
        <w:pStyle w:val="ListParagraph"/>
        <w:spacing w:after="240" w:line="240" w:lineRule="auto"/>
        <w:ind w:left="0"/>
        <w:contextualSpacing w:val="0"/>
        <w:rPr>
          <w:rFonts w:cs="Arial"/>
          <w:b/>
          <w:i/>
          <w:sz w:val="24"/>
          <w:szCs w:val="24"/>
          <w:lang w:val="en-GB"/>
        </w:rPr>
      </w:pPr>
      <w:r w:rsidRPr="00581C3B">
        <w:rPr>
          <w:rFonts w:eastAsiaTheme="minorEastAsia" w:cs="Arial"/>
          <w:b/>
          <w:i/>
          <w:sz w:val="24"/>
          <w:szCs w:val="24"/>
          <w:lang w:val="en-GB"/>
        </w:rPr>
        <w:t>Recommendation 8(b): Not necessary to propose defence for non-security professionals</w:t>
      </w:r>
      <w:r w:rsidR="00BB3BBC" w:rsidRPr="00581C3B">
        <w:rPr>
          <w:rFonts w:eastAsia="Arial Unicode MS" w:cs="Arial"/>
          <w:kern w:val="2"/>
          <w:sz w:val="24"/>
          <w:szCs w:val="24"/>
          <w:vertAlign w:val="superscript"/>
        </w:rPr>
        <w:footnoteReference w:id="47"/>
      </w:r>
    </w:p>
    <w:p w14:paraId="64B2B999" w14:textId="445F3B2D" w:rsidR="001C5505" w:rsidRPr="00581C3B" w:rsidRDefault="000D24F7" w:rsidP="00810134">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Some activities which do not necessarily serve any cybersecurity purposes are inherent in the operation of cyberspace or interaction between computer devices or systems.  </w:t>
      </w:r>
      <w:r w:rsidR="00E11241" w:rsidRPr="00581C3B">
        <w:rPr>
          <w:rFonts w:cs="Arial"/>
          <w:sz w:val="24"/>
          <w:szCs w:val="24"/>
          <w:lang w:val="en-GB"/>
        </w:rPr>
        <w:t xml:space="preserve">It would be impossible to exhaustively set out all the legitimate activities in cyberspace which we consider to be part and parcel of our digital life and hence acceptable.  This is particularly so </w:t>
      </w:r>
      <w:r w:rsidRPr="00581C3B">
        <w:rPr>
          <w:rFonts w:cs="Arial"/>
          <w:sz w:val="24"/>
          <w:szCs w:val="24"/>
          <w:lang w:val="en-GB"/>
        </w:rPr>
        <w:t>given</w:t>
      </w:r>
      <w:r w:rsidR="00E11241" w:rsidRPr="00581C3B">
        <w:rPr>
          <w:rFonts w:cs="Arial"/>
          <w:sz w:val="24"/>
          <w:szCs w:val="24"/>
          <w:lang w:val="en-GB"/>
        </w:rPr>
        <w:t xml:space="preserve"> the quick pace of technological development.  We agree with the CP that when a person opts to connect himself to the internet, he or she is taken to have impliedly consented to any interaction that can reasonably be expected to occur in the use of cyberspace</w:t>
      </w:r>
      <w:r w:rsidR="00D5620E" w:rsidRPr="00581C3B">
        <w:rPr>
          <w:rFonts w:cs="Arial"/>
          <w:sz w:val="24"/>
          <w:szCs w:val="24"/>
          <w:lang w:val="en-GB"/>
        </w:rPr>
        <w:t>.</w:t>
      </w:r>
      <w:r w:rsidR="00E11241" w:rsidRPr="00581C3B">
        <w:rPr>
          <w:rFonts w:cs="Arial"/>
          <w:sz w:val="24"/>
          <w:szCs w:val="24"/>
          <w:lang w:val="en-GB"/>
        </w:rPr>
        <w:t xml:space="preserve">  </w:t>
      </w:r>
      <w:r w:rsidRPr="00581C3B">
        <w:rPr>
          <w:rFonts w:cs="Arial"/>
          <w:sz w:val="24"/>
          <w:szCs w:val="24"/>
        </w:rPr>
        <w:t>We should avoid inadvertently outlawing some widely accepted internet practices that should be permitted by virtue of the normal functioning of the internet or computer systems.</w:t>
      </w:r>
      <w:r w:rsidR="00BB3BBC" w:rsidRPr="00581C3B">
        <w:rPr>
          <w:rFonts w:cs="Arial"/>
          <w:sz w:val="24"/>
          <w:szCs w:val="24"/>
        </w:rPr>
        <w:t xml:space="preserve">  F</w:t>
      </w:r>
      <w:r w:rsidR="00E11241" w:rsidRPr="00581C3B">
        <w:rPr>
          <w:rFonts w:cs="Arial"/>
          <w:sz w:val="24"/>
          <w:szCs w:val="24"/>
          <w:lang w:val="en-GB"/>
        </w:rPr>
        <w:t>urther</w:t>
      </w:r>
      <w:r w:rsidR="00BB3BBC" w:rsidRPr="00581C3B">
        <w:rPr>
          <w:rFonts w:cs="Arial"/>
          <w:sz w:val="24"/>
          <w:szCs w:val="24"/>
          <w:lang w:val="en-GB"/>
        </w:rPr>
        <w:t>more,</w:t>
      </w:r>
      <w:r w:rsidRPr="00581C3B">
        <w:rPr>
          <w:rFonts w:cs="Arial"/>
          <w:sz w:val="24"/>
          <w:szCs w:val="24"/>
          <w:lang w:val="en-GB"/>
        </w:rPr>
        <w:t xml:space="preserve"> t</w:t>
      </w:r>
      <w:r w:rsidRPr="00581C3B">
        <w:rPr>
          <w:rFonts w:cs="Arial"/>
          <w:sz w:val="24"/>
          <w:szCs w:val="24"/>
        </w:rPr>
        <w:t>he cybercrime legislation in other countries has not provided any specific defences for non-security professionals (such as the operation of search engines) although they have enacted the offence of illegal interference with computer system and the Access Offence.</w:t>
      </w:r>
    </w:p>
    <w:p w14:paraId="2E842581" w14:textId="20F4BECF" w:rsidR="005E07B8" w:rsidRPr="00581C3B" w:rsidRDefault="000D24F7" w:rsidP="00765211">
      <w:pPr>
        <w:pStyle w:val="ListParagraph"/>
        <w:numPr>
          <w:ilvl w:val="0"/>
          <w:numId w:val="14"/>
        </w:numPr>
        <w:spacing w:after="240" w:line="240" w:lineRule="auto"/>
        <w:ind w:left="0" w:firstLine="0"/>
        <w:contextualSpacing w:val="0"/>
        <w:rPr>
          <w:rFonts w:cs="Arial"/>
          <w:sz w:val="24"/>
          <w:szCs w:val="24"/>
        </w:rPr>
      </w:pPr>
      <w:r w:rsidRPr="00581C3B">
        <w:rPr>
          <w:rFonts w:cs="Arial"/>
          <w:sz w:val="24"/>
          <w:szCs w:val="24"/>
          <w:lang w:val="en-GB"/>
        </w:rPr>
        <w:t>Thus</w:t>
      </w:r>
      <w:r w:rsidR="005E07B8" w:rsidRPr="00581C3B">
        <w:rPr>
          <w:rFonts w:cs="Arial"/>
          <w:sz w:val="24"/>
          <w:szCs w:val="24"/>
        </w:rPr>
        <w:t>, we consider it unnecessary to provide a specific defence for non-security agents encountered in the day-to-day operation of cyberspace, which should be distinguishable from a cyber-attack.</w:t>
      </w:r>
      <w:r w:rsidRPr="00581C3B">
        <w:rPr>
          <w:rFonts w:eastAsiaTheme="minorEastAsia"/>
          <w:sz w:val="24"/>
          <w:szCs w:val="24"/>
          <w:vertAlign w:val="superscript"/>
          <w:lang w:val="en-GB"/>
        </w:rPr>
        <w:footnoteReference w:id="48"/>
      </w:r>
    </w:p>
    <w:p w14:paraId="35B200CC" w14:textId="64C32C37" w:rsidR="00B4567B" w:rsidRPr="00581C3B" w:rsidRDefault="00B4567B"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Our </w:t>
      </w:r>
      <w:r w:rsidRPr="00581C3B">
        <w:rPr>
          <w:rFonts w:cs="Arial"/>
          <w:b/>
          <w:sz w:val="24"/>
          <w:szCs w:val="24"/>
          <w:lang w:val="en-GB"/>
        </w:rPr>
        <w:t>Final Recommendation 8</w:t>
      </w:r>
      <w:r w:rsidRPr="00581C3B">
        <w:rPr>
          <w:rFonts w:cs="Arial"/>
          <w:sz w:val="24"/>
          <w:szCs w:val="24"/>
          <w:lang w:val="en-GB"/>
        </w:rPr>
        <w:t xml:space="preserve"> is as follows:</w:t>
      </w:r>
    </w:p>
    <w:p w14:paraId="615D9BC9" w14:textId="0FF44CEA" w:rsidR="00B4567B" w:rsidRPr="00581C3B" w:rsidRDefault="00B4567B" w:rsidP="00687A7F">
      <w:pPr>
        <w:pStyle w:val="ListParagraph"/>
        <w:spacing w:after="240" w:line="240" w:lineRule="auto"/>
        <w:ind w:left="1440" w:right="720" w:hanging="720"/>
        <w:contextualSpacing w:val="0"/>
        <w:rPr>
          <w:rFonts w:cs="Arial"/>
          <w:i/>
          <w:sz w:val="24"/>
          <w:szCs w:val="24"/>
        </w:rPr>
      </w:pPr>
      <w:r w:rsidRPr="00581C3B">
        <w:rPr>
          <w:rFonts w:cs="Arial"/>
          <w:i/>
          <w:sz w:val="24"/>
          <w:szCs w:val="24"/>
          <w:lang w:val="en-GB"/>
        </w:rPr>
        <w:t>“</w:t>
      </w:r>
      <w:r w:rsidR="00687A7F" w:rsidRPr="00581C3B">
        <w:rPr>
          <w:rFonts w:cs="Arial"/>
          <w:i/>
          <w:sz w:val="24"/>
          <w:szCs w:val="24"/>
          <w:lang w:val="en-GB"/>
        </w:rPr>
        <w:t>(a)</w:t>
      </w:r>
      <w:r w:rsidR="00687A7F" w:rsidRPr="00581C3B">
        <w:rPr>
          <w:rFonts w:cs="Arial"/>
          <w:i/>
          <w:sz w:val="24"/>
          <w:szCs w:val="24"/>
          <w:lang w:val="en-GB"/>
        </w:rPr>
        <w:tab/>
      </w:r>
      <w:r w:rsidRPr="00581C3B">
        <w:rPr>
          <w:rFonts w:cs="Arial"/>
          <w:i/>
          <w:sz w:val="24"/>
          <w:szCs w:val="24"/>
        </w:rPr>
        <w:t>There should be a specific defence for illegal interference with computer system for cybersecurity purposes</w:t>
      </w:r>
      <w:r w:rsidR="00650EFA" w:rsidRPr="00581C3B">
        <w:rPr>
          <w:rFonts w:cs="Arial"/>
          <w:i/>
          <w:sz w:val="24"/>
          <w:szCs w:val="24"/>
        </w:rPr>
        <w:t xml:space="preserve"> with the following conditions</w:t>
      </w:r>
      <w:r w:rsidRPr="00581C3B">
        <w:rPr>
          <w:rFonts w:cs="Arial"/>
          <w:i/>
          <w:sz w:val="24"/>
          <w:szCs w:val="24"/>
        </w:rPr>
        <w:t>:</w:t>
      </w:r>
    </w:p>
    <w:p w14:paraId="7A0E28A9" w14:textId="40A09DBD" w:rsidR="00B4567B" w:rsidRPr="00581C3B" w:rsidRDefault="00B4567B" w:rsidP="0090149F">
      <w:pPr>
        <w:pStyle w:val="ListParagraph"/>
        <w:numPr>
          <w:ilvl w:val="0"/>
          <w:numId w:val="36"/>
        </w:numPr>
        <w:spacing w:afterLines="50" w:after="120" w:line="240" w:lineRule="auto"/>
        <w:ind w:left="2160" w:right="720"/>
        <w:contextualSpacing w:val="0"/>
        <w:rPr>
          <w:rFonts w:cs="Arial"/>
          <w:i/>
          <w:sz w:val="24"/>
          <w:szCs w:val="24"/>
          <w:lang w:val="en-GB"/>
        </w:rPr>
      </w:pPr>
      <w:r w:rsidRPr="00581C3B">
        <w:rPr>
          <w:rFonts w:cs="Arial"/>
          <w:i/>
          <w:sz w:val="24"/>
          <w:szCs w:val="24"/>
        </w:rPr>
        <w:t xml:space="preserve">The defendant must be an accredited cybersecurity practitioner (the details of the accreditation regime, which are essentially matters of policy, are best left to </w:t>
      </w:r>
      <w:r w:rsidR="00650EFA" w:rsidRPr="00581C3B">
        <w:rPr>
          <w:rFonts w:cs="Arial"/>
          <w:i/>
          <w:sz w:val="24"/>
          <w:szCs w:val="24"/>
        </w:rPr>
        <w:t>the Government’s consideration);</w:t>
      </w:r>
    </w:p>
    <w:p w14:paraId="456D6ECC" w14:textId="75AFB6A9" w:rsidR="00B4567B" w:rsidRPr="00581C3B" w:rsidRDefault="00B4567B" w:rsidP="0090149F">
      <w:pPr>
        <w:pStyle w:val="ListParagraph"/>
        <w:numPr>
          <w:ilvl w:val="0"/>
          <w:numId w:val="36"/>
        </w:numPr>
        <w:spacing w:afterLines="50" w:after="120" w:line="240" w:lineRule="auto"/>
        <w:ind w:left="2160" w:right="720"/>
        <w:contextualSpacing w:val="0"/>
        <w:rPr>
          <w:rFonts w:cs="Arial"/>
          <w:i/>
          <w:sz w:val="24"/>
          <w:szCs w:val="24"/>
          <w:lang w:val="en-GB"/>
        </w:rPr>
      </w:pPr>
      <w:r w:rsidRPr="00581C3B">
        <w:rPr>
          <w:rFonts w:cs="Arial"/>
          <w:i/>
          <w:sz w:val="24"/>
          <w:szCs w:val="24"/>
        </w:rPr>
        <w:t xml:space="preserve">The defendant must act for </w:t>
      </w:r>
      <w:r w:rsidR="00650EFA" w:rsidRPr="00581C3B">
        <w:rPr>
          <w:rFonts w:cs="Arial"/>
          <w:i/>
          <w:sz w:val="24"/>
          <w:szCs w:val="24"/>
        </w:rPr>
        <w:t>a genuine cybersecurity purpose; and</w:t>
      </w:r>
    </w:p>
    <w:p w14:paraId="5845AFE3" w14:textId="60A0F323" w:rsidR="00B4567B" w:rsidRPr="00581C3B" w:rsidRDefault="00B4567B" w:rsidP="00687A7F">
      <w:pPr>
        <w:pStyle w:val="ListParagraph"/>
        <w:numPr>
          <w:ilvl w:val="0"/>
          <w:numId w:val="36"/>
        </w:numPr>
        <w:spacing w:after="240" w:line="240" w:lineRule="auto"/>
        <w:ind w:left="2160" w:right="720"/>
        <w:contextualSpacing w:val="0"/>
        <w:rPr>
          <w:rFonts w:cs="Arial"/>
          <w:i/>
          <w:sz w:val="24"/>
          <w:szCs w:val="24"/>
          <w:lang w:val="en-GB"/>
        </w:rPr>
      </w:pPr>
      <w:r w:rsidRPr="00581C3B">
        <w:rPr>
          <w:rFonts w:cs="Arial"/>
          <w:i/>
          <w:sz w:val="24"/>
          <w:szCs w:val="24"/>
        </w:rPr>
        <w:t>The defendant’s conduct must be reasonable having regard to all the circumstances.</w:t>
      </w:r>
    </w:p>
    <w:p w14:paraId="199C791B" w14:textId="263D211B" w:rsidR="00B4567B" w:rsidRPr="00581C3B" w:rsidRDefault="00B4567B" w:rsidP="00687A7F">
      <w:pPr>
        <w:pStyle w:val="ListParagraph"/>
        <w:numPr>
          <w:ilvl w:val="0"/>
          <w:numId w:val="37"/>
        </w:numPr>
        <w:spacing w:after="240"/>
        <w:ind w:left="1440" w:right="720" w:hanging="720"/>
        <w:rPr>
          <w:rFonts w:cs="Arial"/>
          <w:i/>
          <w:sz w:val="24"/>
          <w:szCs w:val="24"/>
        </w:rPr>
      </w:pPr>
      <w:r w:rsidRPr="00581C3B">
        <w:rPr>
          <w:rFonts w:cs="Arial"/>
          <w:i/>
          <w:sz w:val="24"/>
          <w:szCs w:val="24"/>
        </w:rPr>
        <w:t>It is not necessary to provide any specific defence to the proposed offence of illegal interference with computer system for non</w:t>
      </w:r>
      <w:r w:rsidR="00722C35">
        <w:rPr>
          <w:rFonts w:cs="Arial"/>
          <w:i/>
          <w:sz w:val="24"/>
          <w:szCs w:val="24"/>
        </w:rPr>
        <w:t>-</w:t>
      </w:r>
      <w:r w:rsidRPr="00581C3B">
        <w:rPr>
          <w:rFonts w:cs="Arial"/>
          <w:i/>
          <w:sz w:val="24"/>
          <w:szCs w:val="24"/>
        </w:rPr>
        <w:t>security professionals (such as web scraping by robots or web crawlers initiated by internet information collection tools to collect data from servers without authorisation by connecting to designated protocol ports) since activities which form part of the normal functioning of the internet or computer systems should continue to be allowed under the principle of implied authorisation.”</w:t>
      </w:r>
    </w:p>
    <w:p w14:paraId="090CE929" w14:textId="2738F2F2" w:rsidR="004B7EC6" w:rsidRPr="00581C3B" w:rsidRDefault="00C61321" w:rsidP="00687A7F">
      <w:pPr>
        <w:pStyle w:val="ListParagraph"/>
        <w:spacing w:beforeLines="200" w:before="480" w:after="0" w:line="240" w:lineRule="auto"/>
        <w:ind w:left="0"/>
        <w:contextualSpacing w:val="0"/>
        <w:rPr>
          <w:rFonts w:cs="Arial"/>
          <w:b/>
          <w:sz w:val="28"/>
          <w:szCs w:val="28"/>
          <w:lang w:val="en-GB"/>
        </w:rPr>
      </w:pPr>
      <w:r w:rsidRPr="00581C3B">
        <w:rPr>
          <w:rFonts w:cs="Arial"/>
          <w:b/>
          <w:sz w:val="28"/>
          <w:szCs w:val="28"/>
          <w:lang w:val="en-GB"/>
        </w:rPr>
        <w:t xml:space="preserve">Chapter 6: </w:t>
      </w:r>
      <w:r w:rsidR="00C56A39" w:rsidRPr="00581C3B">
        <w:rPr>
          <w:rFonts w:cs="Arial"/>
          <w:b/>
          <w:sz w:val="28"/>
          <w:szCs w:val="28"/>
          <w:lang w:val="en-GB"/>
        </w:rPr>
        <w:t>Making available or possessing</w:t>
      </w:r>
      <w:r w:rsidR="006E1F3B" w:rsidRPr="00581C3B">
        <w:rPr>
          <w:rFonts w:cs="Arial"/>
          <w:b/>
          <w:sz w:val="28"/>
          <w:szCs w:val="28"/>
          <w:lang w:val="en-GB"/>
        </w:rPr>
        <w:t xml:space="preserve"> </w:t>
      </w:r>
      <w:r w:rsidR="00C56A39" w:rsidRPr="00581C3B">
        <w:rPr>
          <w:rFonts w:cs="Arial"/>
          <w:b/>
          <w:sz w:val="28"/>
          <w:szCs w:val="28"/>
          <w:lang w:val="en-GB"/>
        </w:rPr>
        <w:t>a device</w:t>
      </w:r>
      <w:r w:rsidR="005C229D" w:rsidRPr="00581C3B">
        <w:rPr>
          <w:rFonts w:cs="Arial"/>
          <w:b/>
          <w:sz w:val="28"/>
          <w:szCs w:val="28"/>
          <w:lang w:val="en-GB"/>
        </w:rPr>
        <w:t>, program</w:t>
      </w:r>
      <w:r w:rsidR="00C56A39" w:rsidRPr="00581C3B">
        <w:rPr>
          <w:rFonts w:cs="Arial"/>
          <w:b/>
          <w:sz w:val="28"/>
          <w:szCs w:val="28"/>
          <w:lang w:val="en-GB"/>
        </w:rPr>
        <w:t xml:space="preserve"> or data for committing a </w:t>
      </w:r>
      <w:r w:rsidR="005C229D" w:rsidRPr="00581C3B">
        <w:rPr>
          <w:rFonts w:cs="Arial"/>
          <w:b/>
          <w:sz w:val="28"/>
          <w:szCs w:val="28"/>
          <w:lang w:val="en-GB"/>
        </w:rPr>
        <w:t xml:space="preserve">cyber-related </w:t>
      </w:r>
      <w:r w:rsidR="00C56A39" w:rsidRPr="00581C3B">
        <w:rPr>
          <w:rFonts w:cs="Arial"/>
          <w:b/>
          <w:sz w:val="28"/>
          <w:szCs w:val="28"/>
          <w:lang w:val="en-GB"/>
        </w:rPr>
        <w:t>crime</w:t>
      </w:r>
    </w:p>
    <w:p w14:paraId="4F598AA2" w14:textId="02C11454" w:rsidR="000F0104" w:rsidRPr="00581C3B" w:rsidRDefault="004F434D" w:rsidP="00687A7F">
      <w:pPr>
        <w:pStyle w:val="ListParagraph"/>
        <w:numPr>
          <w:ilvl w:val="0"/>
          <w:numId w:val="14"/>
        </w:numPr>
        <w:spacing w:beforeLines="100" w:before="240" w:after="240" w:line="240" w:lineRule="auto"/>
        <w:ind w:left="0" w:firstLine="0"/>
        <w:contextualSpacing w:val="0"/>
        <w:rPr>
          <w:rFonts w:cs="Arial"/>
          <w:sz w:val="24"/>
          <w:szCs w:val="24"/>
          <w:lang w:val="en-GB"/>
        </w:rPr>
      </w:pPr>
      <w:r w:rsidRPr="00581C3B">
        <w:rPr>
          <w:rFonts w:cs="Arial"/>
          <w:sz w:val="24"/>
          <w:szCs w:val="24"/>
          <w:lang w:val="en-GB"/>
        </w:rPr>
        <w:t>Recommendation 9 of the CP, which proposed a distinct offence of making available or possessing a device or data for committing a crime, has sparked much debate among the public.  A number of Respondents raised concerns about the breadth of the basic offence</w:t>
      </w:r>
      <w:r w:rsidR="000F0104" w:rsidRPr="00581C3B">
        <w:rPr>
          <w:rFonts w:cs="Arial"/>
          <w:sz w:val="24"/>
          <w:szCs w:val="24"/>
          <w:lang w:val="en-GB"/>
        </w:rPr>
        <w:t>.</w:t>
      </w:r>
      <w:r w:rsidRPr="00581C3B">
        <w:rPr>
          <w:rFonts w:cs="Arial"/>
          <w:sz w:val="24"/>
          <w:szCs w:val="24"/>
          <w:lang w:val="en-GB"/>
        </w:rPr>
        <w:t xml:space="preserve">  To address these concerns, we</w:t>
      </w:r>
      <w:r w:rsidR="00984925" w:rsidRPr="00581C3B">
        <w:rPr>
          <w:rFonts w:cs="Arial"/>
          <w:sz w:val="24"/>
          <w:szCs w:val="24"/>
          <w:lang w:val="en-GB"/>
        </w:rPr>
        <w:t xml:space="preserve"> have reviewed Recommendation 9 holistically and</w:t>
      </w:r>
      <w:r w:rsidRPr="00581C3B">
        <w:rPr>
          <w:rFonts w:cs="Arial"/>
          <w:sz w:val="24"/>
          <w:szCs w:val="24"/>
          <w:lang w:val="en-GB"/>
        </w:rPr>
        <w:t xml:space="preserve"> </w:t>
      </w:r>
      <w:r w:rsidR="00984925" w:rsidRPr="00581C3B">
        <w:rPr>
          <w:rFonts w:cs="Arial"/>
          <w:sz w:val="24"/>
          <w:szCs w:val="24"/>
          <w:lang w:val="en-GB"/>
        </w:rPr>
        <w:t xml:space="preserve">propose the following </w:t>
      </w:r>
      <w:r w:rsidRPr="00581C3B">
        <w:rPr>
          <w:rFonts w:cs="Arial"/>
          <w:sz w:val="24"/>
          <w:szCs w:val="24"/>
          <w:lang w:val="en-GB"/>
        </w:rPr>
        <w:t>amend</w:t>
      </w:r>
      <w:r w:rsidR="00984925" w:rsidRPr="00581C3B">
        <w:rPr>
          <w:rFonts w:cs="Arial"/>
          <w:sz w:val="24"/>
          <w:szCs w:val="24"/>
          <w:lang w:val="en-GB"/>
        </w:rPr>
        <w:t>ments</w:t>
      </w:r>
      <w:r w:rsidRPr="00581C3B">
        <w:rPr>
          <w:rFonts w:cs="Arial"/>
          <w:sz w:val="24"/>
          <w:szCs w:val="24"/>
          <w:lang w:val="en-GB"/>
        </w:rPr>
        <w:t>:</w:t>
      </w:r>
    </w:p>
    <w:p w14:paraId="1E800325" w14:textId="449ECB4F" w:rsidR="00C40C56" w:rsidRPr="00581C3B" w:rsidRDefault="00C40C56" w:rsidP="00C40C56">
      <w:pPr>
        <w:pStyle w:val="ListParagraph"/>
        <w:spacing w:after="240" w:line="240" w:lineRule="auto"/>
        <w:ind w:left="0"/>
        <w:contextualSpacing w:val="0"/>
        <w:rPr>
          <w:rFonts w:cs="Arial"/>
          <w:sz w:val="24"/>
          <w:szCs w:val="24"/>
          <w:lang w:val="en-GB"/>
        </w:rPr>
      </w:pPr>
      <w:r w:rsidRPr="00581C3B">
        <w:rPr>
          <w:b/>
          <w:i/>
          <w:sz w:val="24"/>
          <w:szCs w:val="24"/>
        </w:rPr>
        <w:t>Including “program” in the offence, ie “device, program and data”</w:t>
      </w:r>
      <w:r w:rsidR="001366AE" w:rsidRPr="00581C3B">
        <w:rPr>
          <w:rFonts w:eastAsia="Arial Unicode MS" w:cs="Arial"/>
          <w:kern w:val="2"/>
          <w:sz w:val="24"/>
          <w:szCs w:val="24"/>
          <w:vertAlign w:val="superscript"/>
        </w:rPr>
        <w:footnoteReference w:id="49"/>
      </w:r>
    </w:p>
    <w:p w14:paraId="7D712B4A" w14:textId="60472761" w:rsidR="00C40C56" w:rsidRPr="00581C3B" w:rsidRDefault="001366AE" w:rsidP="00D42EF7">
      <w:pPr>
        <w:pStyle w:val="ListParagraph"/>
        <w:numPr>
          <w:ilvl w:val="0"/>
          <w:numId w:val="14"/>
        </w:numPr>
        <w:spacing w:after="240" w:line="240" w:lineRule="auto"/>
        <w:ind w:left="0" w:firstLine="0"/>
        <w:contextualSpacing w:val="0"/>
        <w:rPr>
          <w:rFonts w:eastAsia="DengXian" w:cs="Arial"/>
          <w:b/>
          <w:i/>
          <w:sz w:val="24"/>
          <w:szCs w:val="24"/>
        </w:rPr>
      </w:pPr>
      <w:r w:rsidRPr="00581C3B">
        <w:rPr>
          <w:rFonts w:cs="Arial"/>
          <w:sz w:val="24"/>
          <w:szCs w:val="24"/>
          <w:lang w:val="en-GB"/>
        </w:rPr>
        <w:t>W</w:t>
      </w:r>
      <w:r w:rsidR="00C40C56" w:rsidRPr="00581C3B">
        <w:rPr>
          <w:rFonts w:cs="Arial"/>
          <w:sz w:val="24"/>
          <w:szCs w:val="24"/>
          <w:lang w:val="en-GB"/>
        </w:rPr>
        <w:t xml:space="preserve">e consider it appropriate to </w:t>
      </w:r>
      <w:r w:rsidR="00C40C56" w:rsidRPr="00581C3B">
        <w:rPr>
          <w:rFonts w:eastAsia="DengXian" w:cs="Arial"/>
          <w:sz w:val="24"/>
          <w:szCs w:val="24"/>
        </w:rPr>
        <w:t>include “program” as one of the subject matters of the proposed offence, which aims to combat cybercrime.  This position also accords with the standard of criminalisation under the</w:t>
      </w:r>
      <w:r w:rsidR="00FB4896" w:rsidRPr="00581C3B">
        <w:rPr>
          <w:rFonts w:eastAsia="DengXian" w:cs="Arial"/>
          <w:sz w:val="24"/>
          <w:szCs w:val="24"/>
        </w:rPr>
        <w:t xml:space="preserve"> Budapest </w:t>
      </w:r>
      <w:r w:rsidR="00C40C56" w:rsidRPr="00581C3B">
        <w:rPr>
          <w:rFonts w:eastAsia="DengXian" w:cs="Arial"/>
          <w:sz w:val="24"/>
          <w:szCs w:val="24"/>
        </w:rPr>
        <w:t>Convention</w:t>
      </w:r>
      <w:r w:rsidR="00C40C56" w:rsidRPr="00581C3B">
        <w:rPr>
          <w:rFonts w:cs="Arial"/>
          <w:sz w:val="24"/>
          <w:szCs w:val="24"/>
          <w:lang w:val="en-GB"/>
        </w:rPr>
        <w:t>.</w:t>
      </w:r>
      <w:r w:rsidRPr="00581C3B">
        <w:rPr>
          <w:rFonts w:eastAsia="Arial Unicode MS" w:cs="Arial"/>
          <w:kern w:val="2"/>
          <w:sz w:val="24"/>
          <w:szCs w:val="24"/>
          <w:vertAlign w:val="superscript"/>
        </w:rPr>
        <w:footnoteReference w:id="50"/>
      </w:r>
    </w:p>
    <w:p w14:paraId="5837561C" w14:textId="79522BF0" w:rsidR="0089624D" w:rsidRPr="00581C3B" w:rsidRDefault="00984925" w:rsidP="009E33B1">
      <w:pPr>
        <w:pStyle w:val="ListParagraph"/>
        <w:spacing w:after="240" w:line="240" w:lineRule="auto"/>
        <w:ind w:left="0"/>
        <w:contextualSpacing w:val="0"/>
        <w:rPr>
          <w:rFonts w:cs="Arial"/>
          <w:b/>
          <w:i/>
          <w:sz w:val="24"/>
          <w:szCs w:val="24"/>
        </w:rPr>
      </w:pPr>
      <w:r w:rsidRPr="00581C3B">
        <w:rPr>
          <w:rFonts w:eastAsia="DengXian" w:cs="Arial"/>
          <w:b/>
          <w:i/>
          <w:sz w:val="24"/>
          <w:szCs w:val="24"/>
        </w:rPr>
        <w:t xml:space="preserve">Limiting the application of the offence to cases where a device, program or data is used to commit a cyber-related </w:t>
      </w:r>
      <w:r w:rsidR="002E6305">
        <w:rPr>
          <w:rFonts w:eastAsia="DengXian" w:cs="Arial"/>
          <w:b/>
          <w:i/>
          <w:sz w:val="24"/>
          <w:szCs w:val="24"/>
        </w:rPr>
        <w:t>offence</w:t>
      </w:r>
      <w:r w:rsidRPr="00581C3B">
        <w:rPr>
          <w:rFonts w:eastAsia="DengXian" w:cs="Arial"/>
          <w:b/>
          <w:i/>
          <w:sz w:val="24"/>
          <w:szCs w:val="24"/>
        </w:rPr>
        <w:t xml:space="preserve"> </w:t>
      </w:r>
      <w:r w:rsidR="00C40C56" w:rsidRPr="00581C3B">
        <w:rPr>
          <w:rFonts w:eastAsia="DengXian" w:cs="Arial"/>
          <w:b/>
          <w:i/>
          <w:sz w:val="24"/>
          <w:szCs w:val="24"/>
        </w:rPr>
        <w:t>(but not any offence at large)</w:t>
      </w:r>
      <w:r w:rsidR="001366AE" w:rsidRPr="00581C3B">
        <w:rPr>
          <w:rFonts w:eastAsia="Arial Unicode MS" w:cs="Arial"/>
          <w:kern w:val="2"/>
          <w:sz w:val="24"/>
          <w:szCs w:val="24"/>
          <w:vertAlign w:val="superscript"/>
        </w:rPr>
        <w:footnoteReference w:id="51"/>
      </w:r>
    </w:p>
    <w:p w14:paraId="793E1A9D" w14:textId="56E61865" w:rsidR="00AE095F" w:rsidRPr="00581C3B" w:rsidRDefault="00984925" w:rsidP="00E212A8">
      <w:pPr>
        <w:pStyle w:val="ListParagraph"/>
        <w:numPr>
          <w:ilvl w:val="0"/>
          <w:numId w:val="14"/>
        </w:numPr>
        <w:spacing w:after="240" w:line="240" w:lineRule="auto"/>
        <w:ind w:left="0" w:firstLine="0"/>
        <w:contextualSpacing w:val="0"/>
        <w:rPr>
          <w:rFonts w:cs="Arial"/>
          <w:sz w:val="24"/>
          <w:szCs w:val="24"/>
          <w:lang w:val="en-GB"/>
        </w:rPr>
      </w:pPr>
      <w:r w:rsidRPr="00581C3B">
        <w:rPr>
          <w:rFonts w:eastAsia="DengXian" w:cs="Arial"/>
          <w:sz w:val="24"/>
          <w:szCs w:val="24"/>
        </w:rPr>
        <w:t>If the illegitimate use of a device, program or data is not restricted to the commission of cybercrime, Recommendation 9 will have an all pervasive application in the physical world.</w:t>
      </w:r>
      <w:r w:rsidR="00AE095F" w:rsidRPr="00581C3B">
        <w:rPr>
          <w:rStyle w:val="FootnoteReference"/>
          <w:rFonts w:cs="Arial"/>
          <w:sz w:val="24"/>
          <w:szCs w:val="24"/>
          <w:lang w:val="en-GB"/>
        </w:rPr>
        <w:footnoteReference w:id="52"/>
      </w:r>
      <w:r w:rsidRPr="00581C3B">
        <w:rPr>
          <w:rFonts w:eastAsia="DengXian" w:cs="Arial"/>
          <w:sz w:val="24"/>
          <w:szCs w:val="24"/>
        </w:rPr>
        <w:t xml:space="preserve">  </w:t>
      </w:r>
      <w:r w:rsidRPr="00581C3B">
        <w:rPr>
          <w:rFonts w:cs="Arial"/>
          <w:sz w:val="24"/>
          <w:szCs w:val="24"/>
        </w:rPr>
        <w:t>Besides, the cybercrime legislation in other jurisdictions discussed in the CP has consistently confined the scope of the proposed offence to the commiss</w:t>
      </w:r>
      <w:r w:rsidR="00E94EFC" w:rsidRPr="00581C3B">
        <w:rPr>
          <w:rFonts w:cs="Arial"/>
          <w:sz w:val="24"/>
          <w:szCs w:val="24"/>
        </w:rPr>
        <w:t>ion of cyber-dependent crimes.</w:t>
      </w:r>
      <w:r w:rsidR="001366AE" w:rsidRPr="00581C3B">
        <w:rPr>
          <w:rFonts w:cs="Arial"/>
          <w:sz w:val="24"/>
          <w:szCs w:val="24"/>
        </w:rPr>
        <w:t xml:space="preserve">  I</w:t>
      </w:r>
      <w:r w:rsidR="001366AE" w:rsidRPr="00581C3B">
        <w:rPr>
          <w:rFonts w:eastAsia="DengXian" w:cs="Arial"/>
          <w:sz w:val="24"/>
          <w:szCs w:val="24"/>
        </w:rPr>
        <w:t>f a person uses a device, program or data for committing other general offences that are not cybercrime, the culpable conduct can be tackled under the myriad of statutory and common law offences in Hong Kong.</w:t>
      </w:r>
    </w:p>
    <w:p w14:paraId="4269CA92" w14:textId="6B590ED2" w:rsidR="00513E6D" w:rsidRPr="00581C3B" w:rsidRDefault="00AE095F" w:rsidP="00E212A8">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Thus, we recommend that th</w:t>
      </w:r>
      <w:r w:rsidRPr="00581C3B">
        <w:rPr>
          <w:rFonts w:eastAsia="DengXian" w:cs="Arial"/>
          <w:sz w:val="24"/>
          <w:szCs w:val="24"/>
        </w:rPr>
        <w:t xml:space="preserve">e </w:t>
      </w:r>
      <w:r w:rsidR="00AA78F2" w:rsidRPr="00581C3B">
        <w:rPr>
          <w:rFonts w:eastAsia="DengXian" w:cs="Arial"/>
          <w:sz w:val="24"/>
          <w:szCs w:val="24"/>
        </w:rPr>
        <w:t>proposed offence should only apply if the offence committed by making available a device, program or data (or possessing such device, program or data for the purpose of making it available) is</w:t>
      </w:r>
      <w:r w:rsidR="00F32BBA" w:rsidRPr="00581C3B">
        <w:rPr>
          <w:rFonts w:eastAsia="DengXian" w:cs="Arial"/>
          <w:sz w:val="24"/>
          <w:szCs w:val="24"/>
        </w:rPr>
        <w:t xml:space="preserve"> a cyber-related </w:t>
      </w:r>
      <w:r w:rsidR="002E6305">
        <w:rPr>
          <w:rFonts w:eastAsia="DengXian" w:cs="Arial"/>
          <w:sz w:val="24"/>
          <w:szCs w:val="24"/>
        </w:rPr>
        <w:t>offence</w:t>
      </w:r>
      <w:r w:rsidR="00F32BBA" w:rsidRPr="00581C3B">
        <w:rPr>
          <w:rFonts w:eastAsia="DengXian" w:cs="Arial"/>
          <w:sz w:val="24"/>
          <w:szCs w:val="24"/>
        </w:rPr>
        <w:t>, ie</w:t>
      </w:r>
      <w:r w:rsidR="00AA78F2" w:rsidRPr="00581C3B">
        <w:rPr>
          <w:rFonts w:eastAsia="DengXian" w:cs="Arial"/>
          <w:sz w:val="24"/>
          <w:szCs w:val="24"/>
        </w:rPr>
        <w:t xml:space="preserve"> one of the four other cyber-dependent crimes discussed in Chapters 2 to 5</w:t>
      </w:r>
      <w:r w:rsidRPr="00581C3B">
        <w:rPr>
          <w:rFonts w:eastAsia="DengXian" w:cs="Arial"/>
          <w:sz w:val="24"/>
          <w:szCs w:val="24"/>
        </w:rPr>
        <w:t>.</w:t>
      </w:r>
      <w:r w:rsidR="00AA78F2" w:rsidRPr="00581C3B">
        <w:rPr>
          <w:rStyle w:val="FootnoteReference"/>
          <w:rFonts w:cs="Arial"/>
          <w:sz w:val="24"/>
          <w:szCs w:val="24"/>
          <w:lang w:val="en-GB"/>
        </w:rPr>
        <w:footnoteReference w:id="53"/>
      </w:r>
    </w:p>
    <w:p w14:paraId="269CF5D3" w14:textId="669E9876" w:rsidR="008D5838" w:rsidRPr="00581C3B" w:rsidRDefault="008D5838" w:rsidP="008D5838">
      <w:pPr>
        <w:pStyle w:val="ListParagraph"/>
        <w:spacing w:after="240" w:line="240" w:lineRule="auto"/>
        <w:ind w:left="0"/>
        <w:contextualSpacing w:val="0"/>
        <w:rPr>
          <w:rFonts w:cs="Arial"/>
          <w:sz w:val="24"/>
          <w:szCs w:val="24"/>
          <w:lang w:val="en-GB"/>
        </w:rPr>
      </w:pPr>
      <w:r w:rsidRPr="00581C3B">
        <w:rPr>
          <w:b/>
          <w:i/>
          <w:sz w:val="24"/>
          <w:szCs w:val="24"/>
        </w:rPr>
        <w:t>Recasting the possession limb of the offence</w:t>
      </w:r>
      <w:r w:rsidR="001366AE" w:rsidRPr="00581C3B">
        <w:rPr>
          <w:rFonts w:eastAsia="Arial Unicode MS" w:cs="Arial"/>
          <w:kern w:val="2"/>
          <w:sz w:val="24"/>
          <w:szCs w:val="24"/>
          <w:vertAlign w:val="superscript"/>
        </w:rPr>
        <w:footnoteReference w:id="54"/>
      </w:r>
    </w:p>
    <w:p w14:paraId="50C7CF0D" w14:textId="3A035D3E" w:rsidR="008D5838" w:rsidRPr="00581C3B" w:rsidRDefault="008D5838"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hint="eastAsia"/>
          <w:sz w:val="24"/>
          <w:szCs w:val="24"/>
          <w:lang w:val="en-GB"/>
        </w:rPr>
        <w:t xml:space="preserve">We </w:t>
      </w:r>
      <w:r w:rsidRPr="00581C3B">
        <w:rPr>
          <w:rFonts w:eastAsiaTheme="minorEastAsia" w:cs="Arial"/>
          <w:sz w:val="24"/>
          <w:szCs w:val="24"/>
          <w:lang w:val="en-GB"/>
        </w:rPr>
        <w:t>acknowledge</w:t>
      </w:r>
      <w:r w:rsidRPr="00581C3B">
        <w:rPr>
          <w:rFonts w:eastAsiaTheme="minorEastAsia" w:cs="Arial" w:hint="eastAsia"/>
          <w:sz w:val="24"/>
          <w:szCs w:val="24"/>
          <w:lang w:val="en-GB"/>
        </w:rPr>
        <w:t xml:space="preserve"> that</w:t>
      </w:r>
      <w:r w:rsidRPr="00581C3B">
        <w:rPr>
          <w:rFonts w:eastAsiaTheme="minorEastAsia" w:cs="Arial"/>
          <w:sz w:val="24"/>
          <w:szCs w:val="24"/>
          <w:lang w:val="en-GB"/>
        </w:rPr>
        <w:t xml:space="preserve"> there is a wide range of circumstances in which a person may possess a malicious program or data without any intention to use the </w:t>
      </w:r>
      <w:r w:rsidR="001366AE" w:rsidRPr="00581C3B">
        <w:rPr>
          <w:rFonts w:eastAsiaTheme="minorEastAsia" w:cs="Arial"/>
          <w:sz w:val="24"/>
          <w:szCs w:val="24"/>
          <w:lang w:val="en-GB"/>
        </w:rPr>
        <w:t>same</w:t>
      </w:r>
      <w:r w:rsidRPr="00581C3B">
        <w:rPr>
          <w:rFonts w:eastAsiaTheme="minorEastAsia" w:cs="Arial"/>
          <w:sz w:val="24"/>
          <w:szCs w:val="24"/>
          <w:lang w:val="en-GB"/>
        </w:rPr>
        <w:t xml:space="preserve"> to commit a cyber-related crime.</w:t>
      </w:r>
      <w:r w:rsidR="00E94EFC" w:rsidRPr="00581C3B">
        <w:rPr>
          <w:rStyle w:val="FootnoteReference"/>
          <w:rFonts w:cs="Arial"/>
          <w:sz w:val="24"/>
          <w:szCs w:val="24"/>
          <w:lang w:val="en-GB"/>
        </w:rPr>
        <w:footnoteReference w:id="55"/>
      </w:r>
      <w:r w:rsidRPr="00581C3B">
        <w:rPr>
          <w:rFonts w:eastAsiaTheme="minorEastAsia" w:cs="Arial"/>
          <w:sz w:val="24"/>
          <w:szCs w:val="24"/>
          <w:lang w:val="en-GB"/>
        </w:rPr>
        <w:t xml:space="preserve">  To avoid over-criminalisation, we recommend </w:t>
      </w:r>
      <w:r w:rsidR="00C40C56" w:rsidRPr="00581C3B">
        <w:rPr>
          <w:rFonts w:eastAsiaTheme="minorEastAsia" w:cs="Arial"/>
          <w:sz w:val="24"/>
          <w:szCs w:val="24"/>
          <w:lang w:val="en-GB"/>
        </w:rPr>
        <w:t>limit</w:t>
      </w:r>
      <w:r w:rsidRPr="00581C3B">
        <w:rPr>
          <w:rFonts w:eastAsiaTheme="minorEastAsia" w:cs="Arial"/>
          <w:sz w:val="24"/>
          <w:szCs w:val="24"/>
          <w:lang w:val="en-GB"/>
        </w:rPr>
        <w:t xml:space="preserve">ing the </w:t>
      </w:r>
      <w:r w:rsidR="00C40C56" w:rsidRPr="00581C3B">
        <w:rPr>
          <w:rFonts w:eastAsiaTheme="minorEastAsia" w:cs="Arial"/>
          <w:sz w:val="24"/>
          <w:szCs w:val="24"/>
          <w:lang w:val="en-GB"/>
        </w:rPr>
        <w:t xml:space="preserve">scope of the </w:t>
      </w:r>
      <w:r w:rsidRPr="00581C3B">
        <w:rPr>
          <w:rFonts w:eastAsiaTheme="minorEastAsia" w:cs="Arial"/>
          <w:sz w:val="24"/>
          <w:szCs w:val="24"/>
          <w:lang w:val="en-GB"/>
        </w:rPr>
        <w:t>possession limb in Recommendation 9(a) as “</w:t>
      </w:r>
      <w:r w:rsidRPr="00581C3B">
        <w:rPr>
          <w:rFonts w:eastAsiaTheme="minorEastAsia" w:cs="Arial"/>
          <w:i/>
          <w:sz w:val="24"/>
          <w:szCs w:val="24"/>
          <w:lang w:val="en-GB"/>
        </w:rPr>
        <w:t>possessing a device, program or data made or adapted to commit a cyber-related crime for the purpose of making it available to another</w:t>
      </w:r>
      <w:r w:rsidRPr="00581C3B">
        <w:rPr>
          <w:rFonts w:eastAsiaTheme="minorEastAsia" w:cs="Arial"/>
          <w:sz w:val="24"/>
          <w:szCs w:val="24"/>
          <w:lang w:val="en-GB"/>
        </w:rPr>
        <w:t>”.</w:t>
      </w:r>
      <w:r w:rsidR="001366AE" w:rsidRPr="00581C3B">
        <w:rPr>
          <w:rFonts w:eastAsiaTheme="minorEastAsia" w:cs="Arial"/>
          <w:sz w:val="24"/>
          <w:szCs w:val="24"/>
          <w:lang w:val="en-GB"/>
        </w:rPr>
        <w:t xml:space="preserve">  </w:t>
      </w:r>
      <w:r w:rsidR="00597E3D" w:rsidRPr="00581C3B">
        <w:rPr>
          <w:rFonts w:eastAsiaTheme="minorEastAsia" w:cs="Arial"/>
          <w:sz w:val="24"/>
          <w:szCs w:val="24"/>
          <w:lang w:val="en-GB"/>
        </w:rPr>
        <w:t>Under</w:t>
      </w:r>
      <w:r w:rsidR="001366AE" w:rsidRPr="00581C3B">
        <w:rPr>
          <w:rFonts w:eastAsiaTheme="minorEastAsia" w:cs="Arial"/>
          <w:sz w:val="24"/>
          <w:szCs w:val="24"/>
          <w:lang w:val="en-GB"/>
        </w:rPr>
        <w:t xml:space="preserve"> this narrower form of the possession offence, persons who possess a device, program or data made or adapted to commit a cyber-related crime in non-culpable circumstances will not incur criminal liability by reason of merely in possession of such </w:t>
      </w:r>
      <w:r w:rsidR="00027085">
        <w:rPr>
          <w:rFonts w:eastAsiaTheme="minorEastAsia" w:cs="Arial"/>
          <w:sz w:val="24"/>
          <w:szCs w:val="24"/>
          <w:lang w:val="en-GB"/>
        </w:rPr>
        <w:t xml:space="preserve">device, </w:t>
      </w:r>
      <w:r w:rsidR="001366AE" w:rsidRPr="00581C3B">
        <w:rPr>
          <w:rFonts w:eastAsiaTheme="minorEastAsia" w:cs="Arial"/>
          <w:sz w:val="24"/>
          <w:szCs w:val="24"/>
          <w:lang w:val="en-GB"/>
        </w:rPr>
        <w:t>program or data</w:t>
      </w:r>
      <w:r w:rsidR="00D87A9E">
        <w:rPr>
          <w:rFonts w:eastAsiaTheme="minorEastAsia" w:cs="Arial"/>
          <w:sz w:val="24"/>
          <w:szCs w:val="24"/>
          <w:lang w:val="en-GB"/>
        </w:rPr>
        <w:t>, but persons who possess the device, program or data for their own use to commit a cyber-related crime will be caught by the offence</w:t>
      </w:r>
      <w:r w:rsidR="001366AE" w:rsidRPr="00581C3B">
        <w:rPr>
          <w:rFonts w:eastAsiaTheme="minorEastAsia" w:cs="Arial"/>
          <w:sz w:val="24"/>
          <w:szCs w:val="24"/>
          <w:lang w:val="en-GB"/>
        </w:rPr>
        <w:t>.</w:t>
      </w:r>
    </w:p>
    <w:p w14:paraId="61D1D505" w14:textId="30C1E4F3" w:rsidR="008D5838" w:rsidRPr="00581C3B" w:rsidRDefault="008D5838" w:rsidP="0090149F">
      <w:pPr>
        <w:pStyle w:val="ListParagraph"/>
        <w:widowControl/>
        <w:spacing w:after="240" w:line="240" w:lineRule="auto"/>
        <w:ind w:left="0"/>
        <w:contextualSpacing w:val="0"/>
        <w:rPr>
          <w:rFonts w:cs="Arial"/>
          <w:i/>
          <w:sz w:val="24"/>
          <w:szCs w:val="24"/>
          <w:lang w:val="en-GB"/>
        </w:rPr>
      </w:pPr>
      <w:r w:rsidRPr="00581C3B">
        <w:rPr>
          <w:b/>
          <w:i/>
          <w:sz w:val="24"/>
          <w:szCs w:val="24"/>
        </w:rPr>
        <w:t>Incorporating additional mens rea requirements into the offence</w:t>
      </w:r>
      <w:r w:rsidR="001366AE" w:rsidRPr="00581C3B">
        <w:rPr>
          <w:rFonts w:eastAsia="Arial Unicode MS" w:cs="Arial"/>
          <w:kern w:val="2"/>
          <w:sz w:val="24"/>
          <w:szCs w:val="24"/>
          <w:vertAlign w:val="superscript"/>
        </w:rPr>
        <w:footnoteReference w:id="56"/>
      </w:r>
    </w:p>
    <w:p w14:paraId="1308FD4A" w14:textId="652BDAF8" w:rsidR="008D5838" w:rsidRPr="00581C3B" w:rsidRDefault="008D5838" w:rsidP="008D5838">
      <w:pPr>
        <w:pStyle w:val="ListParagraph"/>
        <w:spacing w:after="240" w:line="240" w:lineRule="auto"/>
        <w:ind w:left="0"/>
        <w:contextualSpacing w:val="0"/>
        <w:rPr>
          <w:rFonts w:cs="Arial"/>
          <w:sz w:val="24"/>
          <w:szCs w:val="24"/>
          <w:lang w:val="en-GB"/>
        </w:rPr>
      </w:pPr>
      <w:r w:rsidRPr="00581C3B">
        <w:rPr>
          <w:rFonts w:eastAsia="DengXian" w:cs="Arial"/>
          <w:i/>
          <w:sz w:val="24"/>
          <w:szCs w:val="24"/>
        </w:rPr>
        <w:t>Knowledge, belief, etc in respect of the nature of a device, program or data</w:t>
      </w:r>
    </w:p>
    <w:p w14:paraId="32FC0082" w14:textId="6922B707" w:rsidR="008D5838" w:rsidRPr="00581C3B" w:rsidRDefault="00E508F6" w:rsidP="00765211">
      <w:pPr>
        <w:pStyle w:val="ListParagraph"/>
        <w:numPr>
          <w:ilvl w:val="0"/>
          <w:numId w:val="14"/>
        </w:numPr>
        <w:spacing w:after="240" w:line="240" w:lineRule="auto"/>
        <w:ind w:left="0" w:firstLine="0"/>
        <w:contextualSpacing w:val="0"/>
        <w:rPr>
          <w:rFonts w:eastAsia="DengXian" w:cs="Arial"/>
          <w:sz w:val="24"/>
          <w:szCs w:val="24"/>
        </w:rPr>
      </w:pPr>
      <w:r w:rsidRPr="00581C3B">
        <w:rPr>
          <w:rFonts w:eastAsia="DengXian" w:cs="Arial"/>
          <w:sz w:val="24"/>
          <w:szCs w:val="24"/>
        </w:rPr>
        <w:t>A person may not accurately know or understand the primary use of a device, program or data.</w:t>
      </w:r>
      <w:r w:rsidR="001366AE" w:rsidRPr="00581C3B">
        <w:rPr>
          <w:rFonts w:eastAsia="Arial Unicode MS" w:cs="Arial"/>
          <w:kern w:val="2"/>
          <w:sz w:val="24"/>
          <w:szCs w:val="24"/>
          <w:vertAlign w:val="superscript"/>
        </w:rPr>
        <w:footnoteReference w:id="57"/>
      </w:r>
      <w:r w:rsidRPr="00581C3B">
        <w:rPr>
          <w:rFonts w:eastAsia="DengXian" w:cs="Arial"/>
          <w:sz w:val="24"/>
          <w:szCs w:val="24"/>
        </w:rPr>
        <w:t xml:space="preserve">  </w:t>
      </w:r>
      <w:r w:rsidR="00C40C56" w:rsidRPr="00581C3B">
        <w:rPr>
          <w:rFonts w:eastAsia="DengXian" w:cs="Arial"/>
          <w:sz w:val="24"/>
          <w:szCs w:val="24"/>
        </w:rPr>
        <w:t>This is particularly so if</w:t>
      </w:r>
      <w:r w:rsidRPr="00581C3B">
        <w:rPr>
          <w:rFonts w:eastAsia="DengXian" w:cs="Arial"/>
          <w:sz w:val="24"/>
          <w:szCs w:val="24"/>
        </w:rPr>
        <w:t xml:space="preserve"> the harmful nature of a program is not readily identifiable, or </w:t>
      </w:r>
      <w:r w:rsidR="00C40C56" w:rsidRPr="00581C3B">
        <w:rPr>
          <w:rFonts w:eastAsia="DengXian" w:cs="Arial"/>
          <w:sz w:val="24"/>
          <w:szCs w:val="24"/>
        </w:rPr>
        <w:t xml:space="preserve">if </w:t>
      </w:r>
      <w:r w:rsidRPr="00581C3B">
        <w:rPr>
          <w:rFonts w:eastAsia="DengXian" w:cs="Arial"/>
          <w:sz w:val="24"/>
          <w:szCs w:val="24"/>
        </w:rPr>
        <w:t xml:space="preserve">the harmful program is not well-known.  </w:t>
      </w:r>
      <w:r w:rsidR="00C40C56" w:rsidRPr="00581C3B">
        <w:rPr>
          <w:rFonts w:eastAsia="DengXian" w:cs="Arial"/>
          <w:sz w:val="24"/>
          <w:szCs w:val="24"/>
        </w:rPr>
        <w:t>In our view</w:t>
      </w:r>
      <w:r w:rsidR="00A65985" w:rsidRPr="00581C3B">
        <w:rPr>
          <w:rFonts w:eastAsia="DengXian" w:cs="Arial"/>
          <w:sz w:val="24"/>
          <w:szCs w:val="24"/>
        </w:rPr>
        <w:t xml:space="preserve">, if a person misunderstands the nature of the device, program or data, or does not know that its primary use is criminal, the person </w:t>
      </w:r>
      <w:r w:rsidR="00C40C56" w:rsidRPr="00581C3B">
        <w:rPr>
          <w:rFonts w:eastAsia="DengXian" w:cs="Arial"/>
          <w:sz w:val="24"/>
          <w:szCs w:val="24"/>
        </w:rPr>
        <w:t>should</w:t>
      </w:r>
      <w:r w:rsidR="00A65985" w:rsidRPr="00581C3B">
        <w:rPr>
          <w:rFonts w:eastAsia="DengXian" w:cs="Arial"/>
          <w:sz w:val="24"/>
          <w:szCs w:val="24"/>
        </w:rPr>
        <w:t xml:space="preserve"> not be liable for the proposed offence.</w:t>
      </w:r>
      <w:r w:rsidR="00C40C56" w:rsidRPr="00581C3B">
        <w:rPr>
          <w:rFonts w:eastAsia="DengXian" w:cs="Arial"/>
          <w:sz w:val="24"/>
          <w:szCs w:val="24"/>
        </w:rPr>
        <w:t xml:space="preserve">  Thus, we recommend that the prosecution must prove that the defendant knows, believes, or claims that the primary use of a device, program or data (determined objectively) is to commit a cyber-related </w:t>
      </w:r>
      <w:r w:rsidR="00DA2212">
        <w:rPr>
          <w:rFonts w:eastAsia="DengXian" w:cs="Arial"/>
          <w:sz w:val="24"/>
          <w:szCs w:val="24"/>
        </w:rPr>
        <w:t>crime</w:t>
      </w:r>
      <w:r w:rsidR="00C40C56" w:rsidRPr="00581C3B">
        <w:rPr>
          <w:rFonts w:eastAsia="DengXian" w:cs="Arial"/>
          <w:sz w:val="24"/>
          <w:szCs w:val="24"/>
        </w:rPr>
        <w:t>.</w:t>
      </w:r>
    </w:p>
    <w:p w14:paraId="0F36B725" w14:textId="43D286BB" w:rsidR="00A65985" w:rsidRPr="00581C3B" w:rsidRDefault="00A65985" w:rsidP="00A65985">
      <w:pPr>
        <w:pStyle w:val="ListParagraph"/>
        <w:spacing w:after="240" w:line="240" w:lineRule="auto"/>
        <w:ind w:left="0"/>
        <w:contextualSpacing w:val="0"/>
        <w:rPr>
          <w:rFonts w:eastAsia="DengXian" w:cs="Arial"/>
          <w:i/>
          <w:sz w:val="24"/>
          <w:szCs w:val="24"/>
        </w:rPr>
      </w:pPr>
      <w:r w:rsidRPr="00581C3B">
        <w:rPr>
          <w:rFonts w:eastAsia="DengXian" w:cs="Arial"/>
          <w:i/>
          <w:sz w:val="24"/>
          <w:szCs w:val="24"/>
        </w:rPr>
        <w:t>Maintaining a basic offence of “making available”</w:t>
      </w:r>
    </w:p>
    <w:p w14:paraId="6B384893" w14:textId="4AA42A43" w:rsidR="00A65985" w:rsidRPr="00581C3B" w:rsidRDefault="00A65985"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eastAsia="DengXian" w:cs="Arial"/>
          <w:sz w:val="24"/>
          <w:szCs w:val="24"/>
        </w:rPr>
        <w:t xml:space="preserve">In the context of possession for the purpose of “making available”, we have to first consider whether or not </w:t>
      </w:r>
      <w:r w:rsidRPr="00581C3B">
        <w:rPr>
          <w:rFonts w:cs="Arial"/>
          <w:sz w:val="24"/>
          <w:szCs w:val="24"/>
        </w:rPr>
        <w:t>the proposed offence should require a defendant to “know” or “intend” that the device, program or data is to be used by another to commit an offence (ie the defendant must have knowledge as to the actual intended use of the device, program or data).  Putting this requirement in place would in effect abandon the basic offence recommended in the CP</w:t>
      </w:r>
      <w:r w:rsidR="00801A08" w:rsidRPr="00581C3B">
        <w:rPr>
          <w:rFonts w:cs="Arial"/>
          <w:sz w:val="24"/>
          <w:szCs w:val="24"/>
        </w:rPr>
        <w:t xml:space="preserve"> and result in some suppliers of harmful devices, programs or data </w:t>
      </w:r>
      <w:r w:rsidR="002B008F" w:rsidRPr="00581C3B">
        <w:rPr>
          <w:rFonts w:cs="Arial"/>
          <w:sz w:val="24"/>
          <w:szCs w:val="24"/>
        </w:rPr>
        <w:t>slipping through</w:t>
      </w:r>
      <w:r w:rsidR="00D42EF7" w:rsidRPr="00581C3B">
        <w:rPr>
          <w:rFonts w:cs="Arial"/>
          <w:sz w:val="24"/>
          <w:szCs w:val="24"/>
        </w:rPr>
        <w:t xml:space="preserve"> the </w:t>
      </w:r>
      <w:r w:rsidR="002B008F" w:rsidRPr="00581C3B">
        <w:rPr>
          <w:rFonts w:cs="Arial"/>
          <w:sz w:val="24"/>
          <w:szCs w:val="24"/>
        </w:rPr>
        <w:t>net</w:t>
      </w:r>
      <w:r w:rsidR="00D42EF7" w:rsidRPr="00581C3B">
        <w:rPr>
          <w:rFonts w:cs="Arial"/>
          <w:sz w:val="24"/>
          <w:szCs w:val="24"/>
        </w:rPr>
        <w:t xml:space="preserve"> </w:t>
      </w:r>
      <w:r w:rsidR="00801A08" w:rsidRPr="00581C3B">
        <w:rPr>
          <w:rFonts w:cs="Arial"/>
          <w:sz w:val="24"/>
          <w:szCs w:val="24"/>
        </w:rPr>
        <w:t xml:space="preserve">because a supplier </w:t>
      </w:r>
      <w:r w:rsidR="002B008F" w:rsidRPr="00581C3B">
        <w:rPr>
          <w:rFonts w:cs="Arial"/>
          <w:sz w:val="24"/>
          <w:szCs w:val="24"/>
        </w:rPr>
        <w:t>may</w:t>
      </w:r>
      <w:r w:rsidR="00801A08" w:rsidRPr="00581C3B">
        <w:rPr>
          <w:rFonts w:cs="Arial"/>
          <w:sz w:val="24"/>
          <w:szCs w:val="24"/>
        </w:rPr>
        <w:t xml:space="preserve"> simply make available such devices, programs or data </w:t>
      </w:r>
      <w:r w:rsidR="002B008F" w:rsidRPr="00581C3B">
        <w:rPr>
          <w:rFonts w:cs="Arial"/>
          <w:sz w:val="24"/>
          <w:szCs w:val="24"/>
        </w:rPr>
        <w:t>on the dark web without caring or</w:t>
      </w:r>
      <w:r w:rsidR="00801A08" w:rsidRPr="00581C3B">
        <w:rPr>
          <w:rFonts w:cs="Arial"/>
          <w:sz w:val="24"/>
          <w:szCs w:val="24"/>
        </w:rPr>
        <w:t xml:space="preserve"> knowing</w:t>
      </w:r>
      <w:r w:rsidR="002B008F" w:rsidRPr="00581C3B">
        <w:rPr>
          <w:rFonts w:cs="Arial"/>
          <w:sz w:val="24"/>
          <w:szCs w:val="24"/>
        </w:rPr>
        <w:t xml:space="preserve"> how buyers intend to use them</w:t>
      </w:r>
      <w:r w:rsidR="00801A08" w:rsidRPr="00581C3B">
        <w:rPr>
          <w:rFonts w:cs="Arial"/>
          <w:sz w:val="24"/>
          <w:szCs w:val="24"/>
        </w:rPr>
        <w:t xml:space="preserve">.  </w:t>
      </w:r>
      <w:r w:rsidR="004C0294" w:rsidRPr="00581C3B">
        <w:rPr>
          <w:rFonts w:cs="Arial"/>
          <w:sz w:val="24"/>
          <w:szCs w:val="24"/>
        </w:rPr>
        <w:t>In order not to</w:t>
      </w:r>
      <w:r w:rsidR="00801A08" w:rsidRPr="00581C3B">
        <w:rPr>
          <w:rFonts w:cs="Arial"/>
          <w:sz w:val="24"/>
          <w:szCs w:val="24"/>
        </w:rPr>
        <w:t xml:space="preserve"> undermine the objective of the offence to curb the supply and possession of devices or data that can be used in cyberspace for illegitimate purposes, we </w:t>
      </w:r>
      <w:r w:rsidR="004C0294" w:rsidRPr="00581C3B">
        <w:rPr>
          <w:rFonts w:cs="Arial"/>
          <w:sz w:val="24"/>
          <w:szCs w:val="24"/>
        </w:rPr>
        <w:t>take</w:t>
      </w:r>
      <w:r w:rsidR="00801A08" w:rsidRPr="00581C3B">
        <w:rPr>
          <w:rFonts w:cs="Arial"/>
          <w:sz w:val="24"/>
          <w:szCs w:val="24"/>
        </w:rPr>
        <w:t xml:space="preserve"> the view that the basic offence should be maintained, subject to the refinements recommended in paragraphs </w:t>
      </w:r>
      <w:r w:rsidR="00707DF1" w:rsidRPr="00581C3B">
        <w:rPr>
          <w:rFonts w:cs="Arial"/>
          <w:sz w:val="24"/>
          <w:szCs w:val="24"/>
        </w:rPr>
        <w:t>7</w:t>
      </w:r>
      <w:r w:rsidR="00E44095">
        <w:rPr>
          <w:rFonts w:cs="Arial"/>
          <w:sz w:val="24"/>
          <w:szCs w:val="24"/>
        </w:rPr>
        <w:t>6</w:t>
      </w:r>
      <w:r w:rsidR="00801A08" w:rsidRPr="00581C3B">
        <w:rPr>
          <w:rFonts w:cs="Arial"/>
          <w:sz w:val="24"/>
          <w:szCs w:val="24"/>
        </w:rPr>
        <w:t xml:space="preserve"> and </w:t>
      </w:r>
      <w:r w:rsidR="00707DF1" w:rsidRPr="00581C3B">
        <w:rPr>
          <w:rFonts w:cs="Arial"/>
          <w:sz w:val="24"/>
          <w:szCs w:val="24"/>
        </w:rPr>
        <w:t>7</w:t>
      </w:r>
      <w:r w:rsidR="00E44095">
        <w:rPr>
          <w:rFonts w:cs="Arial"/>
          <w:sz w:val="24"/>
          <w:szCs w:val="24"/>
        </w:rPr>
        <w:t>7</w:t>
      </w:r>
      <w:r w:rsidR="00801A08" w:rsidRPr="00581C3B">
        <w:rPr>
          <w:rFonts w:cs="Arial"/>
          <w:sz w:val="24"/>
          <w:szCs w:val="24"/>
        </w:rPr>
        <w:t xml:space="preserve"> above.</w:t>
      </w:r>
    </w:p>
    <w:p w14:paraId="6DAC0AA3" w14:textId="7F66DD5B" w:rsidR="00263FA2" w:rsidRPr="00581C3B" w:rsidRDefault="00263FA2" w:rsidP="00263FA2">
      <w:pPr>
        <w:pStyle w:val="ListParagraph"/>
        <w:spacing w:after="240" w:line="240" w:lineRule="auto"/>
        <w:ind w:left="0"/>
        <w:contextualSpacing w:val="0"/>
        <w:rPr>
          <w:rFonts w:cs="Arial"/>
          <w:sz w:val="24"/>
          <w:szCs w:val="24"/>
          <w:lang w:val="en-GB"/>
        </w:rPr>
      </w:pPr>
      <w:r w:rsidRPr="00581C3B">
        <w:rPr>
          <w:rFonts w:eastAsia="DengXian" w:cs="Arial"/>
          <w:i/>
          <w:sz w:val="24"/>
          <w:szCs w:val="24"/>
        </w:rPr>
        <w:t>Alternative mental element: having reasonable grounds to believe in the culpable primary use of a device, program or data</w:t>
      </w:r>
      <w:r w:rsidR="007A3232" w:rsidRPr="00581C3B">
        <w:rPr>
          <w:rFonts w:eastAsia="Arial Unicode MS" w:cs="Arial"/>
          <w:kern w:val="2"/>
          <w:sz w:val="24"/>
          <w:szCs w:val="24"/>
          <w:vertAlign w:val="superscript"/>
        </w:rPr>
        <w:footnoteReference w:id="58"/>
      </w:r>
    </w:p>
    <w:p w14:paraId="30CCA372" w14:textId="0C0F5086" w:rsidR="00D42EF7" w:rsidRPr="00581C3B" w:rsidRDefault="004C0294" w:rsidP="00765211">
      <w:pPr>
        <w:pStyle w:val="ListParagraph"/>
        <w:numPr>
          <w:ilvl w:val="0"/>
          <w:numId w:val="14"/>
        </w:numPr>
        <w:spacing w:after="240" w:line="240" w:lineRule="auto"/>
        <w:ind w:left="0" w:firstLine="0"/>
        <w:contextualSpacing w:val="0"/>
        <w:rPr>
          <w:rFonts w:cs="Arial"/>
          <w:sz w:val="24"/>
          <w:szCs w:val="24"/>
        </w:rPr>
      </w:pPr>
      <w:r w:rsidRPr="00581C3B">
        <w:rPr>
          <w:rFonts w:eastAsia="DengXian" w:cs="Arial"/>
          <w:sz w:val="24"/>
          <w:szCs w:val="24"/>
          <w:lang w:val="en-GB"/>
        </w:rPr>
        <w:t>A</w:t>
      </w:r>
      <w:r w:rsidR="00FB449B" w:rsidRPr="00581C3B">
        <w:rPr>
          <w:rFonts w:eastAsia="DengXian" w:cs="Arial"/>
          <w:sz w:val="24"/>
          <w:szCs w:val="24"/>
        </w:rPr>
        <w:t>lthough a defendant who comes into possession of, for example, a computer program may not have actual knowledge that the program comprises a ransomware or virus (which can be used to commit a cyber-related crime), the circumstances may be so dubious as to warrant the defendant to have reasonable grounds to hold such belief.</w:t>
      </w:r>
      <w:r w:rsidR="00987D2D" w:rsidRPr="00581C3B">
        <w:rPr>
          <w:rFonts w:eastAsia="Arial Unicode MS" w:cs="Arial"/>
          <w:kern w:val="2"/>
          <w:sz w:val="24"/>
          <w:szCs w:val="24"/>
          <w:vertAlign w:val="superscript"/>
        </w:rPr>
        <w:footnoteReference w:id="59"/>
      </w:r>
      <w:r w:rsidR="00FB449B" w:rsidRPr="00581C3B">
        <w:rPr>
          <w:rFonts w:eastAsia="DengXian" w:cs="Arial"/>
          <w:sz w:val="24"/>
          <w:szCs w:val="24"/>
        </w:rPr>
        <w:t xml:space="preserve">  </w:t>
      </w:r>
      <w:r w:rsidR="00FB449B" w:rsidRPr="00581C3B">
        <w:rPr>
          <w:rFonts w:cs="Arial"/>
          <w:sz w:val="24"/>
          <w:szCs w:val="24"/>
        </w:rPr>
        <w:t>The</w:t>
      </w:r>
      <w:r w:rsidR="003707AA">
        <w:rPr>
          <w:rFonts w:cs="Arial"/>
          <w:sz w:val="24"/>
          <w:szCs w:val="24"/>
        </w:rPr>
        <w:t xml:space="preserve">re is a substantial degree of criminality in knowingly </w:t>
      </w:r>
      <w:r w:rsidR="00FB449B" w:rsidRPr="00581C3B">
        <w:rPr>
          <w:rFonts w:cs="Arial"/>
          <w:sz w:val="24"/>
          <w:szCs w:val="24"/>
        </w:rPr>
        <w:t xml:space="preserve">making available devices, programs or data for committing cybercrime </w:t>
      </w:r>
      <w:r w:rsidR="003707AA">
        <w:rPr>
          <w:rFonts w:cs="Arial"/>
          <w:sz w:val="24"/>
          <w:szCs w:val="24"/>
        </w:rPr>
        <w:t>and</w:t>
      </w:r>
      <w:r w:rsidR="00FB449B" w:rsidRPr="00581C3B">
        <w:rPr>
          <w:rFonts w:cs="Arial"/>
          <w:sz w:val="24"/>
          <w:szCs w:val="24"/>
        </w:rPr>
        <w:t xml:space="preserve"> </w:t>
      </w:r>
      <w:r w:rsidR="003707AA">
        <w:rPr>
          <w:rFonts w:cs="Arial"/>
          <w:sz w:val="24"/>
          <w:szCs w:val="24"/>
        </w:rPr>
        <w:t xml:space="preserve">knowingly </w:t>
      </w:r>
      <w:r w:rsidR="00FB449B" w:rsidRPr="00581C3B">
        <w:rPr>
          <w:rFonts w:cs="Arial"/>
          <w:sz w:val="24"/>
          <w:szCs w:val="24"/>
        </w:rPr>
        <w:t>possessing any of these items for the purpose of making them available.  Curbing this sort of behaviour is in line with the broader objective of the proposed offence to prevent the use of harmful devices, programs or data for</w:t>
      </w:r>
      <w:r w:rsidR="00707DF1" w:rsidRPr="00581C3B">
        <w:rPr>
          <w:rFonts w:cs="Arial"/>
          <w:sz w:val="24"/>
          <w:szCs w:val="24"/>
        </w:rPr>
        <w:t xml:space="preserve"> the commission of cybercrime.</w:t>
      </w:r>
    </w:p>
    <w:p w14:paraId="052C1F71" w14:textId="4E2076C7" w:rsidR="00FB449B" w:rsidRPr="00581C3B" w:rsidRDefault="00D42EF7" w:rsidP="00765211">
      <w:pPr>
        <w:pStyle w:val="ListParagraph"/>
        <w:numPr>
          <w:ilvl w:val="0"/>
          <w:numId w:val="14"/>
        </w:numPr>
        <w:spacing w:after="240" w:line="240" w:lineRule="auto"/>
        <w:ind w:left="0" w:firstLine="0"/>
        <w:contextualSpacing w:val="0"/>
        <w:rPr>
          <w:rFonts w:cs="Arial"/>
          <w:sz w:val="24"/>
          <w:szCs w:val="24"/>
        </w:rPr>
      </w:pPr>
      <w:r w:rsidRPr="00581C3B">
        <w:rPr>
          <w:rFonts w:cs="Arial"/>
          <w:sz w:val="24"/>
          <w:szCs w:val="24"/>
        </w:rPr>
        <w:t xml:space="preserve">To </w:t>
      </w:r>
      <w:r w:rsidR="00FB449B" w:rsidRPr="00581C3B">
        <w:rPr>
          <w:rFonts w:cs="Arial"/>
          <w:sz w:val="24"/>
          <w:szCs w:val="24"/>
        </w:rPr>
        <w:t xml:space="preserve">enhance </w:t>
      </w:r>
      <w:r w:rsidR="00707DF1" w:rsidRPr="00581C3B">
        <w:rPr>
          <w:rFonts w:cs="Arial"/>
          <w:sz w:val="24"/>
          <w:szCs w:val="24"/>
        </w:rPr>
        <w:t>the deterrent effect of the law</w:t>
      </w:r>
      <w:r w:rsidR="00FB449B" w:rsidRPr="00581C3B">
        <w:rPr>
          <w:rFonts w:cs="Arial"/>
          <w:sz w:val="24"/>
          <w:szCs w:val="24"/>
        </w:rPr>
        <w:t xml:space="preserve">, we recommend that </w:t>
      </w:r>
      <w:r w:rsidR="00AE17B6" w:rsidRPr="00581C3B">
        <w:rPr>
          <w:rFonts w:cs="Arial"/>
          <w:sz w:val="24"/>
          <w:szCs w:val="24"/>
        </w:rPr>
        <w:t xml:space="preserve">the proposed offence should also catch </w:t>
      </w:r>
      <w:r w:rsidR="00FB449B" w:rsidRPr="00581C3B">
        <w:rPr>
          <w:rFonts w:cs="Arial"/>
          <w:sz w:val="24"/>
          <w:szCs w:val="24"/>
        </w:rPr>
        <w:t xml:space="preserve">a </w:t>
      </w:r>
      <w:r w:rsidR="00AE17B6" w:rsidRPr="00581C3B">
        <w:rPr>
          <w:rFonts w:cs="Arial"/>
          <w:sz w:val="24"/>
          <w:szCs w:val="24"/>
        </w:rPr>
        <w:t xml:space="preserve">person who </w:t>
      </w:r>
      <w:r w:rsidR="00FB449B" w:rsidRPr="00581C3B">
        <w:rPr>
          <w:rFonts w:cs="Arial"/>
          <w:sz w:val="24"/>
          <w:szCs w:val="24"/>
        </w:rPr>
        <w:t>“</w:t>
      </w:r>
      <w:r w:rsidR="00FB449B" w:rsidRPr="00581C3B">
        <w:rPr>
          <w:rFonts w:cs="Arial"/>
          <w:i/>
          <w:sz w:val="24"/>
          <w:szCs w:val="24"/>
        </w:rPr>
        <w:t>has reasonable grounds to believe</w:t>
      </w:r>
      <w:r w:rsidR="00FB449B" w:rsidRPr="00581C3B">
        <w:rPr>
          <w:rFonts w:cs="Arial"/>
          <w:sz w:val="24"/>
          <w:szCs w:val="24"/>
        </w:rPr>
        <w:t xml:space="preserve">” that the primary use of a device, program or data is to commit a cyber-related </w:t>
      </w:r>
      <w:r w:rsidR="00DA2212">
        <w:rPr>
          <w:rFonts w:cs="Arial"/>
          <w:sz w:val="24"/>
          <w:szCs w:val="24"/>
        </w:rPr>
        <w:t>crime</w:t>
      </w:r>
      <w:r w:rsidR="00FB449B" w:rsidRPr="00581C3B">
        <w:rPr>
          <w:rFonts w:cs="Arial"/>
          <w:sz w:val="24"/>
          <w:szCs w:val="24"/>
        </w:rPr>
        <w:t>.</w:t>
      </w:r>
    </w:p>
    <w:p w14:paraId="59220C53" w14:textId="1335CCC9" w:rsidR="00130738" w:rsidRPr="00581C3B" w:rsidRDefault="009642E8" w:rsidP="00130738">
      <w:pPr>
        <w:pStyle w:val="ListParagraph"/>
        <w:spacing w:after="240" w:line="240" w:lineRule="auto"/>
        <w:ind w:left="0"/>
        <w:contextualSpacing w:val="0"/>
        <w:rPr>
          <w:rFonts w:cs="Arial"/>
          <w:sz w:val="24"/>
          <w:szCs w:val="24"/>
          <w:lang w:val="en-GB"/>
        </w:rPr>
      </w:pPr>
      <w:r w:rsidRPr="00581C3B">
        <w:rPr>
          <w:rFonts w:eastAsia="DengXian" w:cs="Arial"/>
          <w:b/>
          <w:i/>
          <w:sz w:val="24"/>
          <w:szCs w:val="24"/>
        </w:rPr>
        <w:t>Making available or possess</w:t>
      </w:r>
      <w:r w:rsidR="00D42EF7" w:rsidRPr="00581C3B">
        <w:rPr>
          <w:rFonts w:eastAsia="DengXian" w:cs="Arial"/>
          <w:b/>
          <w:i/>
          <w:sz w:val="24"/>
          <w:szCs w:val="24"/>
        </w:rPr>
        <w:t>ing</w:t>
      </w:r>
      <w:r w:rsidRPr="00581C3B">
        <w:rPr>
          <w:rFonts w:eastAsia="DengXian" w:cs="Arial"/>
          <w:b/>
          <w:i/>
          <w:sz w:val="24"/>
          <w:szCs w:val="24"/>
        </w:rPr>
        <w:t xml:space="preserve"> part of a malicious device, program or data</w:t>
      </w:r>
      <w:r w:rsidR="00987D2D" w:rsidRPr="00581C3B">
        <w:rPr>
          <w:rFonts w:eastAsia="Arial Unicode MS" w:cs="Arial"/>
          <w:kern w:val="2"/>
          <w:sz w:val="24"/>
          <w:szCs w:val="24"/>
          <w:vertAlign w:val="superscript"/>
        </w:rPr>
        <w:footnoteReference w:id="60"/>
      </w:r>
    </w:p>
    <w:p w14:paraId="4D381B7B" w14:textId="513638FB" w:rsidR="00707DF1" w:rsidRPr="00581C3B" w:rsidRDefault="009642E8"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hint="eastAsia"/>
          <w:sz w:val="24"/>
          <w:szCs w:val="24"/>
        </w:rPr>
        <w:t>W</w:t>
      </w:r>
      <w:r w:rsidRPr="00581C3B">
        <w:rPr>
          <w:sz w:val="24"/>
          <w:szCs w:val="24"/>
        </w:rPr>
        <w:t>i</w:t>
      </w:r>
      <w:r w:rsidRPr="00581C3B">
        <w:rPr>
          <w:rFonts w:hint="eastAsia"/>
          <w:sz w:val="24"/>
          <w:szCs w:val="24"/>
        </w:rPr>
        <w:t xml:space="preserve">th </w:t>
      </w:r>
      <w:r w:rsidRPr="00581C3B">
        <w:rPr>
          <w:sz w:val="24"/>
          <w:szCs w:val="24"/>
        </w:rPr>
        <w:t>the advancement in technology, program</w:t>
      </w:r>
      <w:r w:rsidR="002F3C20" w:rsidRPr="00581C3B">
        <w:rPr>
          <w:sz w:val="24"/>
          <w:szCs w:val="24"/>
        </w:rPr>
        <w:t>s</w:t>
      </w:r>
      <w:r w:rsidRPr="00581C3B">
        <w:rPr>
          <w:sz w:val="24"/>
          <w:szCs w:val="24"/>
        </w:rPr>
        <w:t xml:space="preserve"> or data </w:t>
      </w:r>
      <w:r w:rsidR="00987D2D" w:rsidRPr="00581C3B">
        <w:rPr>
          <w:sz w:val="24"/>
          <w:szCs w:val="24"/>
        </w:rPr>
        <w:t>can</w:t>
      </w:r>
      <w:r w:rsidRPr="00581C3B">
        <w:rPr>
          <w:sz w:val="24"/>
          <w:szCs w:val="24"/>
        </w:rPr>
        <w:t xml:space="preserve"> be stored, accessed and shared in a decentralised way (eg in a distributed file system such as the InterPlanetary File System, or the Blockchain technology</w:t>
      </w:r>
      <w:r w:rsidRPr="00581C3B">
        <w:rPr>
          <w:rStyle w:val="FootnoteReference"/>
          <w:sz w:val="24"/>
          <w:szCs w:val="24"/>
        </w:rPr>
        <w:footnoteReference w:id="61"/>
      </w:r>
      <w:r w:rsidRPr="00581C3B">
        <w:rPr>
          <w:sz w:val="24"/>
          <w:szCs w:val="24"/>
        </w:rPr>
        <w:t>).  A perpetrator may only hold a portion of the overall data, which is by itself innocent, but technology makes it possible to aggregate data stored at multiple locations and make the composite malicious data availab</w:t>
      </w:r>
      <w:r w:rsidR="00707DF1" w:rsidRPr="00581C3B">
        <w:rPr>
          <w:sz w:val="24"/>
          <w:szCs w:val="24"/>
        </w:rPr>
        <w:t>le to any person.</w:t>
      </w:r>
    </w:p>
    <w:p w14:paraId="112151DD" w14:textId="794FEB5E" w:rsidR="00037E80" w:rsidRPr="00581C3B" w:rsidRDefault="009642E8" w:rsidP="00765211">
      <w:pPr>
        <w:pStyle w:val="ListParagraph"/>
        <w:numPr>
          <w:ilvl w:val="0"/>
          <w:numId w:val="14"/>
        </w:numPr>
        <w:spacing w:after="240" w:line="240" w:lineRule="auto"/>
        <w:ind w:left="0" w:firstLine="0"/>
        <w:contextualSpacing w:val="0"/>
        <w:rPr>
          <w:sz w:val="24"/>
          <w:szCs w:val="24"/>
        </w:rPr>
      </w:pPr>
      <w:r w:rsidRPr="00581C3B">
        <w:rPr>
          <w:sz w:val="24"/>
          <w:szCs w:val="24"/>
        </w:rPr>
        <w:t>To allow more flexibility in the law, we recommend refining Recommendation 9 by specifying that the reference to a “</w:t>
      </w:r>
      <w:r w:rsidRPr="00581C3B">
        <w:rPr>
          <w:i/>
          <w:sz w:val="24"/>
          <w:szCs w:val="24"/>
        </w:rPr>
        <w:t>device, program or data</w:t>
      </w:r>
      <w:r w:rsidRPr="00581C3B">
        <w:rPr>
          <w:sz w:val="24"/>
          <w:szCs w:val="24"/>
        </w:rPr>
        <w:t xml:space="preserve">” includes a part thereof.  This revision </w:t>
      </w:r>
      <w:r w:rsidR="00707DF1" w:rsidRPr="00581C3B">
        <w:rPr>
          <w:sz w:val="24"/>
          <w:szCs w:val="24"/>
        </w:rPr>
        <w:t>does</w:t>
      </w:r>
      <w:r w:rsidRPr="00581C3B">
        <w:rPr>
          <w:sz w:val="24"/>
          <w:szCs w:val="24"/>
        </w:rPr>
        <w:t xml:space="preserve"> not fundamentally alter the nature of the proposed offence because for criminal liability to arise, the prosecution </w:t>
      </w:r>
      <w:r w:rsidR="00707DF1" w:rsidRPr="00581C3B">
        <w:rPr>
          <w:sz w:val="24"/>
          <w:szCs w:val="24"/>
        </w:rPr>
        <w:t>must</w:t>
      </w:r>
      <w:r w:rsidRPr="00581C3B">
        <w:rPr>
          <w:sz w:val="24"/>
          <w:szCs w:val="24"/>
        </w:rPr>
        <w:t xml:space="preserve"> prove the same </w:t>
      </w:r>
      <w:r w:rsidRPr="00581C3B">
        <w:rPr>
          <w:i/>
          <w:sz w:val="24"/>
          <w:szCs w:val="24"/>
        </w:rPr>
        <w:t>mens rea</w:t>
      </w:r>
      <w:r w:rsidRPr="00581C3B">
        <w:rPr>
          <w:sz w:val="24"/>
          <w:szCs w:val="24"/>
        </w:rPr>
        <w:t xml:space="preserve"> elements beyond r</w:t>
      </w:r>
      <w:r w:rsidR="00707DF1" w:rsidRPr="00581C3B">
        <w:rPr>
          <w:sz w:val="24"/>
          <w:szCs w:val="24"/>
        </w:rPr>
        <w:t xml:space="preserve">easonable doubt, ie the person </w:t>
      </w:r>
      <w:r w:rsidR="00C173C8" w:rsidRPr="00581C3B">
        <w:rPr>
          <w:sz w:val="24"/>
          <w:szCs w:val="24"/>
        </w:rPr>
        <w:t xml:space="preserve">(i) </w:t>
      </w:r>
      <w:r w:rsidR="00707DF1" w:rsidRPr="00581C3B">
        <w:rPr>
          <w:sz w:val="24"/>
          <w:szCs w:val="24"/>
        </w:rPr>
        <w:t xml:space="preserve">knows that </w:t>
      </w:r>
      <w:r w:rsidR="00C173C8" w:rsidRPr="00581C3B">
        <w:rPr>
          <w:sz w:val="24"/>
          <w:szCs w:val="24"/>
        </w:rPr>
        <w:t xml:space="preserve">he is in possession of a device, program or data (or any part thereof); and (ii) knows, believes, has reasonable grounds to believe, or claims that the primary use of a device, program or data (or any part thereof) is to commit a cyber-related </w:t>
      </w:r>
      <w:r w:rsidR="00DA2212">
        <w:rPr>
          <w:sz w:val="24"/>
          <w:szCs w:val="24"/>
        </w:rPr>
        <w:t>crime</w:t>
      </w:r>
      <w:r w:rsidR="00C173C8" w:rsidRPr="00581C3B">
        <w:rPr>
          <w:sz w:val="24"/>
          <w:szCs w:val="24"/>
        </w:rPr>
        <w:t>.</w:t>
      </w:r>
    </w:p>
    <w:p w14:paraId="2C6D692F" w14:textId="54032CCF" w:rsidR="0072412E" w:rsidRPr="00581C3B" w:rsidRDefault="0072412E" w:rsidP="0090149F">
      <w:pPr>
        <w:pStyle w:val="ListParagraph"/>
        <w:keepNext/>
        <w:widowControl/>
        <w:spacing w:after="240" w:line="240" w:lineRule="auto"/>
        <w:ind w:left="0"/>
        <w:contextualSpacing w:val="0"/>
        <w:rPr>
          <w:rFonts w:cs="Arial"/>
          <w:sz w:val="24"/>
          <w:szCs w:val="24"/>
          <w:lang w:val="en-GB"/>
        </w:rPr>
      </w:pPr>
      <w:r w:rsidRPr="00581C3B">
        <w:rPr>
          <w:rFonts w:eastAsia="DengXian" w:cs="Arial"/>
          <w:b/>
          <w:i/>
          <w:sz w:val="24"/>
          <w:szCs w:val="24"/>
        </w:rPr>
        <w:t>The “reasonable excuse” statutory defence</w:t>
      </w:r>
      <w:r w:rsidR="00485D27" w:rsidRPr="00581C3B">
        <w:rPr>
          <w:rFonts w:eastAsia="Arial Unicode MS" w:cs="Arial"/>
          <w:kern w:val="2"/>
          <w:sz w:val="24"/>
          <w:szCs w:val="24"/>
          <w:vertAlign w:val="superscript"/>
        </w:rPr>
        <w:footnoteReference w:id="62"/>
      </w:r>
    </w:p>
    <w:p w14:paraId="464E56BD" w14:textId="7D6B411A" w:rsidR="0089624D" w:rsidRPr="00581C3B" w:rsidRDefault="0072412E" w:rsidP="0090149F">
      <w:pPr>
        <w:pStyle w:val="ListParagraph"/>
        <w:keepNext/>
        <w:widowControl/>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As with the Access Offence discussed in Chapter 2, we </w:t>
      </w:r>
      <w:r w:rsidRPr="00581C3B">
        <w:rPr>
          <w:rFonts w:eastAsia="DengXian" w:cs="Arial"/>
          <w:sz w:val="24"/>
          <w:szCs w:val="24"/>
        </w:rPr>
        <w:t>consider it unnecessary to provide a list of examples of legitimate activities that would fall within the general “reasonable excuse” defence to the proposed offence</w:t>
      </w:r>
      <w:r w:rsidR="0089624D" w:rsidRPr="00581C3B">
        <w:rPr>
          <w:rFonts w:cs="Arial"/>
          <w:sz w:val="24"/>
          <w:szCs w:val="24"/>
          <w:lang w:val="en-GB"/>
        </w:rPr>
        <w:t>.</w:t>
      </w:r>
      <w:r w:rsidR="00AA1E94" w:rsidRPr="00581C3B">
        <w:rPr>
          <w:rFonts w:cs="Arial"/>
          <w:sz w:val="24"/>
          <w:szCs w:val="24"/>
          <w:lang w:val="en-GB"/>
        </w:rPr>
        <w:t xml:space="preserve">  We have recommended a number of specific defences</w:t>
      </w:r>
      <w:r w:rsidR="00987D2D" w:rsidRPr="00581C3B">
        <w:rPr>
          <w:rFonts w:cs="Arial"/>
          <w:sz w:val="24"/>
          <w:szCs w:val="24"/>
          <w:lang w:val="en-GB"/>
        </w:rPr>
        <w:t>, which will be discussed in</w:t>
      </w:r>
      <w:r w:rsidR="00AA1E94" w:rsidRPr="00581C3B">
        <w:rPr>
          <w:rFonts w:cs="Arial"/>
          <w:sz w:val="24"/>
          <w:szCs w:val="24"/>
          <w:lang w:val="en-GB"/>
        </w:rPr>
        <w:t xml:space="preserve"> paragraphs </w:t>
      </w:r>
      <w:r w:rsidR="00871600" w:rsidRPr="00581C3B">
        <w:rPr>
          <w:rFonts w:cs="Arial"/>
          <w:sz w:val="24"/>
          <w:szCs w:val="24"/>
          <w:lang w:val="en-GB"/>
        </w:rPr>
        <w:t>8</w:t>
      </w:r>
      <w:r w:rsidR="00E44095">
        <w:rPr>
          <w:rFonts w:cs="Arial"/>
          <w:sz w:val="24"/>
          <w:szCs w:val="24"/>
          <w:lang w:val="en-GB"/>
        </w:rPr>
        <w:t>5</w:t>
      </w:r>
      <w:r w:rsidR="00871600" w:rsidRPr="00581C3B">
        <w:rPr>
          <w:rFonts w:cs="Arial"/>
          <w:sz w:val="24"/>
          <w:szCs w:val="24"/>
          <w:lang w:val="en-GB"/>
        </w:rPr>
        <w:t xml:space="preserve"> to 9</w:t>
      </w:r>
      <w:r w:rsidR="00E44095">
        <w:rPr>
          <w:rFonts w:cs="Arial"/>
          <w:sz w:val="24"/>
          <w:szCs w:val="24"/>
          <w:lang w:val="en-GB"/>
        </w:rPr>
        <w:t>3</w:t>
      </w:r>
      <w:r w:rsidR="00AA1E94" w:rsidRPr="00581C3B">
        <w:rPr>
          <w:rFonts w:cs="Arial"/>
          <w:sz w:val="24"/>
          <w:szCs w:val="24"/>
          <w:lang w:val="en-GB"/>
        </w:rPr>
        <w:t xml:space="preserve"> below.</w:t>
      </w:r>
    </w:p>
    <w:p w14:paraId="54DA0E4B" w14:textId="4CDC82D5" w:rsidR="0089624D" w:rsidRPr="00581C3B" w:rsidRDefault="00AA1E94"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Based on Recommendation 9 in the CP (with some modifications), we make our </w:t>
      </w:r>
      <w:r w:rsidRPr="00581C3B">
        <w:rPr>
          <w:rFonts w:cs="Arial"/>
          <w:b/>
          <w:sz w:val="24"/>
          <w:szCs w:val="24"/>
          <w:lang w:val="en-GB"/>
        </w:rPr>
        <w:t>Final Recommendation 9</w:t>
      </w:r>
      <w:r w:rsidR="00626FFC" w:rsidRPr="00581C3B">
        <w:rPr>
          <w:rFonts w:cs="Arial"/>
          <w:sz w:val="24"/>
          <w:szCs w:val="24"/>
          <w:lang w:val="en-GB"/>
        </w:rPr>
        <w:t xml:space="preserve"> as follows</w:t>
      </w:r>
      <w:r w:rsidRPr="00581C3B">
        <w:rPr>
          <w:rFonts w:cs="Arial"/>
          <w:sz w:val="24"/>
          <w:szCs w:val="24"/>
          <w:lang w:val="en-GB"/>
        </w:rPr>
        <w:t>:</w:t>
      </w:r>
    </w:p>
    <w:p w14:paraId="25ED0F97" w14:textId="75CEB30E" w:rsidR="00687A7F" w:rsidRPr="00581C3B" w:rsidRDefault="006F2A71" w:rsidP="0090149F">
      <w:pPr>
        <w:pStyle w:val="ListParagraph"/>
        <w:tabs>
          <w:tab w:val="clear" w:pos="1418"/>
          <w:tab w:val="left" w:pos="993"/>
        </w:tabs>
        <w:spacing w:after="240" w:line="240" w:lineRule="auto"/>
        <w:ind w:left="1440" w:right="720" w:hanging="720"/>
        <w:contextualSpacing w:val="0"/>
        <w:rPr>
          <w:i/>
          <w:sz w:val="24"/>
          <w:szCs w:val="24"/>
        </w:rPr>
      </w:pPr>
      <w:r w:rsidRPr="00581C3B">
        <w:rPr>
          <w:rFonts w:eastAsiaTheme="minorEastAsia" w:cs="Arial"/>
          <w:i/>
          <w:sz w:val="24"/>
          <w:szCs w:val="24"/>
          <w:lang w:val="en-GB"/>
        </w:rPr>
        <w:t>“(a)</w:t>
      </w:r>
      <w:r w:rsidR="00687A7F" w:rsidRPr="00581C3B">
        <w:rPr>
          <w:rFonts w:eastAsiaTheme="minorEastAsia" w:cs="Arial"/>
          <w:i/>
          <w:sz w:val="24"/>
          <w:szCs w:val="24"/>
          <w:lang w:val="en-GB"/>
        </w:rPr>
        <w:tab/>
      </w:r>
      <w:r w:rsidRPr="0090149F">
        <w:rPr>
          <w:i/>
          <w:sz w:val="24"/>
          <w:szCs w:val="24"/>
        </w:rPr>
        <w:t>Knowingly making available a device, program or data (</w:t>
      </w:r>
      <w:r w:rsidR="003D3FCD" w:rsidRPr="0090149F">
        <w:rPr>
          <w:i/>
          <w:sz w:val="24"/>
          <w:szCs w:val="24"/>
        </w:rPr>
        <w:t>or a</w:t>
      </w:r>
      <w:r w:rsidR="003D3FCD">
        <w:rPr>
          <w:i/>
          <w:sz w:val="24"/>
          <w:szCs w:val="24"/>
        </w:rPr>
        <w:t xml:space="preserve"> part thereof</w:t>
      </w:r>
      <w:r w:rsidRPr="00581C3B">
        <w:rPr>
          <w:i/>
          <w:sz w:val="24"/>
          <w:szCs w:val="24"/>
        </w:rPr>
        <w:t xml:space="preserve">) made or adapted to commit a cyber-related </w:t>
      </w:r>
      <w:r w:rsidR="005E495D">
        <w:rPr>
          <w:i/>
          <w:sz w:val="24"/>
          <w:szCs w:val="24"/>
        </w:rPr>
        <w:t>crime</w:t>
      </w:r>
      <w:r w:rsidR="003D3FCD">
        <w:rPr>
          <w:i/>
          <w:sz w:val="24"/>
          <w:szCs w:val="24"/>
        </w:rPr>
        <w:t>,</w:t>
      </w:r>
      <w:r w:rsidR="00C2606F" w:rsidRPr="00581C3B">
        <w:rPr>
          <w:rStyle w:val="FootnoteReference"/>
          <w:rFonts w:cs="Arial"/>
          <w:sz w:val="24"/>
          <w:szCs w:val="24"/>
        </w:rPr>
        <w:footnoteReference w:id="63"/>
      </w:r>
      <w:r w:rsidR="003D3FCD" w:rsidRPr="003D3FCD">
        <w:rPr>
          <w:rStyle w:val="FootnoteReference"/>
          <w:rFonts w:cs="Arial"/>
        </w:rPr>
        <w:t xml:space="preserve"> </w:t>
      </w:r>
      <w:r w:rsidR="003D3FCD" w:rsidRPr="003D3FCD">
        <w:rPr>
          <w:i/>
          <w:sz w:val="24"/>
          <w:szCs w:val="24"/>
        </w:rPr>
        <w:t>or knowingly possessing the device, program or data for the purpose of making it available, irrespective of whether it is tangible or intangible, eg ransomware, a virus or their source code,</w:t>
      </w:r>
      <w:r w:rsidRPr="00581C3B">
        <w:rPr>
          <w:i/>
          <w:sz w:val="24"/>
          <w:szCs w:val="24"/>
        </w:rPr>
        <w:t xml:space="preserve"> should be a basic offence under the new legislation, subject to a statutory defence of reasonable excuse.</w:t>
      </w:r>
      <w:r w:rsidR="00687A7F" w:rsidRPr="00581C3B">
        <w:rPr>
          <w:i/>
          <w:sz w:val="24"/>
          <w:szCs w:val="24"/>
        </w:rPr>
        <w:tab/>
      </w:r>
    </w:p>
    <w:p w14:paraId="7A2E12CE" w14:textId="1E8211C2" w:rsidR="00687A7F" w:rsidRPr="00581C3B" w:rsidRDefault="00687A7F" w:rsidP="00687A7F">
      <w:pPr>
        <w:pStyle w:val="ListParagraph"/>
        <w:spacing w:after="240" w:line="240" w:lineRule="auto"/>
        <w:ind w:left="1440" w:right="720" w:hanging="720"/>
        <w:contextualSpacing w:val="0"/>
        <w:rPr>
          <w:i/>
          <w:sz w:val="24"/>
          <w:szCs w:val="24"/>
        </w:rPr>
      </w:pPr>
      <w:r w:rsidRPr="00581C3B">
        <w:rPr>
          <w:i/>
          <w:sz w:val="24"/>
          <w:szCs w:val="24"/>
        </w:rPr>
        <w:t>(</w:t>
      </w:r>
      <w:r w:rsidR="003D3FCD">
        <w:rPr>
          <w:i/>
          <w:sz w:val="24"/>
          <w:szCs w:val="24"/>
        </w:rPr>
        <w:t>b</w:t>
      </w:r>
      <w:r w:rsidRPr="00581C3B">
        <w:rPr>
          <w:i/>
          <w:sz w:val="24"/>
          <w:szCs w:val="24"/>
        </w:rPr>
        <w:t>)</w:t>
      </w:r>
      <w:r w:rsidRPr="00581C3B">
        <w:rPr>
          <w:i/>
          <w:sz w:val="24"/>
          <w:szCs w:val="24"/>
        </w:rPr>
        <w:tab/>
      </w:r>
      <w:r w:rsidR="006F2A71" w:rsidRPr="00581C3B">
        <w:rPr>
          <w:i/>
          <w:sz w:val="24"/>
          <w:szCs w:val="24"/>
        </w:rPr>
        <w:t>The actus reus of the proposed offence should cover both the supply side (such as production, offering, sale and export of a device, program or data in question) and the demand side (such as obtaining, possession, purchase and import of a device, program or data in question).</w:t>
      </w:r>
    </w:p>
    <w:p w14:paraId="6632D118" w14:textId="5A401AA2" w:rsidR="00687A7F" w:rsidRPr="00581C3B" w:rsidRDefault="00687A7F" w:rsidP="00687A7F">
      <w:pPr>
        <w:pStyle w:val="ListParagraph"/>
        <w:spacing w:after="240" w:line="240" w:lineRule="auto"/>
        <w:ind w:left="1440" w:right="720" w:hanging="720"/>
        <w:contextualSpacing w:val="0"/>
        <w:rPr>
          <w:i/>
          <w:sz w:val="24"/>
          <w:szCs w:val="24"/>
        </w:rPr>
      </w:pPr>
      <w:r w:rsidRPr="00581C3B">
        <w:rPr>
          <w:i/>
          <w:sz w:val="24"/>
          <w:szCs w:val="24"/>
        </w:rPr>
        <w:t>(</w:t>
      </w:r>
      <w:r w:rsidR="003D3FCD">
        <w:rPr>
          <w:i/>
          <w:sz w:val="24"/>
          <w:szCs w:val="24"/>
        </w:rPr>
        <w:t>c</w:t>
      </w:r>
      <w:r w:rsidRPr="00581C3B">
        <w:rPr>
          <w:i/>
          <w:sz w:val="24"/>
          <w:szCs w:val="24"/>
        </w:rPr>
        <w:t>)</w:t>
      </w:r>
      <w:r w:rsidRPr="00581C3B">
        <w:rPr>
          <w:i/>
          <w:sz w:val="24"/>
          <w:szCs w:val="24"/>
        </w:rPr>
        <w:tab/>
      </w:r>
      <w:r w:rsidR="006F2A71" w:rsidRPr="00581C3B">
        <w:rPr>
          <w:i/>
          <w:sz w:val="24"/>
          <w:szCs w:val="24"/>
        </w:rPr>
        <w:t xml:space="preserve">The proposed offence should apply to a device, program or data (or a part thereof) so long as its primary use (to be determined objectively) is to commit a cyber-related </w:t>
      </w:r>
      <w:r w:rsidR="005E495D">
        <w:rPr>
          <w:i/>
          <w:sz w:val="24"/>
          <w:szCs w:val="24"/>
        </w:rPr>
        <w:t>crime</w:t>
      </w:r>
      <w:r w:rsidR="006F2A71" w:rsidRPr="00581C3B">
        <w:rPr>
          <w:i/>
          <w:sz w:val="24"/>
          <w:szCs w:val="24"/>
        </w:rPr>
        <w:t>, regardless of whether or not it can also possibly be used for any legitimate purposes.</w:t>
      </w:r>
    </w:p>
    <w:p w14:paraId="3D281437" w14:textId="56FD642A" w:rsidR="006F2A71" w:rsidRPr="00581C3B" w:rsidRDefault="00687A7F" w:rsidP="00687A7F">
      <w:pPr>
        <w:pStyle w:val="ListParagraph"/>
        <w:spacing w:after="240" w:line="240" w:lineRule="auto"/>
        <w:ind w:left="1440" w:right="720" w:hanging="720"/>
        <w:contextualSpacing w:val="0"/>
        <w:rPr>
          <w:i/>
          <w:sz w:val="24"/>
          <w:szCs w:val="24"/>
        </w:rPr>
      </w:pPr>
      <w:r w:rsidRPr="00581C3B">
        <w:rPr>
          <w:i/>
          <w:sz w:val="24"/>
          <w:szCs w:val="24"/>
        </w:rPr>
        <w:t>(</w:t>
      </w:r>
      <w:r w:rsidR="003D3FCD">
        <w:rPr>
          <w:i/>
          <w:sz w:val="24"/>
          <w:szCs w:val="24"/>
        </w:rPr>
        <w:t>d</w:t>
      </w:r>
      <w:r w:rsidRPr="00581C3B">
        <w:rPr>
          <w:i/>
          <w:sz w:val="24"/>
          <w:szCs w:val="24"/>
        </w:rPr>
        <w:t>)</w:t>
      </w:r>
      <w:r w:rsidRPr="00581C3B">
        <w:rPr>
          <w:i/>
          <w:sz w:val="24"/>
          <w:szCs w:val="24"/>
        </w:rPr>
        <w:tab/>
      </w:r>
      <w:r w:rsidR="006F2A71" w:rsidRPr="00581C3B">
        <w:rPr>
          <w:i/>
          <w:sz w:val="24"/>
          <w:szCs w:val="24"/>
        </w:rPr>
        <w:t>The mens rea requirements of the proposed offence are that:</w:t>
      </w:r>
    </w:p>
    <w:p w14:paraId="4B3C2752" w14:textId="1F1190AD" w:rsidR="006F2A71" w:rsidRPr="00581C3B" w:rsidRDefault="006F2A71" w:rsidP="0090149F">
      <w:pPr>
        <w:pStyle w:val="ListParagraph"/>
        <w:numPr>
          <w:ilvl w:val="0"/>
          <w:numId w:val="39"/>
        </w:numPr>
        <w:spacing w:afterLines="50" w:after="120" w:line="240" w:lineRule="auto"/>
        <w:ind w:left="2160" w:right="720" w:hanging="720"/>
        <w:contextualSpacing w:val="0"/>
        <w:rPr>
          <w:rFonts w:eastAsiaTheme="minorEastAsia" w:cs="Arial"/>
          <w:i/>
          <w:sz w:val="24"/>
          <w:szCs w:val="24"/>
          <w:lang w:val="en-GB"/>
        </w:rPr>
      </w:pPr>
      <w:r w:rsidRPr="00581C3B">
        <w:rPr>
          <w:i/>
          <w:sz w:val="24"/>
          <w:szCs w:val="24"/>
        </w:rPr>
        <w:t>a person knows that he is</w:t>
      </w:r>
      <w:r w:rsidR="003D3FCD">
        <w:rPr>
          <w:i/>
          <w:sz w:val="24"/>
          <w:szCs w:val="24"/>
        </w:rPr>
        <w:t xml:space="preserve"> </w:t>
      </w:r>
      <w:r w:rsidR="003D3FCD" w:rsidRPr="003D3FCD">
        <w:rPr>
          <w:i/>
          <w:sz w:val="24"/>
          <w:szCs w:val="24"/>
        </w:rPr>
        <w:t>making available or that he is</w:t>
      </w:r>
      <w:r w:rsidRPr="00581C3B">
        <w:rPr>
          <w:i/>
          <w:sz w:val="24"/>
          <w:szCs w:val="24"/>
        </w:rPr>
        <w:t xml:space="preserve"> in possession of a device, program or data (or a part thereof)</w:t>
      </w:r>
      <w:r w:rsidR="003D3FCD">
        <w:rPr>
          <w:i/>
          <w:sz w:val="24"/>
          <w:szCs w:val="24"/>
        </w:rPr>
        <w:t xml:space="preserve"> </w:t>
      </w:r>
      <w:r w:rsidR="003D3FCD" w:rsidRPr="003D3FCD">
        <w:rPr>
          <w:i/>
          <w:sz w:val="24"/>
          <w:szCs w:val="24"/>
        </w:rPr>
        <w:t>for the purpose of making it available</w:t>
      </w:r>
      <w:r w:rsidRPr="00581C3B">
        <w:rPr>
          <w:i/>
          <w:sz w:val="24"/>
          <w:szCs w:val="24"/>
        </w:rPr>
        <w:t>;</w:t>
      </w:r>
      <w:r w:rsidR="003D3FCD">
        <w:rPr>
          <w:i/>
          <w:sz w:val="24"/>
          <w:szCs w:val="24"/>
        </w:rPr>
        <w:t xml:space="preserve"> and</w:t>
      </w:r>
    </w:p>
    <w:p w14:paraId="62322286" w14:textId="331DC426" w:rsidR="00687A7F" w:rsidRPr="00581C3B" w:rsidRDefault="006F2A71" w:rsidP="00687A7F">
      <w:pPr>
        <w:pStyle w:val="ListParagraph"/>
        <w:numPr>
          <w:ilvl w:val="0"/>
          <w:numId w:val="39"/>
        </w:numPr>
        <w:spacing w:after="240" w:line="240" w:lineRule="auto"/>
        <w:ind w:left="2160" w:right="720" w:hanging="720"/>
        <w:contextualSpacing w:val="0"/>
        <w:rPr>
          <w:rFonts w:eastAsiaTheme="minorEastAsia" w:cs="Arial"/>
          <w:i/>
          <w:sz w:val="24"/>
          <w:szCs w:val="24"/>
          <w:lang w:val="en-GB"/>
        </w:rPr>
      </w:pPr>
      <w:r w:rsidRPr="00581C3B">
        <w:rPr>
          <w:i/>
          <w:sz w:val="24"/>
          <w:szCs w:val="24"/>
        </w:rPr>
        <w:t xml:space="preserve">a person knows, believes, has reasonable grounds to believe, or claims that the primary use of a device, program or data (or a part thereof) is to commit a cyber-related </w:t>
      </w:r>
      <w:r w:rsidR="005E495D">
        <w:rPr>
          <w:i/>
          <w:sz w:val="24"/>
          <w:szCs w:val="24"/>
        </w:rPr>
        <w:t>crime</w:t>
      </w:r>
      <w:r w:rsidRPr="00581C3B">
        <w:rPr>
          <w:i/>
          <w:sz w:val="24"/>
          <w:szCs w:val="24"/>
        </w:rPr>
        <w:t>.</w:t>
      </w:r>
    </w:p>
    <w:p w14:paraId="58C929B8" w14:textId="1F5CFB2B" w:rsidR="00687A7F" w:rsidRPr="00581C3B" w:rsidRDefault="00687A7F" w:rsidP="0090149F">
      <w:pPr>
        <w:pStyle w:val="ListParagraph"/>
        <w:tabs>
          <w:tab w:val="clear" w:pos="1418"/>
        </w:tabs>
        <w:spacing w:after="240" w:line="240" w:lineRule="auto"/>
        <w:ind w:left="1440" w:right="720" w:hanging="720"/>
        <w:contextualSpacing w:val="0"/>
        <w:rPr>
          <w:rFonts w:eastAsiaTheme="minorEastAsia" w:cs="Arial"/>
          <w:i/>
          <w:sz w:val="24"/>
          <w:szCs w:val="24"/>
        </w:rPr>
      </w:pPr>
      <w:r w:rsidRPr="00581C3B">
        <w:rPr>
          <w:i/>
          <w:sz w:val="24"/>
          <w:szCs w:val="24"/>
        </w:rPr>
        <w:t>(</w:t>
      </w:r>
      <w:r w:rsidR="003D3FCD">
        <w:rPr>
          <w:i/>
          <w:sz w:val="24"/>
          <w:szCs w:val="24"/>
        </w:rPr>
        <w:t>e</w:t>
      </w:r>
      <w:r w:rsidRPr="00581C3B">
        <w:rPr>
          <w:i/>
          <w:sz w:val="24"/>
          <w:szCs w:val="24"/>
        </w:rPr>
        <w:t>)</w:t>
      </w:r>
      <w:r w:rsidRPr="00581C3B">
        <w:rPr>
          <w:i/>
          <w:sz w:val="24"/>
          <w:szCs w:val="24"/>
        </w:rPr>
        <w:tab/>
      </w:r>
      <w:r w:rsidR="006F2A71" w:rsidRPr="00581C3B">
        <w:rPr>
          <w:i/>
          <w:sz w:val="24"/>
          <w:szCs w:val="24"/>
        </w:rPr>
        <w:t xml:space="preserve">A person who </w:t>
      </w:r>
      <w:r w:rsidR="005D53ED" w:rsidRPr="00581C3B">
        <w:rPr>
          <w:i/>
          <w:sz w:val="24"/>
          <w:szCs w:val="24"/>
        </w:rPr>
        <w:t>claims (whether or not the claim is true) or mistakenly</w:t>
      </w:r>
      <w:r w:rsidR="006F2A71" w:rsidRPr="00581C3B">
        <w:rPr>
          <w:i/>
          <w:sz w:val="24"/>
          <w:szCs w:val="24"/>
        </w:rPr>
        <w:t xml:space="preserve"> believes that the primary use of a device, program or data is to commit a cyber-related </w:t>
      </w:r>
      <w:r w:rsidR="005E495D">
        <w:rPr>
          <w:i/>
          <w:sz w:val="24"/>
          <w:szCs w:val="24"/>
        </w:rPr>
        <w:t>crime</w:t>
      </w:r>
      <w:r w:rsidR="006F2A71" w:rsidRPr="00581C3B">
        <w:rPr>
          <w:i/>
          <w:sz w:val="24"/>
          <w:szCs w:val="24"/>
        </w:rPr>
        <w:t xml:space="preserve"> should also be guilty of an offence in the same way as a person is guilty of attempting to traffic in a dangerous drug even if the person’s culpable belief in the nature of the substance being trafficked turns out to be incorrect.</w:t>
      </w:r>
    </w:p>
    <w:p w14:paraId="186FE8CA" w14:textId="466A1205" w:rsidR="000B3ACE" w:rsidRPr="003D3FCD" w:rsidRDefault="00687A7F" w:rsidP="0090149F">
      <w:pPr>
        <w:pStyle w:val="ListParagraph"/>
        <w:tabs>
          <w:tab w:val="clear" w:pos="1418"/>
          <w:tab w:val="left" w:pos="720"/>
        </w:tabs>
        <w:spacing w:after="240" w:line="240" w:lineRule="auto"/>
        <w:ind w:left="1440" w:right="720" w:hanging="720"/>
        <w:contextualSpacing w:val="0"/>
        <w:rPr>
          <w:i/>
          <w:sz w:val="24"/>
          <w:szCs w:val="24"/>
        </w:rPr>
      </w:pPr>
      <w:r w:rsidRPr="00581C3B">
        <w:rPr>
          <w:i/>
          <w:sz w:val="24"/>
          <w:szCs w:val="24"/>
        </w:rPr>
        <w:t>(</w:t>
      </w:r>
      <w:r w:rsidR="003D3FCD">
        <w:rPr>
          <w:i/>
          <w:sz w:val="24"/>
          <w:szCs w:val="24"/>
        </w:rPr>
        <w:t>f</w:t>
      </w:r>
      <w:r w:rsidRPr="00581C3B">
        <w:rPr>
          <w:i/>
          <w:sz w:val="24"/>
          <w:szCs w:val="24"/>
        </w:rPr>
        <w:t>)</w:t>
      </w:r>
      <w:r w:rsidRPr="00581C3B">
        <w:rPr>
          <w:i/>
          <w:sz w:val="24"/>
          <w:szCs w:val="24"/>
        </w:rPr>
        <w:tab/>
      </w:r>
      <w:r w:rsidR="000B3ACE" w:rsidRPr="00581C3B">
        <w:rPr>
          <w:i/>
          <w:sz w:val="24"/>
          <w:szCs w:val="24"/>
        </w:rPr>
        <w:t xml:space="preserve">Knowingly making available a device, program or data (or a part thereof) made or adapted to commit a cyber-related </w:t>
      </w:r>
      <w:r w:rsidR="005E495D">
        <w:rPr>
          <w:i/>
          <w:sz w:val="24"/>
          <w:szCs w:val="24"/>
        </w:rPr>
        <w:t>crime</w:t>
      </w:r>
      <w:r w:rsidR="000B3ACE" w:rsidRPr="00581C3B">
        <w:rPr>
          <w:i/>
          <w:sz w:val="24"/>
          <w:szCs w:val="24"/>
        </w:rPr>
        <w:t xml:space="preserve">, </w:t>
      </w:r>
      <w:r w:rsidR="003D3FCD" w:rsidRPr="003D3FCD">
        <w:rPr>
          <w:i/>
          <w:sz w:val="24"/>
          <w:szCs w:val="24"/>
        </w:rPr>
        <w:t xml:space="preserve">or knowingly possessing the device, program or data for the purpose of making it available, </w:t>
      </w:r>
      <w:r w:rsidR="000B3ACE" w:rsidRPr="00581C3B">
        <w:rPr>
          <w:i/>
          <w:sz w:val="24"/>
          <w:szCs w:val="24"/>
        </w:rPr>
        <w:t>irrespective of whether it is tangible or intangible, eg ransomware, a virus or their source code</w:t>
      </w:r>
      <w:r w:rsidR="003D3FCD" w:rsidRPr="003D3FCD">
        <w:rPr>
          <w:i/>
          <w:sz w:val="24"/>
          <w:szCs w:val="24"/>
        </w:rPr>
        <w:t>, should constitute an aggravated offence under the new legislation, subject to a statutory defence of reasonable excuse, if the device, program or data</w:t>
      </w:r>
      <w:r w:rsidR="000B3ACE" w:rsidRPr="00581C3B">
        <w:rPr>
          <w:i/>
          <w:sz w:val="24"/>
          <w:szCs w:val="24"/>
        </w:rPr>
        <w:t>:</w:t>
      </w:r>
    </w:p>
    <w:p w14:paraId="39C46A37" w14:textId="693E42DF" w:rsidR="000B3ACE" w:rsidRPr="00581C3B" w:rsidRDefault="000B3ACE" w:rsidP="0090149F">
      <w:pPr>
        <w:pStyle w:val="ListParagraph"/>
        <w:numPr>
          <w:ilvl w:val="0"/>
          <w:numId w:val="40"/>
        </w:numPr>
        <w:spacing w:afterLines="50" w:after="120" w:line="240" w:lineRule="auto"/>
        <w:ind w:left="2160" w:right="720" w:hanging="720"/>
        <w:contextualSpacing w:val="0"/>
        <w:rPr>
          <w:i/>
          <w:sz w:val="24"/>
          <w:szCs w:val="24"/>
        </w:rPr>
      </w:pPr>
      <w:r w:rsidRPr="00581C3B">
        <w:rPr>
          <w:i/>
          <w:sz w:val="24"/>
          <w:szCs w:val="24"/>
        </w:rPr>
        <w:t>is, or is known, believed</w:t>
      </w:r>
      <w:r w:rsidR="005D53ED" w:rsidRPr="00581C3B">
        <w:rPr>
          <w:rStyle w:val="FootnoteReference"/>
          <w:rFonts w:cs="Arial"/>
          <w:sz w:val="24"/>
          <w:szCs w:val="24"/>
        </w:rPr>
        <w:footnoteReference w:id="64"/>
      </w:r>
      <w:r w:rsidRPr="00581C3B">
        <w:rPr>
          <w:i/>
          <w:sz w:val="24"/>
          <w:szCs w:val="24"/>
        </w:rPr>
        <w:t xml:space="preserve"> or claimed by the perpetrator to be, capable of being used to commit a cyber-related </w:t>
      </w:r>
      <w:r w:rsidR="005E495D">
        <w:rPr>
          <w:i/>
          <w:sz w:val="24"/>
          <w:szCs w:val="24"/>
        </w:rPr>
        <w:t>crime</w:t>
      </w:r>
      <w:r w:rsidRPr="00581C3B">
        <w:rPr>
          <w:i/>
          <w:sz w:val="24"/>
          <w:szCs w:val="24"/>
        </w:rPr>
        <w:t>; and</w:t>
      </w:r>
    </w:p>
    <w:p w14:paraId="18110028" w14:textId="0A4675CA" w:rsidR="000B3ACE" w:rsidRPr="00581C3B" w:rsidRDefault="000B3ACE" w:rsidP="00687A7F">
      <w:pPr>
        <w:pStyle w:val="ListParagraph"/>
        <w:numPr>
          <w:ilvl w:val="0"/>
          <w:numId w:val="40"/>
        </w:numPr>
        <w:spacing w:after="240" w:line="240" w:lineRule="auto"/>
        <w:ind w:left="2160" w:right="720" w:hanging="720"/>
        <w:contextualSpacing w:val="0"/>
        <w:rPr>
          <w:rFonts w:eastAsiaTheme="minorEastAsia" w:cs="Arial"/>
          <w:i/>
          <w:sz w:val="24"/>
          <w:szCs w:val="24"/>
          <w:lang w:val="en-GB"/>
        </w:rPr>
      </w:pPr>
      <w:r w:rsidRPr="00581C3B">
        <w:rPr>
          <w:i/>
          <w:sz w:val="24"/>
          <w:szCs w:val="24"/>
        </w:rPr>
        <w:t xml:space="preserve">the perpetrator intends </w:t>
      </w:r>
      <w:r w:rsidR="003D3FCD">
        <w:rPr>
          <w:i/>
          <w:sz w:val="24"/>
          <w:szCs w:val="24"/>
        </w:rPr>
        <w:t xml:space="preserve">it </w:t>
      </w:r>
      <w:r w:rsidRPr="00581C3B">
        <w:rPr>
          <w:i/>
          <w:sz w:val="24"/>
          <w:szCs w:val="24"/>
        </w:rPr>
        <w:t xml:space="preserve">to be used by any person to commit a cyber-related </w:t>
      </w:r>
      <w:r w:rsidR="005E495D">
        <w:rPr>
          <w:i/>
          <w:sz w:val="24"/>
          <w:szCs w:val="24"/>
        </w:rPr>
        <w:t>crime</w:t>
      </w:r>
      <w:r w:rsidR="003D3FCD">
        <w:rPr>
          <w:i/>
          <w:sz w:val="24"/>
          <w:szCs w:val="24"/>
        </w:rPr>
        <w:t>.</w:t>
      </w:r>
    </w:p>
    <w:p w14:paraId="11413519" w14:textId="2484485F" w:rsidR="000B3ACE" w:rsidRPr="00581C3B" w:rsidRDefault="00687A7F" w:rsidP="0090149F">
      <w:pPr>
        <w:pStyle w:val="ListParagraph"/>
        <w:tabs>
          <w:tab w:val="clear" w:pos="1418"/>
        </w:tabs>
        <w:spacing w:after="240" w:line="240" w:lineRule="auto"/>
        <w:ind w:left="1440" w:right="720" w:hanging="720"/>
        <w:contextualSpacing w:val="0"/>
        <w:rPr>
          <w:i/>
          <w:sz w:val="24"/>
          <w:szCs w:val="24"/>
        </w:rPr>
      </w:pPr>
      <w:r w:rsidRPr="00581C3B">
        <w:rPr>
          <w:i/>
          <w:sz w:val="24"/>
          <w:szCs w:val="24"/>
        </w:rPr>
        <w:t>(</w:t>
      </w:r>
      <w:r w:rsidR="003D3FCD">
        <w:rPr>
          <w:i/>
          <w:sz w:val="24"/>
          <w:szCs w:val="24"/>
        </w:rPr>
        <w:t>g</w:t>
      </w:r>
      <w:r w:rsidRPr="00581C3B">
        <w:rPr>
          <w:i/>
          <w:sz w:val="24"/>
          <w:szCs w:val="24"/>
        </w:rPr>
        <w:t>)</w:t>
      </w:r>
      <w:r w:rsidRPr="00581C3B">
        <w:rPr>
          <w:i/>
          <w:sz w:val="24"/>
          <w:szCs w:val="24"/>
        </w:rPr>
        <w:tab/>
      </w:r>
      <w:r w:rsidR="000B3ACE" w:rsidRPr="00581C3B">
        <w:rPr>
          <w:i/>
          <w:sz w:val="24"/>
          <w:szCs w:val="24"/>
        </w:rPr>
        <w:t>Knowingly possessing a device, program or data (or a part thereof) should constitute an aggravated offence under the new legislation, subject to a statutory defence of reasonable excuse</w:t>
      </w:r>
      <w:r w:rsidR="0065602E">
        <w:rPr>
          <w:i/>
          <w:sz w:val="24"/>
          <w:szCs w:val="24"/>
        </w:rPr>
        <w:t>,</w:t>
      </w:r>
      <w:r w:rsidR="000B3ACE" w:rsidRPr="00581C3B">
        <w:rPr>
          <w:i/>
          <w:sz w:val="24"/>
          <w:szCs w:val="24"/>
        </w:rPr>
        <w:t xml:space="preserve"> if the device, program or data:</w:t>
      </w:r>
    </w:p>
    <w:p w14:paraId="760E57D1" w14:textId="599D8166" w:rsidR="000B3ACE" w:rsidRPr="00581C3B" w:rsidRDefault="000B3ACE" w:rsidP="0090149F">
      <w:pPr>
        <w:pStyle w:val="ListParagraph"/>
        <w:numPr>
          <w:ilvl w:val="0"/>
          <w:numId w:val="41"/>
        </w:numPr>
        <w:spacing w:afterLines="50" w:after="120" w:line="240" w:lineRule="auto"/>
        <w:ind w:left="2160" w:right="720" w:hanging="720"/>
        <w:contextualSpacing w:val="0"/>
        <w:rPr>
          <w:i/>
          <w:sz w:val="24"/>
          <w:szCs w:val="24"/>
        </w:rPr>
      </w:pPr>
      <w:r w:rsidRPr="00581C3B">
        <w:rPr>
          <w:i/>
          <w:sz w:val="24"/>
          <w:szCs w:val="24"/>
        </w:rPr>
        <w:t>is, or is known, believed</w:t>
      </w:r>
      <w:r w:rsidR="00EB2600" w:rsidRPr="00581C3B">
        <w:rPr>
          <w:rStyle w:val="FootnoteReference"/>
          <w:rFonts w:cs="Arial"/>
          <w:sz w:val="24"/>
          <w:szCs w:val="24"/>
        </w:rPr>
        <w:footnoteReference w:id="65"/>
      </w:r>
      <w:r w:rsidRPr="00581C3B">
        <w:rPr>
          <w:i/>
          <w:sz w:val="24"/>
          <w:szCs w:val="24"/>
        </w:rPr>
        <w:t xml:space="preserve"> or claimed by the perpetrator to be, capable of being used to commit a cyber-related </w:t>
      </w:r>
      <w:r w:rsidR="005E495D">
        <w:rPr>
          <w:i/>
          <w:sz w:val="24"/>
          <w:szCs w:val="24"/>
        </w:rPr>
        <w:t>crime</w:t>
      </w:r>
      <w:r w:rsidRPr="00581C3B">
        <w:rPr>
          <w:i/>
          <w:sz w:val="24"/>
          <w:szCs w:val="24"/>
        </w:rPr>
        <w:t>; and</w:t>
      </w:r>
    </w:p>
    <w:p w14:paraId="7F73D408" w14:textId="44F3ED81" w:rsidR="000B3ACE" w:rsidRPr="00581C3B" w:rsidRDefault="000B3ACE" w:rsidP="00687A7F">
      <w:pPr>
        <w:pStyle w:val="ListParagraph"/>
        <w:numPr>
          <w:ilvl w:val="0"/>
          <w:numId w:val="41"/>
        </w:numPr>
        <w:spacing w:after="240" w:line="240" w:lineRule="auto"/>
        <w:ind w:left="2160" w:right="720" w:hanging="720"/>
        <w:contextualSpacing w:val="0"/>
        <w:rPr>
          <w:rFonts w:eastAsiaTheme="minorEastAsia" w:cs="Arial"/>
          <w:i/>
          <w:sz w:val="24"/>
          <w:szCs w:val="24"/>
          <w:lang w:val="en-GB"/>
        </w:rPr>
      </w:pPr>
      <w:r w:rsidRPr="00581C3B">
        <w:rPr>
          <w:i/>
          <w:sz w:val="24"/>
          <w:szCs w:val="24"/>
        </w:rPr>
        <w:t>the perpetrator intends to use</w:t>
      </w:r>
      <w:r w:rsidR="003D3FCD">
        <w:rPr>
          <w:i/>
          <w:sz w:val="24"/>
          <w:szCs w:val="24"/>
        </w:rPr>
        <w:t xml:space="preserve"> it</w:t>
      </w:r>
      <w:r w:rsidRPr="00581C3B">
        <w:rPr>
          <w:i/>
          <w:sz w:val="24"/>
          <w:szCs w:val="24"/>
        </w:rPr>
        <w:t xml:space="preserve"> to commit a cyber-related </w:t>
      </w:r>
      <w:r w:rsidR="005E495D">
        <w:rPr>
          <w:i/>
          <w:sz w:val="24"/>
          <w:szCs w:val="24"/>
        </w:rPr>
        <w:t>crime</w:t>
      </w:r>
      <w:r w:rsidRPr="00581C3B">
        <w:rPr>
          <w:i/>
          <w:sz w:val="24"/>
          <w:szCs w:val="24"/>
        </w:rPr>
        <w:t>.</w:t>
      </w:r>
    </w:p>
    <w:p w14:paraId="5D776263" w14:textId="7DE64092" w:rsidR="006F2A71" w:rsidRPr="00B86BA8" w:rsidRDefault="00E870B5" w:rsidP="0090149F">
      <w:pPr>
        <w:tabs>
          <w:tab w:val="clear" w:pos="1418"/>
        </w:tabs>
        <w:spacing w:after="240"/>
        <w:ind w:left="1440" w:right="720" w:hanging="720"/>
        <w:rPr>
          <w:rFonts w:eastAsiaTheme="minorEastAsia" w:cs="Arial"/>
          <w:i/>
        </w:rPr>
      </w:pPr>
      <w:r>
        <w:rPr>
          <w:i/>
        </w:rPr>
        <w:t>(h)</w:t>
      </w:r>
      <w:r>
        <w:rPr>
          <w:i/>
        </w:rPr>
        <w:tab/>
      </w:r>
      <w:r w:rsidR="000B3ACE" w:rsidRPr="00B86BA8">
        <w:rPr>
          <w:i/>
        </w:rPr>
        <w:t>Subject to the above, the proposed provisions should be modelled on section 3A of the Computer Misuse Act in England and Wales as well as sections 8 and 10 of the Computer Misuse Act in Singapore.</w:t>
      </w:r>
      <w:r w:rsidR="006F2A71" w:rsidRPr="00B86BA8">
        <w:rPr>
          <w:i/>
        </w:rPr>
        <w:t>”</w:t>
      </w:r>
    </w:p>
    <w:p w14:paraId="1540E599" w14:textId="3A670DA0" w:rsidR="0089624D" w:rsidRPr="00581C3B" w:rsidRDefault="000D18C6" w:rsidP="0090149F">
      <w:pPr>
        <w:pStyle w:val="ListParagraph"/>
        <w:spacing w:beforeLines="100" w:before="240" w:after="240" w:line="240" w:lineRule="auto"/>
        <w:ind w:left="0"/>
        <w:contextualSpacing w:val="0"/>
        <w:rPr>
          <w:rFonts w:cs="Arial"/>
          <w:b/>
          <w:i/>
          <w:sz w:val="24"/>
          <w:szCs w:val="24"/>
          <w:lang w:val="en-GB"/>
        </w:rPr>
      </w:pPr>
      <w:r w:rsidRPr="00581C3B">
        <w:rPr>
          <w:rFonts w:cs="Arial"/>
          <w:b/>
          <w:i/>
          <w:sz w:val="24"/>
          <w:szCs w:val="24"/>
          <w:lang w:val="en-GB"/>
        </w:rPr>
        <w:t>Specific d</w:t>
      </w:r>
      <w:r w:rsidR="000B3ACE" w:rsidRPr="00581C3B">
        <w:rPr>
          <w:rFonts w:cs="Arial"/>
          <w:b/>
          <w:i/>
          <w:sz w:val="24"/>
          <w:szCs w:val="24"/>
          <w:lang w:val="en-GB"/>
        </w:rPr>
        <w:t>efences</w:t>
      </w:r>
    </w:p>
    <w:p w14:paraId="75B4CAB6" w14:textId="0D17D79A" w:rsidR="0089624D" w:rsidRPr="00581C3B" w:rsidRDefault="000B3ACE" w:rsidP="0089624D">
      <w:pPr>
        <w:pStyle w:val="ListParagraph"/>
        <w:spacing w:after="240" w:line="240" w:lineRule="auto"/>
        <w:ind w:left="0"/>
        <w:contextualSpacing w:val="0"/>
        <w:rPr>
          <w:rFonts w:cs="Arial"/>
          <w:i/>
          <w:sz w:val="24"/>
          <w:szCs w:val="24"/>
          <w:lang w:val="en-GB"/>
        </w:rPr>
      </w:pPr>
      <w:r w:rsidRPr="00581C3B">
        <w:rPr>
          <w:rFonts w:cs="Arial"/>
          <w:i/>
          <w:sz w:val="24"/>
          <w:szCs w:val="24"/>
          <w:lang w:val="en-GB"/>
        </w:rPr>
        <w:t>Making available a harmful device, program or data for cybersecurity purposes (or possessing such a device, program or data for making it available for cybersecurity purposes)</w:t>
      </w:r>
      <w:r w:rsidR="00EB2600" w:rsidRPr="00581C3B">
        <w:rPr>
          <w:rFonts w:eastAsia="Arial Unicode MS" w:cs="Arial"/>
          <w:kern w:val="2"/>
          <w:sz w:val="24"/>
          <w:szCs w:val="24"/>
          <w:vertAlign w:val="superscript"/>
        </w:rPr>
        <w:footnoteReference w:id="66"/>
      </w:r>
    </w:p>
    <w:p w14:paraId="32E59944" w14:textId="74658946" w:rsidR="000B3ACE" w:rsidRPr="00581C3B" w:rsidRDefault="00C9720F" w:rsidP="00765211">
      <w:pPr>
        <w:pStyle w:val="ListParagraph"/>
        <w:numPr>
          <w:ilvl w:val="0"/>
          <w:numId w:val="14"/>
        </w:numPr>
        <w:spacing w:after="240" w:line="240" w:lineRule="auto"/>
        <w:ind w:left="0" w:firstLine="0"/>
        <w:contextualSpacing w:val="0"/>
        <w:rPr>
          <w:rFonts w:eastAsiaTheme="minorEastAsia" w:cs="Arial"/>
          <w:sz w:val="24"/>
          <w:szCs w:val="24"/>
          <w:lang w:val="en-GB"/>
        </w:rPr>
      </w:pPr>
      <w:r w:rsidRPr="00581C3B">
        <w:rPr>
          <w:rFonts w:eastAsiaTheme="minorEastAsia" w:cs="Arial" w:hint="eastAsia"/>
          <w:sz w:val="24"/>
          <w:szCs w:val="24"/>
          <w:lang w:val="en-GB"/>
        </w:rPr>
        <w:t xml:space="preserve">As with the Access Offence and the </w:t>
      </w:r>
      <w:r w:rsidR="00810B37" w:rsidRPr="00581C3B">
        <w:rPr>
          <w:rFonts w:eastAsiaTheme="minorEastAsia" w:cs="Arial"/>
          <w:sz w:val="24"/>
          <w:szCs w:val="24"/>
          <w:lang w:val="en-GB"/>
        </w:rPr>
        <w:t>Interference</w:t>
      </w:r>
      <w:r w:rsidR="00810B37" w:rsidRPr="00581C3B">
        <w:rPr>
          <w:rFonts w:eastAsiaTheme="minorEastAsia" w:cs="Arial" w:hint="eastAsia"/>
          <w:sz w:val="24"/>
          <w:szCs w:val="24"/>
          <w:lang w:val="en-GB"/>
        </w:rPr>
        <w:t xml:space="preserve"> </w:t>
      </w:r>
      <w:r w:rsidR="00810B37" w:rsidRPr="00581C3B">
        <w:rPr>
          <w:rFonts w:eastAsiaTheme="minorEastAsia" w:cs="Arial"/>
          <w:sz w:val="24"/>
          <w:szCs w:val="24"/>
          <w:lang w:val="en-GB"/>
        </w:rPr>
        <w:t>O</w:t>
      </w:r>
      <w:r w:rsidRPr="00581C3B">
        <w:rPr>
          <w:rFonts w:eastAsiaTheme="minorEastAsia" w:cs="Arial" w:hint="eastAsia"/>
          <w:sz w:val="24"/>
          <w:szCs w:val="24"/>
          <w:lang w:val="en-GB"/>
        </w:rPr>
        <w:t>ffence</w:t>
      </w:r>
      <w:r w:rsidR="00810B37" w:rsidRPr="00581C3B">
        <w:rPr>
          <w:rFonts w:eastAsiaTheme="minorEastAsia" w:cs="Arial"/>
          <w:sz w:val="24"/>
          <w:szCs w:val="24"/>
          <w:lang w:val="en-GB"/>
        </w:rPr>
        <w:t>s</w:t>
      </w:r>
      <w:r w:rsidRPr="00581C3B">
        <w:rPr>
          <w:rFonts w:eastAsiaTheme="minorEastAsia" w:cs="Arial"/>
          <w:sz w:val="24"/>
          <w:szCs w:val="24"/>
          <w:lang w:val="en-GB"/>
        </w:rPr>
        <w:t xml:space="preserve">, we recommend that there should be a specific </w:t>
      </w:r>
      <w:r w:rsidRPr="00581C3B">
        <w:rPr>
          <w:rFonts w:eastAsiaTheme="minorEastAsia" w:cs="Arial" w:hint="eastAsia"/>
          <w:sz w:val="24"/>
          <w:szCs w:val="24"/>
          <w:lang w:val="en-GB"/>
        </w:rPr>
        <w:t xml:space="preserve">defence </w:t>
      </w:r>
      <w:r w:rsidRPr="00581C3B">
        <w:rPr>
          <w:rFonts w:eastAsiaTheme="minorEastAsia" w:cs="Arial"/>
          <w:sz w:val="24"/>
          <w:szCs w:val="24"/>
          <w:lang w:val="en-GB"/>
        </w:rPr>
        <w:t xml:space="preserve">for making available a harmful device, program or data for cybersecurity purposes (or possessing </w:t>
      </w:r>
      <w:r w:rsidR="00597E3D" w:rsidRPr="00581C3B">
        <w:rPr>
          <w:rFonts w:eastAsiaTheme="minorEastAsia" w:cs="Arial"/>
          <w:sz w:val="24"/>
          <w:szCs w:val="24"/>
          <w:lang w:val="en-GB"/>
        </w:rPr>
        <w:t>the same</w:t>
      </w:r>
      <w:r w:rsidRPr="00581C3B">
        <w:rPr>
          <w:rFonts w:eastAsiaTheme="minorEastAsia" w:cs="Arial"/>
          <w:sz w:val="24"/>
          <w:szCs w:val="24"/>
          <w:lang w:val="en-GB"/>
        </w:rPr>
        <w:t xml:space="preserve"> for making it available for cybersecurity purposes).  As devices, programs or data may be possessed or made available by persons other than accredited cybersecurity practitioners,</w:t>
      </w:r>
      <w:r w:rsidRPr="00581C3B">
        <w:rPr>
          <w:rStyle w:val="FootnoteReference"/>
          <w:rFonts w:cs="Arial"/>
          <w:sz w:val="24"/>
          <w:szCs w:val="24"/>
          <w:lang w:val="en-GB"/>
        </w:rPr>
        <w:footnoteReference w:id="67"/>
      </w:r>
      <w:r w:rsidRPr="00581C3B">
        <w:rPr>
          <w:rFonts w:eastAsiaTheme="minorEastAsia" w:cs="Arial"/>
          <w:sz w:val="24"/>
          <w:szCs w:val="24"/>
          <w:lang w:val="en-GB"/>
        </w:rPr>
        <w:t xml:space="preserve"> we </w:t>
      </w:r>
      <w:r w:rsidR="00810B37" w:rsidRPr="00581C3B">
        <w:rPr>
          <w:rFonts w:eastAsiaTheme="minorEastAsia" w:cs="Arial"/>
          <w:sz w:val="24"/>
          <w:szCs w:val="24"/>
          <w:lang w:val="en-GB"/>
        </w:rPr>
        <w:t>propose</w:t>
      </w:r>
      <w:r w:rsidRPr="00581C3B">
        <w:rPr>
          <w:rFonts w:eastAsiaTheme="minorEastAsia" w:cs="Arial"/>
          <w:sz w:val="24"/>
          <w:szCs w:val="24"/>
          <w:lang w:val="en-GB"/>
        </w:rPr>
        <w:t xml:space="preserve"> that the cybersecurity defence should extend beyond cybersecurity practitioners to cover persons who possess or make available a device, program or data for cybersecurity purposes with the prior permission or authorisation of cybersecurity practitioners.</w:t>
      </w:r>
    </w:p>
    <w:p w14:paraId="6ABD4138" w14:textId="133BC104" w:rsidR="00C9720F" w:rsidRPr="00581C3B" w:rsidRDefault="00C9720F" w:rsidP="00C9720F">
      <w:pPr>
        <w:pStyle w:val="ListParagraph"/>
        <w:spacing w:after="240" w:line="240" w:lineRule="auto"/>
        <w:ind w:left="0"/>
        <w:contextualSpacing w:val="0"/>
        <w:rPr>
          <w:rFonts w:cs="Arial"/>
          <w:i/>
          <w:sz w:val="24"/>
          <w:szCs w:val="24"/>
          <w:lang w:val="en-GB"/>
        </w:rPr>
      </w:pPr>
      <w:r w:rsidRPr="00581C3B">
        <w:rPr>
          <w:rFonts w:cs="Arial"/>
          <w:i/>
          <w:sz w:val="24"/>
          <w:szCs w:val="24"/>
          <w:lang w:val="en-GB"/>
        </w:rPr>
        <w:t>M</w:t>
      </w:r>
      <w:r w:rsidRPr="00581C3B">
        <w:rPr>
          <w:rFonts w:cs="Arial" w:hint="eastAsia"/>
          <w:i/>
          <w:sz w:val="24"/>
          <w:szCs w:val="24"/>
          <w:lang w:val="en-GB"/>
        </w:rPr>
        <w:t xml:space="preserve">aking </w:t>
      </w:r>
      <w:r w:rsidRPr="00581C3B">
        <w:rPr>
          <w:rFonts w:cs="Arial"/>
          <w:i/>
          <w:sz w:val="24"/>
          <w:szCs w:val="24"/>
          <w:lang w:val="en-GB"/>
        </w:rPr>
        <w:t>available a harmful device, program or data for educational, scientific or research purposes (or possessing such a device, program or data for making it available for the aforementioned purposes)</w:t>
      </w:r>
      <w:r w:rsidR="00EB2600" w:rsidRPr="00581C3B">
        <w:rPr>
          <w:rFonts w:eastAsia="Arial Unicode MS" w:cs="Arial"/>
          <w:kern w:val="2"/>
          <w:sz w:val="24"/>
          <w:szCs w:val="24"/>
          <w:vertAlign w:val="superscript"/>
        </w:rPr>
        <w:footnoteReference w:id="68"/>
      </w:r>
    </w:p>
    <w:p w14:paraId="33D1A7CC" w14:textId="1AEE214F" w:rsidR="00D103BE" w:rsidRPr="00581C3B" w:rsidRDefault="00C9720F"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eastAsia="DengXian" w:cs="Arial"/>
          <w:sz w:val="24"/>
          <w:szCs w:val="24"/>
        </w:rPr>
        <w:t>We agree with the Respondents</w:t>
      </w:r>
      <w:r w:rsidRPr="00581C3B">
        <w:rPr>
          <w:rFonts w:cs="Arial"/>
          <w:sz w:val="24"/>
          <w:szCs w:val="24"/>
        </w:rPr>
        <w:t xml:space="preserve"> that there should be a defence to the proposed offence for educational or research purposes, which would apply </w:t>
      </w:r>
      <w:r w:rsidR="00810B37" w:rsidRPr="00581C3B">
        <w:rPr>
          <w:rFonts w:cs="Arial"/>
          <w:sz w:val="24"/>
          <w:szCs w:val="24"/>
        </w:rPr>
        <w:t>to</w:t>
      </w:r>
      <w:r w:rsidRPr="00581C3B">
        <w:rPr>
          <w:rFonts w:cs="Arial"/>
          <w:sz w:val="24"/>
          <w:szCs w:val="24"/>
        </w:rPr>
        <w:t xml:space="preserve"> teachers and students in the field of computer science, </w:t>
      </w:r>
      <w:r w:rsidR="00810B37" w:rsidRPr="00581C3B">
        <w:rPr>
          <w:rFonts w:cs="Arial"/>
          <w:sz w:val="24"/>
          <w:szCs w:val="24"/>
        </w:rPr>
        <w:t xml:space="preserve">as well as </w:t>
      </w:r>
      <w:r w:rsidRPr="00581C3B">
        <w:rPr>
          <w:rFonts w:cs="Arial"/>
          <w:sz w:val="24"/>
          <w:szCs w:val="24"/>
        </w:rPr>
        <w:t>amateurs who acquire or create a harmful computer program (eg a trojan horse) for their own study.</w:t>
      </w:r>
      <w:r w:rsidR="000F5D86" w:rsidRPr="00581C3B">
        <w:rPr>
          <w:rFonts w:cs="Arial"/>
          <w:sz w:val="24"/>
          <w:szCs w:val="24"/>
          <w:lang w:val="en-GB"/>
        </w:rPr>
        <w:t xml:space="preserve">  </w:t>
      </w:r>
      <w:r w:rsidR="000F5D86" w:rsidRPr="00581C3B">
        <w:rPr>
          <w:rFonts w:cs="Arial"/>
          <w:sz w:val="24"/>
          <w:szCs w:val="24"/>
        </w:rPr>
        <w:t>We appreciate that computer science research may be carried out for benevolent or malicious purposes, but the law should allow room for advancement of research on harmful devices, programs or data.  To safeguard against abuse, we recommend that the</w:t>
      </w:r>
      <w:r w:rsidR="00810B37" w:rsidRPr="00581C3B">
        <w:rPr>
          <w:rFonts w:cs="Arial"/>
          <w:sz w:val="24"/>
          <w:szCs w:val="24"/>
        </w:rPr>
        <w:t xml:space="preserve"> conduct of the person who relies on this defence must</w:t>
      </w:r>
      <w:r w:rsidR="000F5D86" w:rsidRPr="00581C3B">
        <w:rPr>
          <w:rFonts w:cs="Arial"/>
          <w:sz w:val="24"/>
          <w:szCs w:val="24"/>
        </w:rPr>
        <w:t xml:space="preserve"> be reasonable and no more than is necessary for achieving the </w:t>
      </w:r>
      <w:r w:rsidR="00192A8C" w:rsidRPr="00581C3B">
        <w:rPr>
          <w:rFonts w:cs="Arial"/>
          <w:sz w:val="24"/>
          <w:szCs w:val="24"/>
        </w:rPr>
        <w:t>relevant</w:t>
      </w:r>
      <w:r w:rsidR="000F5D86" w:rsidRPr="00581C3B">
        <w:rPr>
          <w:rFonts w:cs="Arial"/>
          <w:sz w:val="24"/>
          <w:szCs w:val="24"/>
        </w:rPr>
        <w:t xml:space="preserve"> purpose.</w:t>
      </w:r>
    </w:p>
    <w:p w14:paraId="36EA2355" w14:textId="7F06BE49" w:rsidR="000F5D86" w:rsidRPr="00581C3B" w:rsidRDefault="000F5D86" w:rsidP="000F5D86">
      <w:pPr>
        <w:pStyle w:val="ListParagraph"/>
        <w:spacing w:after="240" w:line="240" w:lineRule="auto"/>
        <w:ind w:left="0"/>
        <w:contextualSpacing w:val="0"/>
        <w:rPr>
          <w:rFonts w:cs="Arial"/>
          <w:sz w:val="24"/>
          <w:szCs w:val="24"/>
          <w:lang w:val="en-GB"/>
        </w:rPr>
      </w:pPr>
      <w:r w:rsidRPr="00581C3B">
        <w:rPr>
          <w:rFonts w:cs="Arial"/>
          <w:i/>
          <w:sz w:val="24"/>
          <w:szCs w:val="24"/>
        </w:rPr>
        <w:t>Defence for internet service providers</w:t>
      </w:r>
      <w:r w:rsidR="00511B97" w:rsidRPr="00581C3B">
        <w:rPr>
          <w:rFonts w:cs="Arial"/>
          <w:i/>
          <w:sz w:val="24"/>
          <w:szCs w:val="24"/>
        </w:rPr>
        <w:t xml:space="preserve"> (“</w:t>
      </w:r>
      <w:r w:rsidR="00511B97" w:rsidRPr="00581C3B">
        <w:rPr>
          <w:rFonts w:cs="Arial"/>
          <w:b/>
          <w:i/>
          <w:sz w:val="24"/>
          <w:szCs w:val="24"/>
        </w:rPr>
        <w:t>ISPs</w:t>
      </w:r>
      <w:r w:rsidR="00511B97" w:rsidRPr="00581C3B">
        <w:rPr>
          <w:rFonts w:cs="Arial"/>
          <w:i/>
          <w:sz w:val="24"/>
          <w:szCs w:val="24"/>
        </w:rPr>
        <w:t>”)</w:t>
      </w:r>
      <w:r w:rsidR="006C0AAB" w:rsidRPr="00581C3B">
        <w:rPr>
          <w:rFonts w:eastAsia="Arial Unicode MS" w:cs="Arial"/>
          <w:kern w:val="2"/>
          <w:sz w:val="24"/>
          <w:szCs w:val="24"/>
          <w:vertAlign w:val="superscript"/>
        </w:rPr>
        <w:footnoteReference w:id="69"/>
      </w:r>
    </w:p>
    <w:p w14:paraId="78719CAF" w14:textId="6AC022FA" w:rsidR="00D5357E" w:rsidRPr="00581C3B" w:rsidRDefault="00511B97" w:rsidP="00765211">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 xml:space="preserve">ISPs provide internet connections and related services (such as web hosting) to individuals and organisations.  </w:t>
      </w:r>
      <w:r w:rsidR="000734E9" w:rsidRPr="00581C3B">
        <w:rPr>
          <w:sz w:val="24"/>
          <w:szCs w:val="24"/>
        </w:rPr>
        <w:t>As an internet protocol address assigned by an ISP may host multiple websites and URLs, i</w:t>
      </w:r>
      <w:r w:rsidRPr="00581C3B">
        <w:rPr>
          <w:rFonts w:eastAsia="DengXian" w:cs="Arial"/>
          <w:sz w:val="24"/>
          <w:szCs w:val="24"/>
        </w:rPr>
        <w:t xml:space="preserve">t may not always </w:t>
      </w:r>
      <w:r w:rsidRPr="00581C3B">
        <w:rPr>
          <w:rFonts w:cs="Arial"/>
          <w:sz w:val="24"/>
          <w:szCs w:val="24"/>
        </w:rPr>
        <w:t xml:space="preserve">be feasible </w:t>
      </w:r>
      <w:r w:rsidR="00A72871" w:rsidRPr="00581C3B">
        <w:rPr>
          <w:rFonts w:cs="Arial"/>
          <w:sz w:val="24"/>
          <w:szCs w:val="24"/>
        </w:rPr>
        <w:t xml:space="preserve">for ISPs </w:t>
      </w:r>
      <w:r w:rsidRPr="00581C3B">
        <w:rPr>
          <w:rFonts w:cs="Arial"/>
          <w:sz w:val="24"/>
          <w:szCs w:val="24"/>
        </w:rPr>
        <w:t>to disable access to harmful websites, programs or data</w:t>
      </w:r>
      <w:r w:rsidR="000734E9" w:rsidRPr="00581C3B">
        <w:rPr>
          <w:rFonts w:cs="Arial"/>
          <w:sz w:val="24"/>
          <w:szCs w:val="24"/>
        </w:rPr>
        <w:t xml:space="preserve"> made or adapted to commit a cyber-related crime (eg a fake bank website)</w:t>
      </w:r>
      <w:r w:rsidRPr="00581C3B">
        <w:rPr>
          <w:rFonts w:cs="Arial"/>
          <w:sz w:val="24"/>
          <w:szCs w:val="24"/>
        </w:rPr>
        <w:t xml:space="preserve"> as this may disrupt </w:t>
      </w:r>
      <w:r w:rsidR="00A72871" w:rsidRPr="00581C3B">
        <w:rPr>
          <w:rFonts w:cs="Arial"/>
          <w:sz w:val="24"/>
          <w:szCs w:val="24"/>
        </w:rPr>
        <w:t>their</w:t>
      </w:r>
      <w:r w:rsidRPr="00581C3B">
        <w:rPr>
          <w:rFonts w:cs="Arial"/>
          <w:sz w:val="24"/>
          <w:szCs w:val="24"/>
        </w:rPr>
        <w:t xml:space="preserve"> provision of services to other internet users.</w:t>
      </w:r>
    </w:p>
    <w:p w14:paraId="56888A66" w14:textId="258AFD66" w:rsidR="000F5D86" w:rsidRPr="00581C3B" w:rsidRDefault="00511B97" w:rsidP="00765211">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T</w:t>
      </w:r>
      <w:r w:rsidR="00757ED6" w:rsidRPr="00581C3B">
        <w:rPr>
          <w:sz w:val="24"/>
          <w:szCs w:val="24"/>
        </w:rPr>
        <w:t>aking</w:t>
      </w:r>
      <w:r w:rsidRPr="00581C3B">
        <w:rPr>
          <w:sz w:val="24"/>
          <w:szCs w:val="24"/>
        </w:rPr>
        <w:t xml:space="preserve"> </w:t>
      </w:r>
      <w:r w:rsidR="00757ED6" w:rsidRPr="00581C3B">
        <w:rPr>
          <w:sz w:val="24"/>
          <w:szCs w:val="24"/>
        </w:rPr>
        <w:t xml:space="preserve">into account the position </w:t>
      </w:r>
      <w:r w:rsidRPr="00581C3B">
        <w:rPr>
          <w:sz w:val="24"/>
          <w:szCs w:val="24"/>
        </w:rPr>
        <w:t xml:space="preserve">ISPs </w:t>
      </w:r>
      <w:r w:rsidR="00757ED6" w:rsidRPr="00581C3B">
        <w:rPr>
          <w:sz w:val="24"/>
          <w:szCs w:val="24"/>
        </w:rPr>
        <w:t>are in</w:t>
      </w:r>
      <w:r w:rsidRPr="00581C3B">
        <w:rPr>
          <w:sz w:val="24"/>
          <w:szCs w:val="24"/>
        </w:rPr>
        <w:t xml:space="preserve">, we recommend providing a defence for ISPs by modelling on the </w:t>
      </w:r>
      <w:r w:rsidRPr="00581C3B">
        <w:rPr>
          <w:rFonts w:cs="Arial"/>
          <w:sz w:val="24"/>
          <w:szCs w:val="24"/>
        </w:rPr>
        <w:t>mere conduit defence under Article 4 of the Digital Services Act (“</w:t>
      </w:r>
      <w:r w:rsidRPr="00581C3B">
        <w:rPr>
          <w:rFonts w:cs="Arial"/>
          <w:b/>
          <w:sz w:val="24"/>
          <w:szCs w:val="24"/>
        </w:rPr>
        <w:t>DSA</w:t>
      </w:r>
      <w:r w:rsidRPr="00581C3B">
        <w:rPr>
          <w:rFonts w:cs="Arial"/>
          <w:sz w:val="24"/>
          <w:szCs w:val="24"/>
        </w:rPr>
        <w:t xml:space="preserve">”) </w:t>
      </w:r>
      <w:r w:rsidRPr="00581C3B">
        <w:rPr>
          <w:rFonts w:eastAsia="DengXian" w:cs="Arial"/>
          <w:sz w:val="24"/>
          <w:szCs w:val="24"/>
        </w:rPr>
        <w:t xml:space="preserve">approved by the Council of the European Union and by adopting the </w:t>
      </w:r>
      <w:r w:rsidR="00233AF7" w:rsidRPr="00581C3B">
        <w:rPr>
          <w:rFonts w:eastAsia="DengXian" w:cs="Arial"/>
          <w:sz w:val="24"/>
          <w:szCs w:val="24"/>
        </w:rPr>
        <w:t xml:space="preserve">a </w:t>
      </w:r>
      <w:r w:rsidRPr="00581C3B">
        <w:rPr>
          <w:rFonts w:hint="eastAsia"/>
          <w:sz w:val="24"/>
          <w:szCs w:val="24"/>
        </w:rPr>
        <w:t>definition</w:t>
      </w:r>
      <w:r w:rsidRPr="00581C3B">
        <w:rPr>
          <w:sz w:val="24"/>
          <w:szCs w:val="24"/>
        </w:rPr>
        <w:t xml:space="preserve"> of “service provider”</w:t>
      </w:r>
      <w:r w:rsidR="00233AF7" w:rsidRPr="00581C3B">
        <w:rPr>
          <w:sz w:val="24"/>
          <w:szCs w:val="24"/>
        </w:rPr>
        <w:t xml:space="preserve"> as broad as that</w:t>
      </w:r>
      <w:r w:rsidRPr="00581C3B">
        <w:rPr>
          <w:sz w:val="24"/>
          <w:szCs w:val="24"/>
        </w:rPr>
        <w:t xml:space="preserve"> in section 65A(2) of the Copyright Ordinance (Cap 528).</w:t>
      </w:r>
      <w:r w:rsidR="00A72871" w:rsidRPr="00581C3B">
        <w:rPr>
          <w:rStyle w:val="FootnoteReference"/>
          <w:rFonts w:cs="Arial"/>
          <w:sz w:val="24"/>
          <w:szCs w:val="24"/>
          <w:lang w:val="en-GB"/>
        </w:rPr>
        <w:footnoteReference w:id="70"/>
      </w:r>
      <w:r w:rsidR="00161747" w:rsidRPr="00581C3B">
        <w:rPr>
          <w:sz w:val="24"/>
          <w:szCs w:val="24"/>
        </w:rPr>
        <w:t xml:space="preserve">  It is a defence for a</w:t>
      </w:r>
      <w:r w:rsidR="004823A0" w:rsidRPr="00581C3B">
        <w:rPr>
          <w:sz w:val="24"/>
          <w:szCs w:val="24"/>
        </w:rPr>
        <w:t>n</w:t>
      </w:r>
      <w:r w:rsidR="00161747" w:rsidRPr="00581C3B">
        <w:rPr>
          <w:sz w:val="24"/>
          <w:szCs w:val="24"/>
        </w:rPr>
        <w:t xml:space="preserve"> </w:t>
      </w:r>
      <w:r w:rsidR="00CB7626" w:rsidRPr="00581C3B">
        <w:rPr>
          <w:sz w:val="24"/>
          <w:szCs w:val="24"/>
        </w:rPr>
        <w:t>ISP</w:t>
      </w:r>
      <w:r w:rsidR="00161747" w:rsidRPr="00581C3B">
        <w:rPr>
          <w:sz w:val="24"/>
          <w:szCs w:val="24"/>
        </w:rPr>
        <w:t xml:space="preserve"> to show that </w:t>
      </w:r>
      <w:r w:rsidR="00CB7626" w:rsidRPr="00581C3B">
        <w:rPr>
          <w:sz w:val="24"/>
          <w:szCs w:val="24"/>
        </w:rPr>
        <w:t>i</w:t>
      </w:r>
      <w:r w:rsidR="00161747" w:rsidRPr="00581C3B">
        <w:rPr>
          <w:sz w:val="24"/>
          <w:szCs w:val="24"/>
        </w:rPr>
        <w:t>t</w:t>
      </w:r>
      <w:r w:rsidR="00CB7626" w:rsidRPr="00581C3B">
        <w:rPr>
          <w:sz w:val="24"/>
          <w:szCs w:val="24"/>
        </w:rPr>
        <w:t>, as a service</w:t>
      </w:r>
      <w:r w:rsidR="00161747" w:rsidRPr="00581C3B">
        <w:rPr>
          <w:sz w:val="24"/>
          <w:szCs w:val="24"/>
        </w:rPr>
        <w:t xml:space="preserve"> provider:</w:t>
      </w:r>
    </w:p>
    <w:p w14:paraId="38C7CC39" w14:textId="29F1E476" w:rsidR="00161747" w:rsidRPr="00581C3B" w:rsidRDefault="00161747" w:rsidP="00F133D1">
      <w:pPr>
        <w:pStyle w:val="ListParagraph"/>
        <w:numPr>
          <w:ilvl w:val="0"/>
          <w:numId w:val="60"/>
        </w:numPr>
        <w:spacing w:after="240" w:line="240" w:lineRule="auto"/>
        <w:ind w:left="1440" w:hanging="720"/>
        <w:contextualSpacing w:val="0"/>
        <w:rPr>
          <w:rFonts w:cs="Arial"/>
          <w:sz w:val="24"/>
          <w:szCs w:val="24"/>
          <w:lang w:val="en-GB"/>
        </w:rPr>
      </w:pPr>
      <w:r w:rsidRPr="00581C3B">
        <w:rPr>
          <w:rFonts w:cs="Arial"/>
          <w:sz w:val="24"/>
          <w:szCs w:val="24"/>
        </w:rPr>
        <w:t>does not initiate the transmission of the device, program or data concerned (collectively “</w:t>
      </w:r>
      <w:r w:rsidRPr="00581C3B">
        <w:rPr>
          <w:rFonts w:cs="Arial"/>
          <w:b/>
          <w:sz w:val="24"/>
          <w:szCs w:val="24"/>
        </w:rPr>
        <w:t>illegal content</w:t>
      </w:r>
      <w:r w:rsidRPr="00581C3B">
        <w:rPr>
          <w:rFonts w:cs="Arial"/>
          <w:sz w:val="24"/>
          <w:szCs w:val="24"/>
        </w:rPr>
        <w:t>”);</w:t>
      </w:r>
    </w:p>
    <w:p w14:paraId="3FD63BF6" w14:textId="0B3EF611" w:rsidR="00161747" w:rsidRPr="00581C3B" w:rsidRDefault="00161747" w:rsidP="00F133D1">
      <w:pPr>
        <w:pStyle w:val="ListParagraph"/>
        <w:numPr>
          <w:ilvl w:val="0"/>
          <w:numId w:val="60"/>
        </w:numPr>
        <w:spacing w:after="240" w:line="240" w:lineRule="auto"/>
        <w:ind w:left="1440" w:hanging="720"/>
        <w:contextualSpacing w:val="0"/>
        <w:rPr>
          <w:rFonts w:cs="Arial"/>
          <w:sz w:val="24"/>
          <w:szCs w:val="24"/>
          <w:lang w:val="en-GB"/>
        </w:rPr>
      </w:pPr>
      <w:r w:rsidRPr="00581C3B">
        <w:rPr>
          <w:rFonts w:cs="Arial"/>
          <w:sz w:val="24"/>
          <w:szCs w:val="24"/>
        </w:rPr>
        <w:t>does not select the receiver of the transmission; and</w:t>
      </w:r>
    </w:p>
    <w:p w14:paraId="0972950A" w14:textId="57928AB6" w:rsidR="00161747" w:rsidRPr="00581C3B" w:rsidRDefault="00161747" w:rsidP="00F133D1">
      <w:pPr>
        <w:pStyle w:val="ListParagraph"/>
        <w:numPr>
          <w:ilvl w:val="0"/>
          <w:numId w:val="60"/>
        </w:numPr>
        <w:spacing w:after="240" w:line="240" w:lineRule="auto"/>
        <w:ind w:left="1440" w:hanging="720"/>
        <w:contextualSpacing w:val="0"/>
        <w:rPr>
          <w:rFonts w:cs="Arial"/>
          <w:sz w:val="24"/>
          <w:szCs w:val="24"/>
          <w:lang w:val="en-GB"/>
        </w:rPr>
      </w:pPr>
      <w:r w:rsidRPr="00581C3B">
        <w:rPr>
          <w:rFonts w:cs="Arial"/>
          <w:sz w:val="24"/>
          <w:szCs w:val="24"/>
        </w:rPr>
        <w:t>does not select or modify the illegal content contained in the transmission.</w:t>
      </w:r>
    </w:p>
    <w:p w14:paraId="1C061620" w14:textId="14BDB9A5" w:rsidR="00D5357E" w:rsidRPr="00581C3B" w:rsidRDefault="00D5357E" w:rsidP="00D5357E">
      <w:pPr>
        <w:pStyle w:val="ListParagraph"/>
        <w:spacing w:after="240" w:line="240" w:lineRule="auto"/>
        <w:ind w:left="0"/>
        <w:contextualSpacing w:val="0"/>
        <w:rPr>
          <w:rFonts w:cs="Arial"/>
          <w:sz w:val="24"/>
          <w:szCs w:val="24"/>
          <w:lang w:val="en-GB"/>
        </w:rPr>
      </w:pPr>
      <w:r w:rsidRPr="00581C3B">
        <w:rPr>
          <w:rFonts w:hint="eastAsia"/>
          <w:i/>
          <w:sz w:val="24"/>
          <w:szCs w:val="24"/>
        </w:rPr>
        <w:t>D</w:t>
      </w:r>
      <w:r w:rsidRPr="00581C3B">
        <w:rPr>
          <w:i/>
          <w:sz w:val="24"/>
          <w:szCs w:val="24"/>
        </w:rPr>
        <w:t>efence for storage and/or dissemination of devices, programs or data</w:t>
      </w:r>
      <w:r w:rsidR="006C0AAB" w:rsidRPr="00581C3B">
        <w:rPr>
          <w:rFonts w:eastAsia="Arial Unicode MS" w:cs="Arial"/>
          <w:kern w:val="2"/>
          <w:sz w:val="24"/>
          <w:szCs w:val="24"/>
          <w:vertAlign w:val="superscript"/>
        </w:rPr>
        <w:footnoteReference w:id="71"/>
      </w:r>
    </w:p>
    <w:p w14:paraId="1A9B96D0" w14:textId="24EA97A9" w:rsidR="00511B97" w:rsidRPr="00581C3B" w:rsidRDefault="005C0E19" w:rsidP="00765211">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In the digital age, a vast array of internet services are offered by hosting service providers, cloud service providers and data storage facilities.  To make the bespoke cybercrime legislation comprehensive, w</w:t>
      </w:r>
      <w:r w:rsidR="00511B97" w:rsidRPr="00581C3B">
        <w:rPr>
          <w:rFonts w:cs="Arial"/>
          <w:sz w:val="24"/>
          <w:szCs w:val="24"/>
          <w:lang w:val="en-GB"/>
        </w:rPr>
        <w:t>e</w:t>
      </w:r>
      <w:r w:rsidRPr="00581C3B">
        <w:rPr>
          <w:rFonts w:cs="Arial"/>
          <w:sz w:val="24"/>
          <w:szCs w:val="24"/>
          <w:lang w:val="en-GB"/>
        </w:rPr>
        <w:t xml:space="preserve"> </w:t>
      </w:r>
      <w:r w:rsidR="00FD47FF" w:rsidRPr="00581C3B">
        <w:rPr>
          <w:sz w:val="24"/>
          <w:szCs w:val="24"/>
        </w:rPr>
        <w:t xml:space="preserve">recommend modelling </w:t>
      </w:r>
      <w:r w:rsidRPr="00581C3B">
        <w:rPr>
          <w:sz w:val="24"/>
          <w:szCs w:val="24"/>
        </w:rPr>
        <w:t>on Article 6 of the DSA</w:t>
      </w:r>
      <w:r w:rsidRPr="00581C3B">
        <w:rPr>
          <w:rStyle w:val="FootnoteReference"/>
          <w:rFonts w:eastAsia="DengXian" w:cs="Arial"/>
          <w:sz w:val="24"/>
          <w:szCs w:val="24"/>
        </w:rPr>
        <w:footnoteReference w:id="72"/>
      </w:r>
      <w:r w:rsidRPr="00581C3B">
        <w:rPr>
          <w:sz w:val="24"/>
          <w:szCs w:val="24"/>
        </w:rPr>
        <w:t xml:space="preserve"> </w:t>
      </w:r>
      <w:r w:rsidR="00FD47FF" w:rsidRPr="00581C3B">
        <w:rPr>
          <w:sz w:val="24"/>
          <w:szCs w:val="24"/>
        </w:rPr>
        <w:t>to</w:t>
      </w:r>
      <w:r w:rsidRPr="00581C3B">
        <w:rPr>
          <w:sz w:val="24"/>
          <w:szCs w:val="24"/>
        </w:rPr>
        <w:t xml:space="preserve"> develop a defence </w:t>
      </w:r>
      <w:r w:rsidR="00932547" w:rsidRPr="00581C3B">
        <w:rPr>
          <w:sz w:val="24"/>
          <w:szCs w:val="24"/>
        </w:rPr>
        <w:t xml:space="preserve">in </w:t>
      </w:r>
      <w:r w:rsidR="001A4AFB" w:rsidRPr="00581C3B">
        <w:rPr>
          <w:rFonts w:cs="Arial"/>
          <w:sz w:val="24"/>
          <w:szCs w:val="24"/>
        </w:rPr>
        <w:t>favour of different</w:t>
      </w:r>
      <w:r w:rsidR="00951C80" w:rsidRPr="00581C3B">
        <w:rPr>
          <w:rFonts w:cs="Arial"/>
          <w:sz w:val="24"/>
          <w:szCs w:val="24"/>
        </w:rPr>
        <w:t xml:space="preserve"> </w:t>
      </w:r>
      <w:r w:rsidRPr="00581C3B">
        <w:rPr>
          <w:rFonts w:cs="Arial"/>
          <w:sz w:val="24"/>
          <w:szCs w:val="24"/>
        </w:rPr>
        <w:t>“service provider</w:t>
      </w:r>
      <w:r w:rsidR="001A4AFB" w:rsidRPr="00581C3B">
        <w:rPr>
          <w:rFonts w:cs="Arial"/>
          <w:sz w:val="24"/>
          <w:szCs w:val="24"/>
        </w:rPr>
        <w:t>s</w:t>
      </w:r>
      <w:r w:rsidRPr="00581C3B">
        <w:rPr>
          <w:rFonts w:cs="Arial"/>
          <w:sz w:val="24"/>
          <w:szCs w:val="24"/>
        </w:rPr>
        <w:t>”</w:t>
      </w:r>
      <w:r w:rsidR="00932547" w:rsidRPr="00581C3B">
        <w:rPr>
          <w:rFonts w:cs="Arial"/>
          <w:sz w:val="24"/>
          <w:szCs w:val="24"/>
        </w:rPr>
        <w:t xml:space="preserve"> </w:t>
      </w:r>
      <w:r w:rsidR="001A4AFB" w:rsidRPr="00581C3B">
        <w:rPr>
          <w:rFonts w:cs="Arial"/>
          <w:sz w:val="24"/>
          <w:szCs w:val="24"/>
        </w:rPr>
        <w:t>whose services</w:t>
      </w:r>
      <w:r w:rsidRPr="00581C3B">
        <w:rPr>
          <w:rFonts w:cs="Arial"/>
          <w:sz w:val="24"/>
          <w:szCs w:val="24"/>
        </w:rPr>
        <w:t xml:space="preserve"> include the “storage” and/or “dissemination” of devices, programs or data provided by a recipient of the service.  This approach will cover </w:t>
      </w:r>
      <w:r w:rsidR="001A4AFB" w:rsidRPr="00581C3B">
        <w:rPr>
          <w:rFonts w:cs="Arial"/>
          <w:sz w:val="24"/>
          <w:szCs w:val="24"/>
        </w:rPr>
        <w:t>these</w:t>
      </w:r>
      <w:r w:rsidRPr="00581C3B">
        <w:rPr>
          <w:rFonts w:cs="Arial"/>
          <w:sz w:val="24"/>
          <w:szCs w:val="24"/>
        </w:rPr>
        <w:t xml:space="preserve"> service providers </w:t>
      </w:r>
      <w:r w:rsidR="00951C80" w:rsidRPr="00581C3B">
        <w:rPr>
          <w:rFonts w:cs="Arial"/>
          <w:sz w:val="24"/>
          <w:szCs w:val="24"/>
        </w:rPr>
        <w:t>without</w:t>
      </w:r>
      <w:r w:rsidRPr="00581C3B">
        <w:rPr>
          <w:rFonts w:cs="Arial"/>
          <w:sz w:val="24"/>
          <w:szCs w:val="24"/>
        </w:rPr>
        <w:t xml:space="preserve"> the need to differentiate between them.</w:t>
      </w:r>
    </w:p>
    <w:p w14:paraId="0A63E462" w14:textId="46B186E9" w:rsidR="005C0E19" w:rsidRPr="00581C3B" w:rsidRDefault="005C0E19"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rPr>
        <w:t xml:space="preserve">As </w:t>
      </w:r>
      <w:r w:rsidRPr="00581C3B">
        <w:rPr>
          <w:rFonts w:hint="eastAsia"/>
          <w:sz w:val="24"/>
          <w:szCs w:val="24"/>
        </w:rPr>
        <w:t xml:space="preserve">it </w:t>
      </w:r>
      <w:r w:rsidRPr="00581C3B">
        <w:rPr>
          <w:rFonts w:cs="Arial"/>
          <w:sz w:val="24"/>
          <w:szCs w:val="24"/>
        </w:rPr>
        <w:t xml:space="preserve">may not always be technically feasible for </w:t>
      </w:r>
      <w:r w:rsidR="00F85D6C" w:rsidRPr="00581C3B">
        <w:rPr>
          <w:rFonts w:cs="Arial"/>
          <w:sz w:val="24"/>
          <w:szCs w:val="24"/>
        </w:rPr>
        <w:t xml:space="preserve">such </w:t>
      </w:r>
      <w:r w:rsidRPr="00581C3B">
        <w:rPr>
          <w:rFonts w:cs="Arial"/>
          <w:sz w:val="24"/>
          <w:szCs w:val="24"/>
        </w:rPr>
        <w:t>a service provider to remove or disable access to an illegal content due to the knock-on effect on other users, we propose that it is a defence</w:t>
      </w:r>
      <w:r w:rsidR="00D277F6">
        <w:rPr>
          <w:rFonts w:cs="Arial"/>
          <w:sz w:val="24"/>
          <w:szCs w:val="24"/>
        </w:rPr>
        <w:t xml:space="preserve"> </w:t>
      </w:r>
      <w:r w:rsidRPr="00581C3B">
        <w:rPr>
          <w:rFonts w:cs="Arial"/>
          <w:sz w:val="24"/>
          <w:szCs w:val="24"/>
        </w:rPr>
        <w:t>to prove that</w:t>
      </w:r>
      <w:r w:rsidR="00FD47FF" w:rsidRPr="00581C3B">
        <w:rPr>
          <w:rFonts w:cs="Arial"/>
          <w:sz w:val="24"/>
          <w:szCs w:val="24"/>
        </w:rPr>
        <w:t>:</w:t>
      </w:r>
    </w:p>
    <w:p w14:paraId="79F75A05" w14:textId="2DEAD2FF" w:rsidR="00C03D70" w:rsidRPr="00581C3B" w:rsidRDefault="00FD47FF" w:rsidP="00F133D1">
      <w:pPr>
        <w:pStyle w:val="ListParagraph"/>
        <w:numPr>
          <w:ilvl w:val="1"/>
          <w:numId w:val="17"/>
        </w:numPr>
        <w:tabs>
          <w:tab w:val="clear" w:pos="1418"/>
        </w:tabs>
        <w:spacing w:after="240" w:line="240" w:lineRule="auto"/>
        <w:ind w:left="1440" w:hanging="720"/>
        <w:contextualSpacing w:val="0"/>
        <w:rPr>
          <w:rFonts w:cs="Arial"/>
          <w:sz w:val="24"/>
          <w:szCs w:val="24"/>
          <w:lang w:val="en-GB"/>
        </w:rPr>
      </w:pPr>
      <w:r w:rsidRPr="00581C3B">
        <w:rPr>
          <w:rFonts w:cs="Arial"/>
          <w:sz w:val="24"/>
          <w:szCs w:val="24"/>
        </w:rPr>
        <w:t>access to the illegal content is removed or disabled as soon as reasonably practicable upon the provider’s knowing or having reasonable grounds to believe that illegal content has been provided by a recipient of the service; or</w:t>
      </w:r>
    </w:p>
    <w:p w14:paraId="214563C9" w14:textId="22E015BE" w:rsidR="00C03D70" w:rsidRPr="00581C3B" w:rsidRDefault="00FD47FF" w:rsidP="00F133D1">
      <w:pPr>
        <w:pStyle w:val="ListParagraph"/>
        <w:numPr>
          <w:ilvl w:val="1"/>
          <w:numId w:val="17"/>
        </w:numPr>
        <w:tabs>
          <w:tab w:val="clear" w:pos="1418"/>
        </w:tabs>
        <w:spacing w:after="240" w:line="240" w:lineRule="auto"/>
        <w:ind w:left="1440" w:hanging="720"/>
        <w:contextualSpacing w:val="0"/>
        <w:rPr>
          <w:rFonts w:cs="Arial"/>
          <w:sz w:val="24"/>
          <w:szCs w:val="24"/>
        </w:rPr>
      </w:pPr>
      <w:r w:rsidRPr="00581C3B">
        <w:rPr>
          <w:rFonts w:cs="Arial"/>
          <w:sz w:val="24"/>
          <w:szCs w:val="24"/>
        </w:rPr>
        <w:t>(if the removal, or disabling access to, the illegal content is not technically feasible or reasonably practicable) the service provider has reported the existence of the illegal content to an LEA as soon as reasonably practicable</w:t>
      </w:r>
      <w:r w:rsidR="00C03D70" w:rsidRPr="00581C3B">
        <w:rPr>
          <w:rFonts w:cs="Arial"/>
          <w:sz w:val="24"/>
          <w:szCs w:val="24"/>
        </w:rPr>
        <w:t>.</w:t>
      </w:r>
    </w:p>
    <w:p w14:paraId="0D040C73" w14:textId="76711899" w:rsidR="0089624D" w:rsidRPr="00581C3B" w:rsidRDefault="00602BC8" w:rsidP="0090149F">
      <w:pPr>
        <w:pStyle w:val="ListParagraph"/>
        <w:widowControl/>
        <w:spacing w:after="240" w:line="240" w:lineRule="auto"/>
        <w:ind w:left="0"/>
        <w:contextualSpacing w:val="0"/>
        <w:rPr>
          <w:rFonts w:cs="Arial"/>
          <w:i/>
          <w:sz w:val="24"/>
          <w:szCs w:val="24"/>
        </w:rPr>
      </w:pPr>
      <w:r w:rsidRPr="00581C3B">
        <w:rPr>
          <w:rFonts w:cs="Arial"/>
          <w:i/>
          <w:sz w:val="24"/>
          <w:szCs w:val="24"/>
          <w:lang w:val="en-GB"/>
        </w:rPr>
        <w:t>Defence for making available a device, program or data by automated technology</w:t>
      </w:r>
      <w:r w:rsidR="00957BE2" w:rsidRPr="00581C3B">
        <w:rPr>
          <w:rFonts w:eastAsia="Arial Unicode MS" w:cs="Arial"/>
          <w:kern w:val="2"/>
          <w:sz w:val="24"/>
          <w:szCs w:val="24"/>
          <w:vertAlign w:val="superscript"/>
        </w:rPr>
        <w:footnoteReference w:id="73"/>
      </w:r>
    </w:p>
    <w:p w14:paraId="6F5E410F" w14:textId="565A1E4E" w:rsidR="00D53E51" w:rsidRPr="00581C3B" w:rsidRDefault="00F75267"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As</w:t>
      </w:r>
      <w:r w:rsidR="00602BC8" w:rsidRPr="00581C3B">
        <w:rPr>
          <w:rFonts w:cs="Arial"/>
          <w:sz w:val="24"/>
          <w:szCs w:val="24"/>
          <w:lang w:val="en-GB"/>
        </w:rPr>
        <w:t xml:space="preserve"> technological advancement now makes it possible for a harmful device, program or data to be made available or disseminated by means of an automated process (eg a blockchain or an internet bot)</w:t>
      </w:r>
      <w:r w:rsidRPr="00581C3B">
        <w:rPr>
          <w:rFonts w:cs="Arial"/>
          <w:sz w:val="24"/>
          <w:szCs w:val="24"/>
          <w:lang w:val="en-GB"/>
        </w:rPr>
        <w:t>, w</w:t>
      </w:r>
      <w:r w:rsidR="00602BC8" w:rsidRPr="00581C3B">
        <w:rPr>
          <w:rFonts w:cs="Arial"/>
          <w:sz w:val="24"/>
          <w:szCs w:val="24"/>
          <w:lang w:val="en-GB"/>
        </w:rPr>
        <w:t>e envisage situations where an automated process, tool or technology used for distributing data may, in itself, be innocuous, but a perpetrator taints the innocent process, tool or technology with a malicious device, program or data (eg a virus or malicious app), and the blockchain or bot then automatically distributes the malicious material further.</w:t>
      </w:r>
    </w:p>
    <w:p w14:paraId="2DBE6095" w14:textId="589F8334" w:rsidR="00957BE2" w:rsidRPr="00581C3B" w:rsidRDefault="00602BC8" w:rsidP="0090149F">
      <w:pPr>
        <w:pStyle w:val="ListParagraph"/>
        <w:keepNext/>
        <w:widowControl/>
        <w:numPr>
          <w:ilvl w:val="0"/>
          <w:numId w:val="14"/>
        </w:numPr>
        <w:spacing w:after="240" w:line="240" w:lineRule="auto"/>
        <w:ind w:left="0" w:firstLine="0"/>
        <w:contextualSpacing w:val="0"/>
        <w:rPr>
          <w:sz w:val="24"/>
          <w:szCs w:val="24"/>
        </w:rPr>
      </w:pPr>
      <w:r w:rsidRPr="00581C3B">
        <w:rPr>
          <w:sz w:val="24"/>
          <w:szCs w:val="24"/>
        </w:rPr>
        <w:t>We consider it fair</w:t>
      </w:r>
      <w:r w:rsidR="00957BE2" w:rsidRPr="00581C3B">
        <w:rPr>
          <w:sz w:val="24"/>
          <w:szCs w:val="24"/>
        </w:rPr>
        <w:t xml:space="preserve"> that if certain illegal content is made available solely by means of an automated process, tool or technology, it is a defence for a person to show that he:</w:t>
      </w:r>
    </w:p>
    <w:p w14:paraId="7A794EAF" w14:textId="48EB4461" w:rsidR="00957BE2" w:rsidRPr="00581C3B" w:rsidRDefault="00957BE2" w:rsidP="00957BE2">
      <w:pPr>
        <w:pStyle w:val="ListParagraph"/>
        <w:numPr>
          <w:ilvl w:val="0"/>
          <w:numId w:val="65"/>
        </w:numPr>
        <w:spacing w:after="240" w:line="240" w:lineRule="auto"/>
        <w:ind w:left="1440" w:hanging="720"/>
        <w:contextualSpacing w:val="0"/>
        <w:rPr>
          <w:sz w:val="24"/>
          <w:szCs w:val="24"/>
        </w:rPr>
      </w:pPr>
      <w:r w:rsidRPr="00581C3B">
        <w:rPr>
          <w:sz w:val="24"/>
          <w:szCs w:val="24"/>
        </w:rPr>
        <w:t>was not knowingly involved in designing, producing, or generating such illegal content; and</w:t>
      </w:r>
    </w:p>
    <w:p w14:paraId="04AB173B" w14:textId="223F0D11" w:rsidR="00957BE2" w:rsidRPr="00581C3B" w:rsidRDefault="00957BE2" w:rsidP="00957BE2">
      <w:pPr>
        <w:pStyle w:val="ListParagraph"/>
        <w:numPr>
          <w:ilvl w:val="0"/>
          <w:numId w:val="65"/>
        </w:numPr>
        <w:spacing w:after="240" w:line="240" w:lineRule="auto"/>
        <w:ind w:left="1440" w:hanging="720"/>
        <w:contextualSpacing w:val="0"/>
        <w:rPr>
          <w:sz w:val="24"/>
          <w:szCs w:val="24"/>
        </w:rPr>
      </w:pPr>
      <w:r w:rsidRPr="00581C3B">
        <w:rPr>
          <w:sz w:val="24"/>
          <w:szCs w:val="24"/>
        </w:rPr>
        <w:t>was not knowingly involved in the process by which such illegal content became part of that automated process.</w:t>
      </w:r>
    </w:p>
    <w:p w14:paraId="0DF2DFE0" w14:textId="553FEFD4" w:rsidR="00752074" w:rsidRPr="00581C3B" w:rsidRDefault="0060746E" w:rsidP="00765211">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I</w:t>
      </w:r>
      <w:r w:rsidR="005F7762" w:rsidRPr="00581C3B">
        <w:rPr>
          <w:sz w:val="24"/>
          <w:szCs w:val="24"/>
        </w:rPr>
        <w:t xml:space="preserve">nstead of referring to any </w:t>
      </w:r>
      <w:r w:rsidR="00F33C67" w:rsidRPr="00581C3B">
        <w:rPr>
          <w:sz w:val="24"/>
          <w:szCs w:val="24"/>
        </w:rPr>
        <w:t xml:space="preserve">specific </w:t>
      </w:r>
      <w:r w:rsidR="005F7762" w:rsidRPr="00581C3B">
        <w:rPr>
          <w:sz w:val="24"/>
          <w:szCs w:val="24"/>
        </w:rPr>
        <w:t>technology</w:t>
      </w:r>
      <w:r w:rsidR="000F7534" w:rsidRPr="00581C3B">
        <w:rPr>
          <w:sz w:val="24"/>
          <w:szCs w:val="24"/>
        </w:rPr>
        <w:t>,</w:t>
      </w:r>
      <w:r w:rsidR="005F7762" w:rsidRPr="00581C3B">
        <w:rPr>
          <w:sz w:val="24"/>
          <w:szCs w:val="24"/>
        </w:rPr>
        <w:t xml:space="preserve"> </w:t>
      </w:r>
      <w:r w:rsidR="00602BC8" w:rsidRPr="00581C3B">
        <w:rPr>
          <w:sz w:val="24"/>
          <w:szCs w:val="24"/>
        </w:rPr>
        <w:t xml:space="preserve">the defence </w:t>
      </w:r>
      <w:r w:rsidRPr="00581C3B">
        <w:rPr>
          <w:sz w:val="24"/>
          <w:szCs w:val="24"/>
        </w:rPr>
        <w:t>is framed generically by reference</w:t>
      </w:r>
      <w:r w:rsidR="000F7534" w:rsidRPr="00581C3B">
        <w:rPr>
          <w:sz w:val="24"/>
          <w:szCs w:val="24"/>
        </w:rPr>
        <w:t xml:space="preserve"> to “automated process”</w:t>
      </w:r>
      <w:r w:rsidR="00C72FB1" w:rsidRPr="00581C3B">
        <w:rPr>
          <w:rFonts w:cs="Arial"/>
          <w:sz w:val="24"/>
          <w:szCs w:val="24"/>
          <w:lang w:val="en-GB"/>
        </w:rPr>
        <w:t>.</w:t>
      </w:r>
      <w:r w:rsidRPr="00581C3B">
        <w:rPr>
          <w:rFonts w:cs="Arial"/>
          <w:sz w:val="24"/>
          <w:szCs w:val="24"/>
          <w:lang w:val="en-GB"/>
        </w:rPr>
        <w:t xml:space="preserve">  This is because </w:t>
      </w:r>
      <w:r w:rsidRPr="00581C3B">
        <w:rPr>
          <w:sz w:val="24"/>
          <w:szCs w:val="24"/>
        </w:rPr>
        <w:t>as technology continues to evolve, alternatives to blockchain and bots may emerge.</w:t>
      </w:r>
    </w:p>
    <w:p w14:paraId="26A86CBE" w14:textId="7B5C6FD5" w:rsidR="00132D7A" w:rsidRPr="00581C3B" w:rsidRDefault="0048790D" w:rsidP="0090149F">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O</w:t>
      </w:r>
      <w:r w:rsidR="007D36EB" w:rsidRPr="00581C3B">
        <w:rPr>
          <w:rFonts w:cs="Arial"/>
          <w:sz w:val="24"/>
          <w:szCs w:val="24"/>
          <w:lang w:val="en-GB"/>
        </w:rPr>
        <w:t xml:space="preserve">ur </w:t>
      </w:r>
      <w:r w:rsidR="007D36EB" w:rsidRPr="00581C3B">
        <w:rPr>
          <w:rFonts w:cs="Arial"/>
          <w:b/>
          <w:sz w:val="24"/>
          <w:szCs w:val="24"/>
          <w:lang w:val="en-GB"/>
        </w:rPr>
        <w:t xml:space="preserve">Final </w:t>
      </w:r>
      <w:r w:rsidR="007D36EB" w:rsidRPr="00581C3B">
        <w:rPr>
          <w:rFonts w:cs="Arial" w:hint="eastAsia"/>
          <w:b/>
          <w:sz w:val="24"/>
          <w:szCs w:val="24"/>
        </w:rPr>
        <w:t>R</w:t>
      </w:r>
      <w:r w:rsidR="007D36EB" w:rsidRPr="00581C3B">
        <w:rPr>
          <w:rFonts w:cs="Arial"/>
          <w:b/>
          <w:sz w:val="24"/>
          <w:szCs w:val="24"/>
        </w:rPr>
        <w:t>ecommendation 10</w:t>
      </w:r>
      <w:r w:rsidRPr="00581C3B">
        <w:rPr>
          <w:rFonts w:cs="Arial"/>
          <w:sz w:val="24"/>
          <w:szCs w:val="24"/>
        </w:rPr>
        <w:t xml:space="preserve"> is as follows</w:t>
      </w:r>
      <w:r w:rsidR="007D36EB" w:rsidRPr="00581C3B">
        <w:rPr>
          <w:rFonts w:cs="Arial"/>
        </w:rPr>
        <w:t>:</w:t>
      </w:r>
    </w:p>
    <w:p w14:paraId="1C4B25EB" w14:textId="4FD21643" w:rsidR="007D36EB" w:rsidRPr="00581C3B" w:rsidRDefault="007D36EB" w:rsidP="0090149F">
      <w:pPr>
        <w:pStyle w:val="ListParagraph"/>
        <w:spacing w:after="240" w:line="240" w:lineRule="auto"/>
        <w:ind w:right="720"/>
        <w:contextualSpacing w:val="0"/>
        <w:rPr>
          <w:rFonts w:cs="Arial"/>
          <w:i/>
          <w:sz w:val="24"/>
          <w:szCs w:val="24"/>
        </w:rPr>
      </w:pPr>
      <w:r w:rsidRPr="00BA7FF3">
        <w:rPr>
          <w:rFonts w:cs="Arial"/>
          <w:i/>
        </w:rPr>
        <w:t>“</w:t>
      </w:r>
      <w:r w:rsidR="00C01B46" w:rsidRPr="00581C3B">
        <w:rPr>
          <w:rFonts w:cs="Arial"/>
          <w:i/>
          <w:sz w:val="24"/>
          <w:szCs w:val="24"/>
        </w:rPr>
        <w:t xml:space="preserve">Apart from the statutory defence of reasonable excuse, we recommend the following specific defences to the offence of making available a device, program or data for committing a cyber-related </w:t>
      </w:r>
      <w:r w:rsidR="00DA2212">
        <w:rPr>
          <w:rFonts w:cs="Arial"/>
          <w:i/>
          <w:sz w:val="24"/>
          <w:szCs w:val="24"/>
        </w:rPr>
        <w:t>crime</w:t>
      </w:r>
      <w:r w:rsidR="00C01B46" w:rsidRPr="00581C3B">
        <w:rPr>
          <w:rFonts w:cs="Arial"/>
          <w:i/>
          <w:sz w:val="24"/>
          <w:szCs w:val="24"/>
        </w:rPr>
        <w:t xml:space="preserve"> (or possessing such device, program or data for the purpose of making it available for committing a cyber-related </w:t>
      </w:r>
      <w:r w:rsidR="00DA2212">
        <w:rPr>
          <w:rFonts w:cs="Arial"/>
          <w:i/>
          <w:sz w:val="24"/>
          <w:szCs w:val="24"/>
        </w:rPr>
        <w:t>crime</w:t>
      </w:r>
      <w:r w:rsidR="00C01B46" w:rsidRPr="00581C3B">
        <w:rPr>
          <w:rFonts w:cs="Arial"/>
          <w:i/>
          <w:sz w:val="24"/>
          <w:szCs w:val="24"/>
        </w:rPr>
        <w:t>):</w:t>
      </w:r>
    </w:p>
    <w:p w14:paraId="1221CBF4" w14:textId="4719160F" w:rsidR="00C01B46" w:rsidRPr="00581C3B" w:rsidRDefault="00C01B46" w:rsidP="00687A7F">
      <w:pPr>
        <w:pStyle w:val="ListParagraph"/>
        <w:numPr>
          <w:ilvl w:val="0"/>
          <w:numId w:val="43"/>
        </w:numPr>
        <w:spacing w:after="240" w:line="240" w:lineRule="auto"/>
        <w:ind w:left="1440" w:right="720" w:hanging="720"/>
        <w:contextualSpacing w:val="0"/>
        <w:rPr>
          <w:rFonts w:cs="Arial"/>
          <w:i/>
          <w:sz w:val="24"/>
          <w:szCs w:val="24"/>
          <w:lang w:val="en-GB"/>
        </w:rPr>
      </w:pPr>
      <w:r w:rsidRPr="00581C3B">
        <w:rPr>
          <w:rFonts w:cs="Arial"/>
          <w:i/>
          <w:sz w:val="24"/>
          <w:szCs w:val="24"/>
        </w:rPr>
        <w:t xml:space="preserve">Making available the device, program or data for cybersecurity purposes (or possessing such device, program or data for the purpose of making </w:t>
      </w:r>
      <w:r w:rsidR="00881174">
        <w:rPr>
          <w:rFonts w:cs="Arial"/>
          <w:i/>
          <w:sz w:val="24"/>
          <w:szCs w:val="24"/>
        </w:rPr>
        <w:t>it</w:t>
      </w:r>
      <w:r w:rsidRPr="00581C3B">
        <w:rPr>
          <w:rFonts w:cs="Arial"/>
          <w:i/>
          <w:sz w:val="24"/>
          <w:szCs w:val="24"/>
        </w:rPr>
        <w:t xml:space="preserve"> available for cybersecurity purposes):</w:t>
      </w:r>
    </w:p>
    <w:p w14:paraId="2EFD72D0" w14:textId="489BFD1B" w:rsidR="00C01B46" w:rsidRPr="00581C3B" w:rsidRDefault="00C01B46" w:rsidP="0090149F">
      <w:pPr>
        <w:pStyle w:val="ListParagraph"/>
        <w:numPr>
          <w:ilvl w:val="0"/>
          <w:numId w:val="44"/>
        </w:numPr>
        <w:spacing w:afterLines="50" w:after="120" w:line="240" w:lineRule="auto"/>
        <w:ind w:left="2160" w:right="720"/>
        <w:contextualSpacing w:val="0"/>
        <w:rPr>
          <w:rFonts w:cs="Arial"/>
          <w:i/>
          <w:sz w:val="24"/>
          <w:szCs w:val="24"/>
          <w:lang w:val="en-GB"/>
        </w:rPr>
      </w:pPr>
      <w:r w:rsidRPr="00581C3B">
        <w:rPr>
          <w:rFonts w:cs="Arial"/>
          <w:i/>
          <w:sz w:val="24"/>
          <w:szCs w:val="24"/>
        </w:rPr>
        <w:t xml:space="preserve">This defence should only apply to an accredited cybersecurity practitioner (whose qualifications would be recognised under a regime to be established by the Government) who has acted for </w:t>
      </w:r>
      <w:r w:rsidR="00672A30">
        <w:rPr>
          <w:rFonts w:cs="Arial"/>
          <w:i/>
          <w:sz w:val="24"/>
          <w:szCs w:val="24"/>
        </w:rPr>
        <w:t xml:space="preserve">a </w:t>
      </w:r>
      <w:r w:rsidRPr="00581C3B">
        <w:rPr>
          <w:rFonts w:cs="Arial"/>
          <w:i/>
          <w:sz w:val="24"/>
          <w:szCs w:val="24"/>
        </w:rPr>
        <w:t>genuine cybersecurity purpose;</w:t>
      </w:r>
    </w:p>
    <w:p w14:paraId="370E73E1" w14:textId="5FC5968A" w:rsidR="00C01B46" w:rsidRPr="00581C3B" w:rsidRDefault="00C01B46" w:rsidP="0090149F">
      <w:pPr>
        <w:pStyle w:val="ListParagraph"/>
        <w:numPr>
          <w:ilvl w:val="0"/>
          <w:numId w:val="44"/>
        </w:numPr>
        <w:spacing w:afterLines="50" w:after="120" w:line="240" w:lineRule="auto"/>
        <w:ind w:left="2160" w:right="720"/>
        <w:contextualSpacing w:val="0"/>
        <w:rPr>
          <w:rFonts w:cs="Arial"/>
          <w:i/>
          <w:sz w:val="24"/>
          <w:szCs w:val="24"/>
          <w:lang w:val="en-GB"/>
        </w:rPr>
      </w:pPr>
      <w:r w:rsidRPr="00581C3B">
        <w:rPr>
          <w:rFonts w:cs="Arial"/>
          <w:i/>
          <w:sz w:val="24"/>
          <w:szCs w:val="24"/>
        </w:rPr>
        <w:t>The cybersecurity practitioner’s purpose and conduct must be reasonable having regard to all the circumstances; and</w:t>
      </w:r>
    </w:p>
    <w:p w14:paraId="3A2D18DB" w14:textId="6E5EDBF6" w:rsidR="00C01B46" w:rsidRPr="00581C3B" w:rsidRDefault="00C01B46" w:rsidP="0090149F">
      <w:pPr>
        <w:pStyle w:val="ListParagraph"/>
        <w:numPr>
          <w:ilvl w:val="0"/>
          <w:numId w:val="44"/>
        </w:numPr>
        <w:spacing w:afterLines="50" w:after="120" w:line="240" w:lineRule="auto"/>
        <w:ind w:left="2160" w:right="720"/>
        <w:contextualSpacing w:val="0"/>
        <w:rPr>
          <w:rFonts w:cs="Arial"/>
          <w:i/>
          <w:sz w:val="24"/>
          <w:szCs w:val="24"/>
          <w:lang w:val="en-GB"/>
        </w:rPr>
      </w:pPr>
      <w:r w:rsidRPr="00581C3B">
        <w:rPr>
          <w:rFonts w:cs="Arial"/>
          <w:i/>
          <w:sz w:val="24"/>
          <w:szCs w:val="24"/>
        </w:rPr>
        <w:t>This defence should extend to:</w:t>
      </w:r>
    </w:p>
    <w:p w14:paraId="48296A8C" w14:textId="2F2A19F7" w:rsidR="00C01B46" w:rsidRPr="00581C3B" w:rsidRDefault="00C01B46" w:rsidP="0090149F">
      <w:pPr>
        <w:pStyle w:val="ListParagraph"/>
        <w:numPr>
          <w:ilvl w:val="2"/>
          <w:numId w:val="17"/>
        </w:numPr>
        <w:spacing w:afterLines="50" w:after="120" w:line="240" w:lineRule="auto"/>
        <w:ind w:left="2880" w:right="720" w:hanging="720"/>
        <w:contextualSpacing w:val="0"/>
        <w:rPr>
          <w:rFonts w:cs="Arial"/>
          <w:i/>
          <w:sz w:val="24"/>
          <w:szCs w:val="24"/>
          <w:lang w:val="en-GB"/>
        </w:rPr>
      </w:pPr>
      <w:r w:rsidRPr="00581C3B">
        <w:rPr>
          <w:rFonts w:cs="Arial"/>
          <w:i/>
          <w:sz w:val="24"/>
          <w:szCs w:val="24"/>
        </w:rPr>
        <w:t>persons who possess or make available the device, program or data for cyberse</w:t>
      </w:r>
      <w:r w:rsidR="002D5A4C" w:rsidRPr="00581C3B">
        <w:rPr>
          <w:rFonts w:cs="Arial"/>
          <w:i/>
          <w:sz w:val="24"/>
          <w:szCs w:val="24"/>
        </w:rPr>
        <w:t xml:space="preserve">curity purposes with the prior </w:t>
      </w:r>
      <w:r w:rsidRPr="00581C3B">
        <w:rPr>
          <w:rFonts w:cs="Arial"/>
          <w:i/>
          <w:sz w:val="24"/>
          <w:szCs w:val="24"/>
        </w:rPr>
        <w:t xml:space="preserve">permission or authorisation of a cybersecurity </w:t>
      </w:r>
      <w:r w:rsidR="00474C93" w:rsidRPr="00581C3B">
        <w:rPr>
          <w:rFonts w:cs="Arial"/>
          <w:i/>
          <w:sz w:val="24"/>
          <w:szCs w:val="24"/>
        </w:rPr>
        <w:t>practitioner</w:t>
      </w:r>
      <w:r w:rsidRPr="00581C3B">
        <w:rPr>
          <w:rFonts w:cs="Arial"/>
          <w:i/>
          <w:sz w:val="24"/>
          <w:szCs w:val="24"/>
        </w:rPr>
        <w:t>; and</w:t>
      </w:r>
    </w:p>
    <w:p w14:paraId="355CD911" w14:textId="53DCD358" w:rsidR="00C01B46" w:rsidRPr="00581C3B" w:rsidRDefault="00C01B46" w:rsidP="00503B03">
      <w:pPr>
        <w:pStyle w:val="ListParagraph"/>
        <w:numPr>
          <w:ilvl w:val="2"/>
          <w:numId w:val="17"/>
        </w:numPr>
        <w:spacing w:after="240" w:line="240" w:lineRule="auto"/>
        <w:ind w:left="2880" w:right="720" w:hanging="720"/>
        <w:contextualSpacing w:val="0"/>
        <w:rPr>
          <w:rFonts w:cs="Arial"/>
          <w:i/>
          <w:sz w:val="24"/>
          <w:szCs w:val="24"/>
          <w:lang w:val="en-GB"/>
        </w:rPr>
      </w:pPr>
      <w:r w:rsidRPr="00581C3B">
        <w:rPr>
          <w:rFonts w:cs="Arial"/>
          <w:i/>
          <w:sz w:val="24"/>
          <w:szCs w:val="24"/>
        </w:rPr>
        <w:t xml:space="preserve">persons who assist the cybersecurity </w:t>
      </w:r>
      <w:r w:rsidR="00474C93" w:rsidRPr="00581C3B">
        <w:rPr>
          <w:rFonts w:cs="Arial"/>
          <w:i/>
          <w:sz w:val="24"/>
          <w:szCs w:val="24"/>
        </w:rPr>
        <w:t xml:space="preserve">practitioner </w:t>
      </w:r>
      <w:r w:rsidRPr="00581C3B">
        <w:rPr>
          <w:rFonts w:cs="Arial"/>
          <w:i/>
          <w:sz w:val="24"/>
          <w:szCs w:val="24"/>
        </w:rPr>
        <w:t>in carrying out his professional duties.</w:t>
      </w:r>
    </w:p>
    <w:p w14:paraId="07881E5C" w14:textId="1FC73642" w:rsidR="00C01B46" w:rsidRPr="00581C3B" w:rsidRDefault="00C01B46" w:rsidP="00503B03">
      <w:pPr>
        <w:pStyle w:val="ListParagraph"/>
        <w:numPr>
          <w:ilvl w:val="0"/>
          <w:numId w:val="45"/>
        </w:numPr>
        <w:tabs>
          <w:tab w:val="clear" w:pos="1418"/>
          <w:tab w:val="left" w:pos="567"/>
        </w:tabs>
        <w:spacing w:beforeLines="100" w:before="240" w:after="240"/>
        <w:ind w:left="1440" w:right="720" w:hanging="720"/>
        <w:contextualSpacing w:val="0"/>
        <w:rPr>
          <w:rFonts w:cs="Arial"/>
          <w:i/>
          <w:sz w:val="24"/>
          <w:szCs w:val="24"/>
        </w:rPr>
      </w:pPr>
      <w:r w:rsidRPr="00581C3B">
        <w:rPr>
          <w:rFonts w:cs="Arial"/>
          <w:i/>
          <w:sz w:val="24"/>
          <w:szCs w:val="24"/>
        </w:rPr>
        <w:t xml:space="preserve">Making available the device, program or data for genuine educational, scientific or research purposes (or possessing </w:t>
      </w:r>
      <w:r w:rsidR="00381789">
        <w:rPr>
          <w:rFonts w:cs="Arial"/>
          <w:i/>
          <w:sz w:val="24"/>
          <w:szCs w:val="24"/>
        </w:rPr>
        <w:t>such</w:t>
      </w:r>
      <w:r w:rsidRPr="00581C3B">
        <w:rPr>
          <w:rFonts w:cs="Arial"/>
          <w:i/>
          <w:sz w:val="24"/>
          <w:szCs w:val="24"/>
        </w:rPr>
        <w:t xml:space="preserve"> device, program or data for the purpose of making it available for genuine educational, scientific or research purposes). The conduct of a person who relies on this defence must be reasonable having regard to all the circumstances.</w:t>
      </w:r>
    </w:p>
    <w:p w14:paraId="6203A73C" w14:textId="7D1F34B9" w:rsidR="00C01B46" w:rsidRPr="00581C3B" w:rsidRDefault="00C01B46" w:rsidP="00503B03">
      <w:pPr>
        <w:pStyle w:val="ListParagraph"/>
        <w:numPr>
          <w:ilvl w:val="0"/>
          <w:numId w:val="45"/>
        </w:numPr>
        <w:tabs>
          <w:tab w:val="clear" w:pos="1418"/>
        </w:tabs>
        <w:spacing w:beforeLines="100" w:before="240" w:after="240"/>
        <w:ind w:left="1440" w:right="720" w:hanging="720"/>
        <w:contextualSpacing w:val="0"/>
        <w:rPr>
          <w:rFonts w:cs="Arial"/>
          <w:i/>
          <w:sz w:val="24"/>
          <w:szCs w:val="24"/>
        </w:rPr>
      </w:pPr>
      <w:r w:rsidRPr="00581C3B">
        <w:rPr>
          <w:rFonts w:cs="Arial"/>
          <w:i/>
          <w:sz w:val="24"/>
          <w:szCs w:val="24"/>
        </w:rPr>
        <w:t>Modelling on Article 4 of the Digital Services Act (“</w:t>
      </w:r>
      <w:r w:rsidRPr="00581C3B">
        <w:rPr>
          <w:rFonts w:cs="Arial"/>
          <w:b/>
          <w:i/>
          <w:sz w:val="24"/>
          <w:szCs w:val="24"/>
        </w:rPr>
        <w:t>DSA</w:t>
      </w:r>
      <w:r w:rsidRPr="00581C3B">
        <w:rPr>
          <w:rFonts w:cs="Arial"/>
          <w:i/>
          <w:sz w:val="24"/>
          <w:szCs w:val="24"/>
        </w:rPr>
        <w:t>”) of the European Union, it is a defence for an internet service provider</w:t>
      </w:r>
      <w:r w:rsidR="00474C93" w:rsidRPr="00581C3B">
        <w:rPr>
          <w:rStyle w:val="FootnoteReference"/>
          <w:rFonts w:cs="Arial"/>
          <w:sz w:val="24"/>
          <w:szCs w:val="24"/>
        </w:rPr>
        <w:footnoteReference w:id="74"/>
      </w:r>
      <w:r w:rsidRPr="00581C3B">
        <w:rPr>
          <w:rFonts w:cs="Arial"/>
          <w:i/>
          <w:sz w:val="24"/>
          <w:szCs w:val="24"/>
        </w:rPr>
        <w:t xml:space="preserve"> that serves as a mere conduit in making available the device, program or data (or possessing the device, program or data for the purpose of making it available) to show that the provider:</w:t>
      </w:r>
    </w:p>
    <w:p w14:paraId="0FB92E05" w14:textId="7535312B" w:rsidR="00C01B46" w:rsidRPr="00581C3B" w:rsidRDefault="00C01B46" w:rsidP="0090149F">
      <w:pPr>
        <w:pStyle w:val="ListParagraph"/>
        <w:numPr>
          <w:ilvl w:val="0"/>
          <w:numId w:val="46"/>
        </w:numPr>
        <w:tabs>
          <w:tab w:val="clear" w:pos="1418"/>
        </w:tabs>
        <w:spacing w:beforeLines="100" w:before="240" w:afterLines="50" w:after="120"/>
        <w:ind w:left="2160" w:right="720"/>
        <w:contextualSpacing w:val="0"/>
        <w:rPr>
          <w:rFonts w:cs="Arial"/>
          <w:i/>
          <w:sz w:val="24"/>
          <w:szCs w:val="24"/>
        </w:rPr>
      </w:pPr>
      <w:r w:rsidRPr="00581C3B">
        <w:rPr>
          <w:rFonts w:cs="Arial"/>
          <w:i/>
          <w:sz w:val="24"/>
          <w:szCs w:val="24"/>
        </w:rPr>
        <w:t>does not initiate the transmission of the device, program or data (“</w:t>
      </w:r>
      <w:r w:rsidRPr="00581C3B">
        <w:rPr>
          <w:rFonts w:cs="Arial"/>
          <w:b/>
          <w:i/>
          <w:sz w:val="24"/>
          <w:szCs w:val="24"/>
        </w:rPr>
        <w:t>illegal</w:t>
      </w:r>
      <w:r w:rsidRPr="00581C3B">
        <w:rPr>
          <w:rFonts w:cs="Arial"/>
          <w:i/>
          <w:sz w:val="24"/>
          <w:szCs w:val="24"/>
        </w:rPr>
        <w:t xml:space="preserve"> </w:t>
      </w:r>
      <w:r w:rsidRPr="00581C3B">
        <w:rPr>
          <w:rFonts w:cs="Arial"/>
          <w:b/>
          <w:i/>
          <w:sz w:val="24"/>
          <w:szCs w:val="24"/>
        </w:rPr>
        <w:t>content</w:t>
      </w:r>
      <w:r w:rsidRPr="00581C3B">
        <w:rPr>
          <w:rFonts w:cs="Arial"/>
          <w:i/>
          <w:sz w:val="24"/>
          <w:szCs w:val="24"/>
        </w:rPr>
        <w:t>”);</w:t>
      </w:r>
    </w:p>
    <w:p w14:paraId="5E9CA91C" w14:textId="665AB893" w:rsidR="00C01B46" w:rsidRPr="00581C3B" w:rsidRDefault="00C01B46" w:rsidP="0090149F">
      <w:pPr>
        <w:pStyle w:val="ListParagraph"/>
        <w:numPr>
          <w:ilvl w:val="0"/>
          <w:numId w:val="46"/>
        </w:numPr>
        <w:tabs>
          <w:tab w:val="clear" w:pos="1418"/>
        </w:tabs>
        <w:spacing w:beforeLines="50" w:before="120" w:afterLines="50" w:after="120"/>
        <w:ind w:left="2160" w:right="720"/>
        <w:contextualSpacing w:val="0"/>
        <w:rPr>
          <w:rFonts w:cs="Arial"/>
          <w:i/>
          <w:sz w:val="24"/>
          <w:szCs w:val="24"/>
        </w:rPr>
      </w:pPr>
      <w:r w:rsidRPr="00581C3B">
        <w:rPr>
          <w:rFonts w:cs="Arial"/>
          <w:i/>
          <w:sz w:val="24"/>
          <w:szCs w:val="24"/>
        </w:rPr>
        <w:t>does not select the receiver of the transmission; and</w:t>
      </w:r>
    </w:p>
    <w:p w14:paraId="4167D138" w14:textId="3B0CE973" w:rsidR="00C01B46" w:rsidRPr="00581C3B" w:rsidRDefault="00C01B46" w:rsidP="00503B03">
      <w:pPr>
        <w:pStyle w:val="ListParagraph"/>
        <w:numPr>
          <w:ilvl w:val="0"/>
          <w:numId w:val="46"/>
        </w:numPr>
        <w:tabs>
          <w:tab w:val="clear" w:pos="1418"/>
        </w:tabs>
        <w:spacing w:beforeLines="100" w:before="240" w:afterLines="100" w:after="240"/>
        <w:ind w:left="2160" w:right="720"/>
        <w:contextualSpacing w:val="0"/>
        <w:rPr>
          <w:rFonts w:cs="Arial"/>
          <w:i/>
          <w:sz w:val="24"/>
          <w:szCs w:val="24"/>
        </w:rPr>
      </w:pPr>
      <w:r w:rsidRPr="00581C3B">
        <w:rPr>
          <w:rFonts w:cs="Arial"/>
          <w:i/>
          <w:sz w:val="24"/>
          <w:szCs w:val="24"/>
        </w:rPr>
        <w:t>does not select or modify the illegal content contained in the transmission.</w:t>
      </w:r>
    </w:p>
    <w:p w14:paraId="0E34437A" w14:textId="06FC34C0" w:rsidR="00C01B46" w:rsidRPr="00581C3B" w:rsidRDefault="00C01B46" w:rsidP="00503B03">
      <w:pPr>
        <w:pStyle w:val="ListParagraph"/>
        <w:numPr>
          <w:ilvl w:val="0"/>
          <w:numId w:val="45"/>
        </w:numPr>
        <w:tabs>
          <w:tab w:val="clear" w:pos="1418"/>
        </w:tabs>
        <w:spacing w:beforeLines="100" w:before="240" w:afterLines="100" w:after="240" w:line="240" w:lineRule="auto"/>
        <w:ind w:left="1440" w:right="720" w:hanging="720"/>
        <w:contextualSpacing w:val="0"/>
        <w:rPr>
          <w:rFonts w:cs="Arial"/>
          <w:i/>
          <w:sz w:val="24"/>
          <w:szCs w:val="24"/>
        </w:rPr>
      </w:pPr>
      <w:r w:rsidRPr="00581C3B">
        <w:rPr>
          <w:rFonts w:cs="Arial"/>
          <w:i/>
          <w:sz w:val="24"/>
          <w:szCs w:val="24"/>
        </w:rPr>
        <w:t>Modelling on Article 6 of the DSA, where the services of a service provider</w:t>
      </w:r>
      <w:r w:rsidR="00474C93" w:rsidRPr="00581C3B">
        <w:rPr>
          <w:rStyle w:val="FootnoteReference"/>
          <w:rFonts w:cs="Arial"/>
          <w:sz w:val="24"/>
          <w:szCs w:val="24"/>
        </w:rPr>
        <w:footnoteReference w:id="75"/>
      </w:r>
      <w:r w:rsidRPr="00581C3B">
        <w:rPr>
          <w:rFonts w:cs="Arial"/>
          <w:i/>
          <w:sz w:val="24"/>
          <w:szCs w:val="24"/>
        </w:rPr>
        <w:t xml:space="preserve"> include storage and/or dissemination of a device, program or data provided by a recipient of the service, and the service provider becomes aware of or has reasonable grounds to believe that illegal content, or access to that illegal content (whether directly or indirectly), has been provided by a recipient of the service, it is a defence for the service provider to show that:</w:t>
      </w:r>
    </w:p>
    <w:p w14:paraId="4208C12E" w14:textId="3145BC29" w:rsidR="00C01B46" w:rsidRPr="00581C3B" w:rsidRDefault="00C01B46" w:rsidP="0090149F">
      <w:pPr>
        <w:pStyle w:val="ListParagraph"/>
        <w:numPr>
          <w:ilvl w:val="0"/>
          <w:numId w:val="47"/>
        </w:numPr>
        <w:tabs>
          <w:tab w:val="clear" w:pos="1418"/>
        </w:tabs>
        <w:spacing w:beforeLines="100" w:before="240" w:afterLines="50" w:after="120" w:line="240" w:lineRule="auto"/>
        <w:ind w:left="2160" w:right="720"/>
        <w:contextualSpacing w:val="0"/>
        <w:rPr>
          <w:rFonts w:cs="Arial"/>
          <w:i/>
          <w:sz w:val="24"/>
          <w:szCs w:val="24"/>
        </w:rPr>
      </w:pPr>
      <w:r w:rsidRPr="00581C3B">
        <w:rPr>
          <w:rFonts w:cs="Arial"/>
          <w:i/>
          <w:sz w:val="24"/>
          <w:szCs w:val="24"/>
        </w:rPr>
        <w:t>access to the illegal content is removed or disabled as soon as reasonably practicable upon the service provider’s obtaining such knowledge or having such reasonable grounds to believe; or</w:t>
      </w:r>
    </w:p>
    <w:p w14:paraId="4FF3630B" w14:textId="2AED7B2E" w:rsidR="00C01B46" w:rsidRPr="00581C3B" w:rsidRDefault="00C01B46" w:rsidP="00503B03">
      <w:pPr>
        <w:pStyle w:val="ListParagraph"/>
        <w:numPr>
          <w:ilvl w:val="0"/>
          <w:numId w:val="47"/>
        </w:numPr>
        <w:tabs>
          <w:tab w:val="clear" w:pos="1418"/>
        </w:tabs>
        <w:spacing w:beforeLines="100" w:before="240" w:afterLines="100" w:after="240" w:line="240" w:lineRule="auto"/>
        <w:ind w:left="2160" w:right="720"/>
        <w:contextualSpacing w:val="0"/>
        <w:rPr>
          <w:rFonts w:cs="Arial"/>
          <w:i/>
          <w:sz w:val="24"/>
          <w:szCs w:val="24"/>
        </w:rPr>
      </w:pPr>
      <w:r w:rsidRPr="00581C3B">
        <w:rPr>
          <w:rFonts w:cs="Arial"/>
          <w:i/>
          <w:sz w:val="24"/>
          <w:szCs w:val="24"/>
        </w:rPr>
        <w:t>(if the removal, or disabling access to, the illegal content is not technically feas</w:t>
      </w:r>
      <w:r w:rsidR="00474C93" w:rsidRPr="00581C3B">
        <w:rPr>
          <w:rFonts w:cs="Arial"/>
          <w:i/>
          <w:sz w:val="24"/>
          <w:szCs w:val="24"/>
        </w:rPr>
        <w:t>ible or reasonably practicable)</w:t>
      </w:r>
      <w:r w:rsidRPr="00581C3B">
        <w:rPr>
          <w:rFonts w:cs="Arial"/>
          <w:i/>
          <w:sz w:val="24"/>
          <w:szCs w:val="24"/>
        </w:rPr>
        <w:t xml:space="preserve"> the service provider has reported the existence of the illegal content to a law enforcement agency as soon as reasonably practicable.</w:t>
      </w:r>
    </w:p>
    <w:p w14:paraId="343254DD" w14:textId="25DC1216" w:rsidR="00C01B46" w:rsidRPr="00581C3B" w:rsidRDefault="00C01B46" w:rsidP="00503B03">
      <w:pPr>
        <w:pStyle w:val="ListParagraph"/>
        <w:numPr>
          <w:ilvl w:val="0"/>
          <w:numId w:val="45"/>
        </w:numPr>
        <w:tabs>
          <w:tab w:val="clear" w:pos="1418"/>
        </w:tabs>
        <w:spacing w:beforeLines="100" w:before="240" w:afterLines="100" w:after="240" w:line="240" w:lineRule="auto"/>
        <w:ind w:left="1440" w:right="720" w:hanging="720"/>
        <w:contextualSpacing w:val="0"/>
        <w:rPr>
          <w:rFonts w:cs="Arial"/>
          <w:i/>
          <w:sz w:val="24"/>
          <w:szCs w:val="24"/>
        </w:rPr>
      </w:pPr>
      <w:r w:rsidRPr="00581C3B">
        <w:rPr>
          <w:rFonts w:cs="Arial"/>
          <w:i/>
          <w:sz w:val="24"/>
          <w:szCs w:val="24"/>
        </w:rPr>
        <w:t>If an illegal content is made available solely by means of an automated process, tool or technology, it is a defence for a person to show that he:</w:t>
      </w:r>
    </w:p>
    <w:p w14:paraId="0C8F0BA6" w14:textId="3084C817" w:rsidR="00C01B46" w:rsidRPr="00581C3B" w:rsidRDefault="00C01B46" w:rsidP="0090149F">
      <w:pPr>
        <w:pStyle w:val="ListParagraph"/>
        <w:keepNext/>
        <w:widowControl/>
        <w:numPr>
          <w:ilvl w:val="0"/>
          <w:numId w:val="48"/>
        </w:numPr>
        <w:tabs>
          <w:tab w:val="clear" w:pos="1418"/>
        </w:tabs>
        <w:spacing w:beforeLines="100" w:before="240" w:afterLines="50" w:after="120" w:line="240" w:lineRule="auto"/>
        <w:ind w:left="2160" w:right="720"/>
        <w:contextualSpacing w:val="0"/>
        <w:rPr>
          <w:rFonts w:cs="Arial"/>
          <w:i/>
          <w:sz w:val="24"/>
          <w:szCs w:val="24"/>
        </w:rPr>
      </w:pPr>
      <w:r w:rsidRPr="00581C3B">
        <w:rPr>
          <w:rFonts w:cs="Arial"/>
          <w:i/>
          <w:sz w:val="24"/>
          <w:szCs w:val="24"/>
        </w:rPr>
        <w:t>was not knowingly involved in designing, producing, or generating the illegal content; and</w:t>
      </w:r>
    </w:p>
    <w:p w14:paraId="7AE4B942" w14:textId="38E17B95" w:rsidR="00C01B46" w:rsidRPr="00581C3B" w:rsidRDefault="00C01B46" w:rsidP="0090149F">
      <w:pPr>
        <w:pStyle w:val="ListParagraph"/>
        <w:numPr>
          <w:ilvl w:val="0"/>
          <w:numId w:val="48"/>
        </w:numPr>
        <w:tabs>
          <w:tab w:val="clear" w:pos="1418"/>
        </w:tabs>
        <w:spacing w:beforeLines="50" w:before="120" w:afterLines="100" w:after="240" w:line="240" w:lineRule="auto"/>
        <w:ind w:left="2160" w:right="720"/>
        <w:contextualSpacing w:val="0"/>
        <w:rPr>
          <w:rFonts w:cs="Arial"/>
          <w:i/>
        </w:rPr>
      </w:pPr>
      <w:r w:rsidRPr="00581C3B">
        <w:rPr>
          <w:rFonts w:cs="Arial"/>
          <w:i/>
          <w:sz w:val="24"/>
          <w:szCs w:val="24"/>
        </w:rPr>
        <w:t>was not knowingly involved in the process by which the illegal content became part of that automated process.</w:t>
      </w:r>
      <w:r w:rsidRPr="00581C3B">
        <w:rPr>
          <w:rFonts w:cs="Arial"/>
          <w:i/>
        </w:rPr>
        <w:t>”</w:t>
      </w:r>
    </w:p>
    <w:p w14:paraId="081E6836" w14:textId="59363668" w:rsidR="004B7EC6" w:rsidRPr="00581C3B" w:rsidRDefault="00C61321" w:rsidP="0090149F">
      <w:pPr>
        <w:pStyle w:val="ListParagraph"/>
        <w:spacing w:beforeLines="200" w:before="480" w:after="240" w:line="240" w:lineRule="auto"/>
        <w:ind w:left="0"/>
        <w:contextualSpacing w:val="0"/>
        <w:rPr>
          <w:rFonts w:cs="Arial"/>
          <w:b/>
          <w:sz w:val="28"/>
          <w:szCs w:val="28"/>
          <w:lang w:val="en-GB"/>
        </w:rPr>
      </w:pPr>
      <w:r w:rsidRPr="00581C3B">
        <w:rPr>
          <w:rFonts w:cs="Arial"/>
          <w:b/>
          <w:sz w:val="28"/>
          <w:szCs w:val="28"/>
          <w:lang w:val="en-GB"/>
        </w:rPr>
        <w:t xml:space="preserve">Chapter 7: </w:t>
      </w:r>
      <w:r w:rsidR="00C56A39" w:rsidRPr="00581C3B">
        <w:rPr>
          <w:rFonts w:cs="Arial"/>
          <w:b/>
          <w:sz w:val="28"/>
          <w:szCs w:val="28"/>
          <w:lang w:val="en-GB"/>
        </w:rPr>
        <w:t>Criteria for the Hong Kong court to assume jurisdiction</w:t>
      </w:r>
    </w:p>
    <w:p w14:paraId="2D42B492" w14:textId="51D84D12" w:rsidR="000C0426" w:rsidRPr="00581C3B" w:rsidRDefault="008B1153" w:rsidP="0090149F">
      <w:pPr>
        <w:pStyle w:val="ListParagraph"/>
        <w:spacing w:after="240" w:line="240" w:lineRule="auto"/>
        <w:ind w:left="0"/>
        <w:contextualSpacing w:val="0"/>
        <w:rPr>
          <w:rFonts w:cs="Arial"/>
          <w:b/>
          <w:i/>
          <w:sz w:val="24"/>
          <w:szCs w:val="24"/>
          <w:lang w:val="en-GB"/>
        </w:rPr>
      </w:pPr>
      <w:r w:rsidRPr="00581C3B">
        <w:rPr>
          <w:rFonts w:cs="Arial"/>
          <w:b/>
          <w:i/>
          <w:sz w:val="24"/>
          <w:szCs w:val="24"/>
          <w:lang w:val="en-GB"/>
        </w:rPr>
        <w:t>Jurisdictional rules</w:t>
      </w:r>
      <w:r w:rsidR="00AA7D3A" w:rsidRPr="00581C3B">
        <w:rPr>
          <w:rFonts w:cs="Arial"/>
          <w:b/>
          <w:i/>
          <w:sz w:val="24"/>
          <w:szCs w:val="24"/>
          <w:lang w:val="en-GB"/>
        </w:rPr>
        <w:t xml:space="preserve"> on cybercrime</w:t>
      </w:r>
      <w:r w:rsidR="006C7CAF" w:rsidRPr="00581C3B">
        <w:rPr>
          <w:rFonts w:eastAsia="Arial Unicode MS" w:cs="Arial"/>
          <w:kern w:val="2"/>
          <w:sz w:val="24"/>
          <w:szCs w:val="24"/>
          <w:vertAlign w:val="superscript"/>
        </w:rPr>
        <w:footnoteReference w:id="76"/>
      </w:r>
    </w:p>
    <w:p w14:paraId="17A802E6" w14:textId="60BFC225" w:rsidR="000C0426" w:rsidRPr="00581C3B" w:rsidRDefault="002D5A4C"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On the basis</w:t>
      </w:r>
      <w:r w:rsidR="008B1153" w:rsidRPr="00581C3B">
        <w:rPr>
          <w:rFonts w:cs="Arial"/>
          <w:sz w:val="24"/>
          <w:szCs w:val="24"/>
          <w:lang w:val="en-GB"/>
        </w:rPr>
        <w:t xml:space="preserve"> that it is</w:t>
      </w:r>
      <w:r w:rsidR="00BB3134" w:rsidRPr="00581C3B">
        <w:rPr>
          <w:rFonts w:cs="Arial"/>
          <w:sz w:val="24"/>
          <w:szCs w:val="24"/>
          <w:lang w:val="en-GB"/>
        </w:rPr>
        <w:t xml:space="preserve"> </w:t>
      </w:r>
      <w:r w:rsidR="008508A9" w:rsidRPr="00581C3B">
        <w:rPr>
          <w:rFonts w:cs="Arial"/>
          <w:sz w:val="24"/>
          <w:szCs w:val="24"/>
          <w:lang w:val="en-GB"/>
        </w:rPr>
        <w:t>apposite</w:t>
      </w:r>
      <w:r w:rsidR="00BB3134" w:rsidRPr="00581C3B">
        <w:rPr>
          <w:rFonts w:cs="Arial"/>
          <w:sz w:val="24"/>
          <w:szCs w:val="24"/>
          <w:lang w:val="en-GB"/>
        </w:rPr>
        <w:t xml:space="preserve"> for Hong Kong to follow the international norm that a jurisdiction should provide for any extra-territorial application of its law within reasonable bounds</w:t>
      </w:r>
      <w:r w:rsidRPr="00581C3B">
        <w:rPr>
          <w:rFonts w:cs="Arial"/>
          <w:sz w:val="24"/>
          <w:szCs w:val="24"/>
          <w:lang w:val="en-GB"/>
        </w:rPr>
        <w:t>,</w:t>
      </w:r>
      <w:r w:rsidR="00BB3134" w:rsidRPr="00581C3B">
        <w:rPr>
          <w:rFonts w:cs="Arial"/>
          <w:sz w:val="24"/>
          <w:szCs w:val="24"/>
          <w:lang w:val="en-GB"/>
        </w:rPr>
        <w:t xml:space="preserve"> </w:t>
      </w:r>
      <w:r w:rsidR="008B1153" w:rsidRPr="00581C3B">
        <w:rPr>
          <w:rFonts w:cs="Arial"/>
          <w:sz w:val="24"/>
          <w:szCs w:val="24"/>
          <w:lang w:val="en-GB"/>
        </w:rPr>
        <w:t xml:space="preserve">Recommendations 11 to 15 of the CP </w:t>
      </w:r>
      <w:r w:rsidR="00916AD4" w:rsidRPr="00581C3B">
        <w:rPr>
          <w:rFonts w:cs="Arial"/>
          <w:sz w:val="24"/>
          <w:szCs w:val="24"/>
          <w:lang w:val="en-GB"/>
        </w:rPr>
        <w:t>prescribed</w:t>
      </w:r>
      <w:r w:rsidR="005F37E5" w:rsidRPr="00581C3B">
        <w:rPr>
          <w:rFonts w:cs="Arial"/>
          <w:sz w:val="24"/>
          <w:szCs w:val="24"/>
          <w:lang w:val="en-GB"/>
        </w:rPr>
        <w:t xml:space="preserve"> </w:t>
      </w:r>
      <w:r w:rsidR="008B1153" w:rsidRPr="00581C3B">
        <w:rPr>
          <w:rFonts w:cs="Arial"/>
          <w:sz w:val="24"/>
          <w:szCs w:val="24"/>
          <w:lang w:val="en-GB"/>
        </w:rPr>
        <w:t xml:space="preserve">the jurisdictional rules for the five cyber-dependent crimes </w:t>
      </w:r>
      <w:r w:rsidR="005F37E5" w:rsidRPr="00581C3B">
        <w:rPr>
          <w:rFonts w:cs="Arial"/>
          <w:sz w:val="24"/>
          <w:szCs w:val="24"/>
          <w:lang w:val="en-GB"/>
        </w:rPr>
        <w:t>with reference to the following fact patterns:</w:t>
      </w:r>
    </w:p>
    <w:p w14:paraId="2383FA03" w14:textId="2DB14B3A" w:rsidR="005F37E5" w:rsidRPr="00581C3B" w:rsidRDefault="005F37E5" w:rsidP="00F133D1">
      <w:pPr>
        <w:pStyle w:val="ListParagraph"/>
        <w:numPr>
          <w:ilvl w:val="1"/>
          <w:numId w:val="18"/>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Any “essential element”</w:t>
      </w:r>
      <w:r w:rsidR="00916AD4" w:rsidRPr="00581C3B">
        <w:rPr>
          <w:rStyle w:val="FootnoteReference"/>
          <w:rFonts w:eastAsia="DengXian" w:cs="Arial"/>
          <w:sz w:val="24"/>
          <w:szCs w:val="24"/>
        </w:rPr>
        <w:footnoteReference w:id="77"/>
      </w:r>
      <w:r w:rsidRPr="00581C3B">
        <w:rPr>
          <w:rFonts w:cs="Arial"/>
          <w:sz w:val="24"/>
          <w:szCs w:val="24"/>
          <w:lang w:val="en-GB"/>
        </w:rPr>
        <w:t xml:space="preserve"> of the offence occurred in Hong Kong</w:t>
      </w:r>
      <w:r w:rsidR="00DC2D93" w:rsidRPr="00581C3B">
        <w:rPr>
          <w:rFonts w:cs="Arial"/>
          <w:sz w:val="24"/>
          <w:szCs w:val="24"/>
          <w:lang w:val="en-GB"/>
        </w:rPr>
        <w:t>,</w:t>
      </w:r>
      <w:r w:rsidRPr="00581C3B">
        <w:rPr>
          <w:rFonts w:cs="Arial"/>
          <w:sz w:val="24"/>
          <w:szCs w:val="24"/>
          <w:lang w:val="en-GB"/>
        </w:rPr>
        <w:t xml:space="preserve"> even if other “essential element(s)” occurred elsewhere;</w:t>
      </w:r>
    </w:p>
    <w:p w14:paraId="191B115F" w14:textId="63C31BC9" w:rsidR="005F37E5" w:rsidRPr="00581C3B" w:rsidRDefault="005F37E5" w:rsidP="00F133D1">
      <w:pPr>
        <w:pStyle w:val="ListParagraph"/>
        <w:numPr>
          <w:ilvl w:val="1"/>
          <w:numId w:val="18"/>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The perpetrator is a “Hong Kong person”;</w:t>
      </w:r>
    </w:p>
    <w:p w14:paraId="3E76198B" w14:textId="1F1E0775" w:rsidR="005F37E5" w:rsidRPr="00581C3B" w:rsidRDefault="005F37E5" w:rsidP="00F133D1">
      <w:pPr>
        <w:pStyle w:val="ListParagraph"/>
        <w:numPr>
          <w:ilvl w:val="1"/>
          <w:numId w:val="18"/>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The victim is a “Hong Kong person”;</w:t>
      </w:r>
    </w:p>
    <w:p w14:paraId="53BEAD88" w14:textId="5E10DC68" w:rsidR="005F37E5" w:rsidRPr="00581C3B" w:rsidRDefault="005F37E5" w:rsidP="00F133D1">
      <w:pPr>
        <w:pStyle w:val="ListParagraph"/>
        <w:numPr>
          <w:ilvl w:val="1"/>
          <w:numId w:val="18"/>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The target computer, program or data is in Hong Kong; and</w:t>
      </w:r>
    </w:p>
    <w:p w14:paraId="5514118C" w14:textId="145A8F23" w:rsidR="005F37E5" w:rsidRPr="00581C3B" w:rsidRDefault="005F37E5" w:rsidP="00F133D1">
      <w:pPr>
        <w:pStyle w:val="ListParagraph"/>
        <w:numPr>
          <w:ilvl w:val="1"/>
          <w:numId w:val="18"/>
        </w:numPr>
        <w:tabs>
          <w:tab w:val="clear" w:pos="1418"/>
        </w:tabs>
        <w:spacing w:after="240" w:line="240" w:lineRule="auto"/>
        <w:ind w:left="1440" w:hanging="720"/>
        <w:contextualSpacing w:val="0"/>
        <w:rPr>
          <w:rFonts w:cs="Arial"/>
          <w:sz w:val="24"/>
          <w:szCs w:val="24"/>
          <w:lang w:val="en-GB"/>
        </w:rPr>
      </w:pPr>
      <w:r w:rsidRPr="00581C3B">
        <w:rPr>
          <w:rFonts w:cs="Arial"/>
          <w:sz w:val="24"/>
          <w:szCs w:val="24"/>
          <w:lang w:val="en-GB"/>
        </w:rPr>
        <w:t>The perpetrator’s act has caused or may cause serious damage to Hong</w:t>
      </w:r>
      <w:r w:rsidR="0090149F">
        <w:rPr>
          <w:rFonts w:cs="Arial"/>
          <w:sz w:val="24"/>
          <w:szCs w:val="24"/>
        </w:rPr>
        <w:t xml:space="preserve"> </w:t>
      </w:r>
      <w:r w:rsidRPr="00581C3B">
        <w:rPr>
          <w:rFonts w:cs="Arial"/>
          <w:sz w:val="24"/>
          <w:szCs w:val="24"/>
          <w:lang w:val="en-GB"/>
        </w:rPr>
        <w:t>Kong, for example</w:t>
      </w:r>
      <w:r w:rsidR="003A3A2A" w:rsidRPr="00581C3B">
        <w:rPr>
          <w:rFonts w:cs="Arial"/>
          <w:sz w:val="24"/>
          <w:szCs w:val="24"/>
          <w:lang w:val="en-GB"/>
        </w:rPr>
        <w:t>,</w:t>
      </w:r>
      <w:r w:rsidRPr="00581C3B">
        <w:rPr>
          <w:rFonts w:cs="Arial"/>
          <w:sz w:val="24"/>
          <w:szCs w:val="24"/>
          <w:lang w:val="en-GB"/>
        </w:rPr>
        <w:t xml:space="preserve"> to its infrastructure or public authority, or has threatened or may threaten the security of Hong Kong.</w:t>
      </w:r>
    </w:p>
    <w:p w14:paraId="78E61D85" w14:textId="08895B34" w:rsidR="00D65270" w:rsidRPr="00581C3B" w:rsidRDefault="006C7CAF" w:rsidP="00D65270">
      <w:pPr>
        <w:tabs>
          <w:tab w:val="clear" w:pos="1418"/>
        </w:tabs>
        <w:spacing w:after="240"/>
        <w:rPr>
          <w:rFonts w:cs="Arial"/>
        </w:rPr>
      </w:pPr>
      <w:r w:rsidRPr="00581C3B">
        <w:rPr>
          <w:rFonts w:cs="Arial"/>
          <w:i/>
        </w:rPr>
        <w:t>Expanding f</w:t>
      </w:r>
      <w:r w:rsidR="00D65270" w:rsidRPr="00581C3B">
        <w:rPr>
          <w:rFonts w:cs="Arial"/>
          <w:i/>
        </w:rPr>
        <w:t>act pattern (c): The victim is a “Hong Kong person”</w:t>
      </w:r>
      <w:r w:rsidRPr="00581C3B">
        <w:rPr>
          <w:rFonts w:eastAsia="Arial Unicode MS" w:cs="Arial"/>
          <w:kern w:val="2"/>
          <w:vertAlign w:val="superscript"/>
        </w:rPr>
        <w:footnoteReference w:id="78"/>
      </w:r>
    </w:p>
    <w:p w14:paraId="2B90FE90" w14:textId="77777777" w:rsidR="00DB7B7C" w:rsidRPr="00581C3B" w:rsidRDefault="00C32246" w:rsidP="00FC7D0E">
      <w:pPr>
        <w:pStyle w:val="ListParagraph"/>
        <w:numPr>
          <w:ilvl w:val="0"/>
          <w:numId w:val="14"/>
        </w:numPr>
        <w:spacing w:after="240" w:line="240" w:lineRule="auto"/>
        <w:ind w:left="0" w:firstLine="0"/>
        <w:contextualSpacing w:val="0"/>
        <w:rPr>
          <w:rFonts w:eastAsia="DengXian" w:cs="Arial"/>
          <w:sz w:val="24"/>
          <w:szCs w:val="24"/>
        </w:rPr>
      </w:pPr>
      <w:r w:rsidRPr="00581C3B">
        <w:rPr>
          <w:rFonts w:eastAsia="DengXian" w:cs="Arial"/>
          <w:sz w:val="24"/>
          <w:szCs w:val="24"/>
        </w:rPr>
        <w:t>We received</w:t>
      </w:r>
      <w:r w:rsidRPr="00581C3B">
        <w:rPr>
          <w:rFonts w:eastAsia="DengXian" w:cs="Arial" w:hint="eastAsia"/>
          <w:sz w:val="24"/>
          <w:szCs w:val="24"/>
        </w:rPr>
        <w:t xml:space="preserve"> overwhelming support for the extra-</w:t>
      </w:r>
      <w:r w:rsidRPr="00581C3B">
        <w:rPr>
          <w:rFonts w:eastAsia="DengXian" w:cs="Arial"/>
          <w:sz w:val="24"/>
          <w:szCs w:val="24"/>
        </w:rPr>
        <w:t xml:space="preserve">territorial application of the proposed cybercrime legislation from the Respondents. </w:t>
      </w:r>
      <w:r w:rsidR="00CF5953" w:rsidRPr="00581C3B">
        <w:rPr>
          <w:rFonts w:eastAsia="DengXian" w:cs="Arial"/>
          <w:sz w:val="24"/>
          <w:szCs w:val="24"/>
        </w:rPr>
        <w:t xml:space="preserve"> As regards fact pattern (c) in the preceding paragraph, </w:t>
      </w:r>
      <w:r w:rsidR="00CF5953" w:rsidRPr="00581C3B">
        <w:rPr>
          <w:rFonts w:eastAsia="DengXian" w:cs="Arial" w:hint="eastAsia"/>
          <w:sz w:val="24"/>
          <w:szCs w:val="24"/>
        </w:rPr>
        <w:t xml:space="preserve">the </w:t>
      </w:r>
      <w:r w:rsidR="00DB7B7C" w:rsidRPr="00581C3B">
        <w:rPr>
          <w:rFonts w:eastAsia="DengXian" w:cs="Arial"/>
          <w:sz w:val="24"/>
          <w:szCs w:val="24"/>
        </w:rPr>
        <w:t>CP</w:t>
      </w:r>
      <w:r w:rsidR="00CF5953" w:rsidRPr="00581C3B">
        <w:rPr>
          <w:rFonts w:eastAsia="DengXian" w:cs="Arial" w:hint="eastAsia"/>
          <w:sz w:val="24"/>
          <w:szCs w:val="24"/>
        </w:rPr>
        <w:t xml:space="preserve"> recommended that</w:t>
      </w:r>
      <w:r w:rsidR="00CF5953" w:rsidRPr="00581C3B">
        <w:rPr>
          <w:rFonts w:eastAsia="DengXian" w:cs="Arial"/>
          <w:sz w:val="24"/>
          <w:szCs w:val="24"/>
        </w:rPr>
        <w:t xml:space="preserve"> the concept of a “Hong Kong person” should include a Hong Kong permanent resident, a person ordinarily residing in Hong Kong and a company carr</w:t>
      </w:r>
      <w:r w:rsidR="00DB7B7C" w:rsidRPr="00581C3B">
        <w:rPr>
          <w:rFonts w:eastAsia="DengXian" w:cs="Arial"/>
          <w:sz w:val="24"/>
          <w:szCs w:val="24"/>
        </w:rPr>
        <w:t>ying on business in Hong Kong.</w:t>
      </w:r>
    </w:p>
    <w:p w14:paraId="46EF93AA" w14:textId="28243D57" w:rsidR="00CF5953" w:rsidRPr="00581C3B" w:rsidRDefault="00CF5953" w:rsidP="00FC7D0E">
      <w:pPr>
        <w:pStyle w:val="ListParagraph"/>
        <w:numPr>
          <w:ilvl w:val="0"/>
          <w:numId w:val="14"/>
        </w:numPr>
        <w:spacing w:after="240" w:line="240" w:lineRule="auto"/>
        <w:ind w:left="0" w:firstLine="0"/>
        <w:contextualSpacing w:val="0"/>
        <w:rPr>
          <w:rFonts w:eastAsia="DengXian" w:cs="Arial"/>
          <w:sz w:val="24"/>
          <w:szCs w:val="24"/>
        </w:rPr>
      </w:pPr>
      <w:r w:rsidRPr="00581C3B">
        <w:rPr>
          <w:rFonts w:eastAsia="DengXian" w:cs="Arial"/>
          <w:sz w:val="24"/>
          <w:szCs w:val="24"/>
        </w:rPr>
        <w:t>In the light of a Respondent’s suggestion, we have reflected on the scope of protection that Hong Kong courts ought to accord to cybercrime victims.</w:t>
      </w:r>
      <w:r w:rsidR="0030217F" w:rsidRPr="00581C3B">
        <w:rPr>
          <w:rFonts w:eastAsia="DengXian" w:cs="Arial"/>
          <w:sz w:val="24"/>
          <w:szCs w:val="24"/>
        </w:rPr>
        <w:t xml:space="preserve">  We recognise that persons </w:t>
      </w:r>
      <w:r w:rsidR="002E3A86" w:rsidRPr="00581C3B">
        <w:rPr>
          <w:rFonts w:eastAsia="DengXian" w:cs="Arial"/>
          <w:sz w:val="24"/>
          <w:szCs w:val="24"/>
        </w:rPr>
        <w:t>who</w:t>
      </w:r>
      <w:r w:rsidR="0030217F" w:rsidRPr="00581C3B">
        <w:rPr>
          <w:rFonts w:eastAsia="DengXian" w:cs="Arial"/>
          <w:sz w:val="24"/>
          <w:szCs w:val="24"/>
        </w:rPr>
        <w:t xml:space="preserve"> work or stay in Hong Kong temporarily for one reason or another</w:t>
      </w:r>
      <w:r w:rsidR="00F24674" w:rsidRPr="00581C3B">
        <w:rPr>
          <w:rFonts w:eastAsia="DengXian" w:cs="Arial"/>
          <w:sz w:val="24"/>
          <w:szCs w:val="24"/>
        </w:rPr>
        <w:t xml:space="preserve"> </w:t>
      </w:r>
      <w:r w:rsidR="002E3A86" w:rsidRPr="00581C3B">
        <w:rPr>
          <w:rFonts w:eastAsia="DengXian" w:cs="Arial"/>
          <w:sz w:val="24"/>
          <w:szCs w:val="24"/>
        </w:rPr>
        <w:t>(eg</w:t>
      </w:r>
      <w:r w:rsidR="00F24674" w:rsidRPr="00581C3B">
        <w:rPr>
          <w:rFonts w:eastAsia="DengXian" w:cs="Arial"/>
          <w:sz w:val="24"/>
          <w:szCs w:val="24"/>
        </w:rPr>
        <w:t xml:space="preserve"> </w:t>
      </w:r>
      <w:r w:rsidR="0030217F" w:rsidRPr="00581C3B">
        <w:rPr>
          <w:rFonts w:eastAsia="DengXian" w:cs="Arial"/>
          <w:sz w:val="24"/>
          <w:szCs w:val="24"/>
        </w:rPr>
        <w:t>foreign domestic helpers, tourists and other visitors staying in Hong Kong on a transient basis</w:t>
      </w:r>
      <w:r w:rsidR="00C80840" w:rsidRPr="00581C3B">
        <w:rPr>
          <w:rFonts w:eastAsia="DengXian" w:cs="Arial"/>
          <w:sz w:val="24"/>
          <w:szCs w:val="24"/>
        </w:rPr>
        <w:t xml:space="preserve"> fall</w:t>
      </w:r>
      <w:r w:rsidR="002E3A86" w:rsidRPr="00581C3B">
        <w:rPr>
          <w:rFonts w:eastAsia="DengXian" w:cs="Arial"/>
          <w:sz w:val="24"/>
          <w:szCs w:val="24"/>
        </w:rPr>
        <w:t>ing</w:t>
      </w:r>
      <w:r w:rsidR="00C80840" w:rsidRPr="00581C3B">
        <w:rPr>
          <w:rFonts w:eastAsia="DengXian" w:cs="Arial"/>
          <w:sz w:val="24"/>
          <w:szCs w:val="24"/>
        </w:rPr>
        <w:t xml:space="preserve"> victim to the proposed cyber-dependent offences</w:t>
      </w:r>
      <w:r w:rsidR="0030217F" w:rsidRPr="00581C3B">
        <w:rPr>
          <w:rFonts w:eastAsia="DengXian" w:cs="Arial"/>
          <w:sz w:val="24"/>
          <w:szCs w:val="24"/>
        </w:rPr>
        <w:t xml:space="preserve"> while they are physically present in Hong Kong</w:t>
      </w:r>
      <w:r w:rsidR="002E3A86" w:rsidRPr="00581C3B">
        <w:rPr>
          <w:rFonts w:eastAsia="DengXian" w:cs="Arial"/>
          <w:sz w:val="24"/>
          <w:szCs w:val="24"/>
        </w:rPr>
        <w:t>)</w:t>
      </w:r>
      <w:r w:rsidR="0030217F" w:rsidRPr="00581C3B">
        <w:rPr>
          <w:rFonts w:eastAsia="DengXian" w:cs="Arial"/>
          <w:sz w:val="24"/>
          <w:szCs w:val="24"/>
        </w:rPr>
        <w:t xml:space="preserve"> should also be protected by Hong Kong laws.</w:t>
      </w:r>
    </w:p>
    <w:p w14:paraId="45B1AC65" w14:textId="39D517D5" w:rsidR="009B0B78" w:rsidRPr="00581C3B" w:rsidRDefault="00C80840" w:rsidP="009F2D6C">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Accordingly</w:t>
      </w:r>
      <w:r w:rsidR="009B0B78" w:rsidRPr="00581C3B">
        <w:rPr>
          <w:sz w:val="24"/>
          <w:szCs w:val="24"/>
        </w:rPr>
        <w:t>, we recommend</w:t>
      </w:r>
      <w:r w:rsidR="009B0B78" w:rsidRPr="00581C3B">
        <w:rPr>
          <w:rFonts w:hint="eastAsia"/>
          <w:sz w:val="24"/>
          <w:szCs w:val="24"/>
        </w:rPr>
        <w:t xml:space="preserve"> refin</w:t>
      </w:r>
      <w:r w:rsidR="009B0B78" w:rsidRPr="00581C3B">
        <w:rPr>
          <w:sz w:val="24"/>
          <w:szCs w:val="24"/>
        </w:rPr>
        <w:t>ing</w:t>
      </w:r>
      <w:r w:rsidR="009B0B78" w:rsidRPr="00581C3B">
        <w:rPr>
          <w:rFonts w:hint="eastAsia"/>
          <w:sz w:val="24"/>
          <w:szCs w:val="24"/>
        </w:rPr>
        <w:t xml:space="preserve"> fact pattern (c) as</w:t>
      </w:r>
      <w:r w:rsidR="009B0B78" w:rsidRPr="00581C3B">
        <w:rPr>
          <w:sz w:val="24"/>
          <w:szCs w:val="24"/>
        </w:rPr>
        <w:t xml:space="preserve"> follows:</w:t>
      </w:r>
    </w:p>
    <w:p w14:paraId="69358EFA" w14:textId="0DD6EE0E" w:rsidR="009B0B78" w:rsidRPr="00581C3B" w:rsidRDefault="009B0B78" w:rsidP="009B0B78">
      <w:pPr>
        <w:pStyle w:val="ListParagraph"/>
        <w:spacing w:after="240" w:line="240" w:lineRule="auto"/>
        <w:ind w:right="720"/>
        <w:contextualSpacing w:val="0"/>
        <w:rPr>
          <w:rFonts w:cs="Arial"/>
          <w:i/>
          <w:sz w:val="24"/>
          <w:szCs w:val="24"/>
          <w:lang w:val="en-GB"/>
        </w:rPr>
      </w:pPr>
      <w:r w:rsidRPr="00581C3B">
        <w:rPr>
          <w:i/>
          <w:sz w:val="24"/>
          <w:szCs w:val="24"/>
        </w:rPr>
        <w:t>“</w:t>
      </w:r>
      <w:r w:rsidRPr="00581C3B">
        <w:rPr>
          <w:rFonts w:eastAsia="DengXian" w:cs="Arial"/>
          <w:i/>
          <w:sz w:val="24"/>
          <w:szCs w:val="24"/>
        </w:rPr>
        <w:t xml:space="preserve">the victim is a Hong Kong permanent resident, a person ordinarily residing in Hong Kong, or </w:t>
      </w:r>
      <w:r w:rsidRPr="00581C3B">
        <w:rPr>
          <w:rFonts w:eastAsia="DengXian" w:cs="Arial"/>
          <w:i/>
          <w:sz w:val="24"/>
          <w:szCs w:val="24"/>
          <w:u w:val="single"/>
        </w:rPr>
        <w:t>was physically present in Hong Kong at the time the relevant offence was committed</w:t>
      </w:r>
      <w:r w:rsidRPr="00581C3B">
        <w:rPr>
          <w:rFonts w:eastAsia="DengXian" w:cs="Arial"/>
          <w:i/>
          <w:sz w:val="24"/>
          <w:szCs w:val="24"/>
        </w:rPr>
        <w:t>, or a company carrying on business in Hong Kong.”</w:t>
      </w:r>
    </w:p>
    <w:p w14:paraId="324DF778" w14:textId="683020D5" w:rsidR="00E33965" w:rsidRPr="00581C3B" w:rsidRDefault="00E33965" w:rsidP="00E33965">
      <w:pPr>
        <w:pStyle w:val="ListParagraph"/>
        <w:spacing w:after="240" w:line="240" w:lineRule="auto"/>
        <w:ind w:left="0"/>
        <w:contextualSpacing w:val="0"/>
        <w:rPr>
          <w:rFonts w:cs="Arial"/>
          <w:i/>
          <w:sz w:val="24"/>
          <w:szCs w:val="24"/>
          <w:lang w:val="en-GB"/>
        </w:rPr>
      </w:pPr>
      <w:r w:rsidRPr="00581C3B">
        <w:rPr>
          <w:rFonts w:eastAsia="DengXian" w:cs="Arial"/>
          <w:i/>
          <w:sz w:val="24"/>
          <w:szCs w:val="24"/>
        </w:rPr>
        <w:t>Jurisdiction over acts endangering national security</w:t>
      </w:r>
      <w:r w:rsidR="00C80840" w:rsidRPr="00581C3B">
        <w:rPr>
          <w:rFonts w:eastAsia="Arial Unicode MS" w:cs="Arial"/>
          <w:kern w:val="2"/>
          <w:sz w:val="24"/>
          <w:szCs w:val="24"/>
          <w:vertAlign w:val="superscript"/>
        </w:rPr>
        <w:footnoteReference w:id="79"/>
      </w:r>
    </w:p>
    <w:p w14:paraId="5C94919B" w14:textId="01FD72C5" w:rsidR="00596EE7" w:rsidRPr="00581C3B" w:rsidRDefault="00271CC4" w:rsidP="00596EE7">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As to</w:t>
      </w:r>
      <w:r w:rsidR="00303024" w:rsidRPr="00581C3B">
        <w:rPr>
          <w:rFonts w:cs="Arial"/>
          <w:sz w:val="24"/>
          <w:szCs w:val="24"/>
          <w:lang w:val="en-GB"/>
        </w:rPr>
        <w:t xml:space="preserve"> whether it is necessary to provide for the extra-territorial effect of the cyber-dependent offences over acts endangering national security, but not merely acts threatening the “</w:t>
      </w:r>
      <w:r w:rsidR="00303024" w:rsidRPr="00581C3B">
        <w:rPr>
          <w:rFonts w:cs="Arial"/>
          <w:i/>
          <w:sz w:val="24"/>
          <w:szCs w:val="24"/>
          <w:lang w:val="en-GB"/>
        </w:rPr>
        <w:t>security of Hong Kong</w:t>
      </w:r>
      <w:r w:rsidR="00303024" w:rsidRPr="00581C3B">
        <w:rPr>
          <w:rFonts w:cs="Arial"/>
          <w:sz w:val="24"/>
          <w:szCs w:val="24"/>
          <w:lang w:val="en-GB"/>
        </w:rPr>
        <w:t>”</w:t>
      </w:r>
      <w:r w:rsidRPr="00581C3B">
        <w:rPr>
          <w:rFonts w:cs="Arial"/>
          <w:sz w:val="24"/>
          <w:szCs w:val="24"/>
          <w:lang w:val="en-GB"/>
        </w:rPr>
        <w:t>, o</w:t>
      </w:r>
      <w:r w:rsidR="001D531A" w:rsidRPr="00581C3B">
        <w:rPr>
          <w:rFonts w:cs="Arial"/>
          <w:sz w:val="24"/>
          <w:szCs w:val="24"/>
          <w:lang w:val="en-GB"/>
        </w:rPr>
        <w:t>ur analysis is detailed at paragraphs 7.3</w:t>
      </w:r>
      <w:r w:rsidR="00463930" w:rsidRPr="00581C3B">
        <w:rPr>
          <w:rFonts w:cs="Arial"/>
          <w:sz w:val="24"/>
          <w:szCs w:val="24"/>
          <w:lang w:val="en-GB"/>
        </w:rPr>
        <w:t>3</w:t>
      </w:r>
      <w:r w:rsidR="001D531A" w:rsidRPr="00581C3B">
        <w:rPr>
          <w:rFonts w:cs="Arial"/>
          <w:sz w:val="24"/>
          <w:szCs w:val="24"/>
          <w:lang w:val="en-GB"/>
        </w:rPr>
        <w:t xml:space="preserve"> to 7.40 of the Report.</w:t>
      </w:r>
      <w:r w:rsidR="00303024" w:rsidRPr="00581C3B">
        <w:rPr>
          <w:rFonts w:cs="Arial"/>
          <w:sz w:val="24"/>
          <w:szCs w:val="24"/>
          <w:lang w:val="en-GB"/>
        </w:rPr>
        <w:t xml:space="preserve"> </w:t>
      </w:r>
      <w:r w:rsidR="001D531A" w:rsidRPr="00581C3B">
        <w:rPr>
          <w:rFonts w:cs="Arial"/>
          <w:sz w:val="24"/>
          <w:szCs w:val="24"/>
          <w:lang w:val="en-GB"/>
        </w:rPr>
        <w:t xml:space="preserve"> </w:t>
      </w:r>
      <w:r w:rsidR="0062453D" w:rsidRPr="00581C3B">
        <w:rPr>
          <w:rFonts w:cs="Arial"/>
          <w:sz w:val="24"/>
          <w:szCs w:val="24"/>
          <w:lang w:val="en-GB"/>
        </w:rPr>
        <w:t xml:space="preserve">In sum, </w:t>
      </w:r>
      <w:r w:rsidR="00463930" w:rsidRPr="00581C3B">
        <w:rPr>
          <w:rFonts w:cs="Arial"/>
          <w:sz w:val="24"/>
          <w:szCs w:val="24"/>
          <w:lang w:val="en-GB"/>
        </w:rPr>
        <w:t xml:space="preserve">this issue has been resolved by the BL 23 legislation, which clearly provides that a reference </w:t>
      </w:r>
      <w:r w:rsidR="0029654B" w:rsidRPr="00581C3B">
        <w:rPr>
          <w:rFonts w:cs="Arial"/>
          <w:sz w:val="24"/>
          <w:szCs w:val="24"/>
          <w:lang w:val="en-GB"/>
        </w:rPr>
        <w:t xml:space="preserve">in any other ordinance </w:t>
      </w:r>
      <w:r w:rsidR="00463930" w:rsidRPr="00581C3B">
        <w:rPr>
          <w:rFonts w:cs="Arial"/>
          <w:sz w:val="24"/>
          <w:szCs w:val="24"/>
          <w:lang w:val="en-GB"/>
        </w:rPr>
        <w:t>to the “</w:t>
      </w:r>
      <w:r w:rsidR="00463930" w:rsidRPr="00581C3B">
        <w:rPr>
          <w:rFonts w:cs="Arial"/>
          <w:i/>
          <w:sz w:val="24"/>
          <w:szCs w:val="24"/>
          <w:lang w:val="en-GB"/>
        </w:rPr>
        <w:t>security of the HKSAR</w:t>
      </w:r>
      <w:r w:rsidR="00463930" w:rsidRPr="00581C3B">
        <w:rPr>
          <w:rFonts w:cs="Arial"/>
          <w:sz w:val="24"/>
          <w:szCs w:val="24"/>
          <w:lang w:val="en-GB"/>
        </w:rPr>
        <w:t>” (</w:t>
      </w:r>
      <w:r w:rsidR="0029654B" w:rsidRPr="00581C3B">
        <w:rPr>
          <w:rFonts w:cs="Arial"/>
          <w:sz w:val="24"/>
          <w:szCs w:val="24"/>
          <w:lang w:val="en-GB"/>
        </w:rPr>
        <w:t>or</w:t>
      </w:r>
      <w:r w:rsidR="00463930" w:rsidRPr="00581C3B">
        <w:rPr>
          <w:rFonts w:cs="Arial"/>
          <w:sz w:val="24"/>
          <w:szCs w:val="24"/>
          <w:lang w:val="en-GB"/>
        </w:rPr>
        <w:t xml:space="preserve"> a phrase </w:t>
      </w:r>
      <w:r w:rsidR="0029654B" w:rsidRPr="00581C3B">
        <w:rPr>
          <w:rFonts w:cs="Arial"/>
          <w:sz w:val="24"/>
          <w:szCs w:val="24"/>
          <w:lang w:val="en-GB"/>
        </w:rPr>
        <w:t xml:space="preserve">which </w:t>
      </w:r>
      <w:r w:rsidR="00463930" w:rsidRPr="00581C3B">
        <w:rPr>
          <w:rFonts w:cs="Arial"/>
          <w:sz w:val="24"/>
          <w:szCs w:val="24"/>
          <w:lang w:val="en-GB"/>
        </w:rPr>
        <w:t>means the same)</w:t>
      </w:r>
      <w:r w:rsidR="009C7416" w:rsidRPr="00581C3B">
        <w:rPr>
          <w:rStyle w:val="FootnoteReference"/>
          <w:rFonts w:eastAsia="DengXian" w:cs="Arial"/>
          <w:sz w:val="24"/>
          <w:szCs w:val="24"/>
        </w:rPr>
        <w:footnoteReference w:id="80"/>
      </w:r>
      <w:r w:rsidR="00EA5893" w:rsidRPr="00581C3B">
        <w:rPr>
          <w:rFonts w:cs="Arial"/>
          <w:sz w:val="24"/>
          <w:szCs w:val="24"/>
          <w:lang w:val="en-GB"/>
        </w:rPr>
        <w:t xml:space="preserve"> </w:t>
      </w:r>
      <w:r w:rsidR="00463930" w:rsidRPr="00581C3B">
        <w:rPr>
          <w:rFonts w:cs="Arial"/>
          <w:sz w:val="24"/>
          <w:szCs w:val="24"/>
          <w:lang w:val="en-GB"/>
        </w:rPr>
        <w:t>is to be read as including “national security” as it is statutorily defined</w:t>
      </w:r>
      <w:r w:rsidR="00C26E02" w:rsidRPr="00581C3B">
        <w:rPr>
          <w:rFonts w:cs="Arial"/>
          <w:sz w:val="24"/>
          <w:szCs w:val="24"/>
          <w:lang w:val="en-GB"/>
        </w:rPr>
        <w:t>.</w:t>
      </w:r>
      <w:r w:rsidR="009C7416" w:rsidRPr="00581C3B">
        <w:rPr>
          <w:rStyle w:val="FootnoteReference"/>
          <w:rFonts w:eastAsia="DengXian" w:cs="Arial"/>
          <w:sz w:val="24"/>
          <w:szCs w:val="24"/>
        </w:rPr>
        <w:footnoteReference w:id="81"/>
      </w:r>
      <w:r w:rsidR="00463930" w:rsidRPr="00581C3B">
        <w:rPr>
          <w:rFonts w:cs="Arial"/>
          <w:sz w:val="24"/>
          <w:szCs w:val="24"/>
          <w:lang w:val="en-GB"/>
        </w:rPr>
        <w:t xml:space="preserve">  </w:t>
      </w:r>
      <w:r w:rsidR="00C26E02" w:rsidRPr="00581C3B">
        <w:rPr>
          <w:rFonts w:cs="Arial"/>
          <w:sz w:val="24"/>
          <w:szCs w:val="24"/>
          <w:lang w:val="en-GB"/>
        </w:rPr>
        <w:t xml:space="preserve">Besides, </w:t>
      </w:r>
      <w:r w:rsidR="0062453D" w:rsidRPr="00581C3B">
        <w:rPr>
          <w:rFonts w:cs="Arial"/>
          <w:sz w:val="24"/>
          <w:szCs w:val="24"/>
          <w:lang w:val="en-GB"/>
        </w:rPr>
        <w:t xml:space="preserve">when </w:t>
      </w:r>
      <w:r w:rsidR="0062453D" w:rsidRPr="00581C3B">
        <w:rPr>
          <w:sz w:val="24"/>
          <w:szCs w:val="24"/>
        </w:rPr>
        <w:t>a cybercrime case involves any offence under the NSL, it is abundantly clear that, as a general rule, Hong Kong courts may exercise jurisdiction over the case in accordance with Article 40 of the NSL.</w:t>
      </w:r>
      <w:r w:rsidR="00DA6771" w:rsidRPr="00581C3B">
        <w:rPr>
          <w:rStyle w:val="FootnoteReference"/>
          <w:rFonts w:eastAsia="DengXian" w:cs="Arial"/>
          <w:sz w:val="24"/>
          <w:szCs w:val="24"/>
        </w:rPr>
        <w:footnoteReference w:id="82"/>
      </w:r>
      <w:r w:rsidR="0062453D" w:rsidRPr="00581C3B">
        <w:rPr>
          <w:sz w:val="24"/>
          <w:szCs w:val="24"/>
        </w:rPr>
        <w:t xml:space="preserve">  </w:t>
      </w:r>
      <w:r w:rsidR="00C26E02" w:rsidRPr="00581C3B">
        <w:rPr>
          <w:sz w:val="24"/>
          <w:szCs w:val="24"/>
        </w:rPr>
        <w:t>Last but not least</w:t>
      </w:r>
      <w:r w:rsidR="0062453D" w:rsidRPr="00581C3B">
        <w:rPr>
          <w:sz w:val="24"/>
          <w:szCs w:val="24"/>
        </w:rPr>
        <w:t>,</w:t>
      </w:r>
      <w:r w:rsidR="00C070D1" w:rsidRPr="00581C3B">
        <w:rPr>
          <w:rFonts w:cs="Arial"/>
          <w:sz w:val="24"/>
          <w:szCs w:val="24"/>
          <w:lang w:val="en-GB"/>
        </w:rPr>
        <w:t xml:space="preserve"> </w:t>
      </w:r>
      <w:r w:rsidR="0062453D" w:rsidRPr="00581C3B">
        <w:rPr>
          <w:rFonts w:cs="Arial"/>
          <w:sz w:val="24"/>
          <w:szCs w:val="24"/>
          <w:lang w:val="en-GB"/>
        </w:rPr>
        <w:t>given</w:t>
      </w:r>
      <w:r w:rsidR="00F24674" w:rsidRPr="00581C3B">
        <w:rPr>
          <w:rFonts w:cs="Arial"/>
          <w:sz w:val="24"/>
          <w:szCs w:val="24"/>
          <w:lang w:val="en-GB"/>
        </w:rPr>
        <w:t xml:space="preserve"> that </w:t>
      </w:r>
      <w:r w:rsidR="00F24674" w:rsidRPr="00581C3B">
        <w:rPr>
          <w:rFonts w:eastAsia="DengXian" w:cs="Arial"/>
          <w:sz w:val="24"/>
          <w:szCs w:val="24"/>
        </w:rPr>
        <w:t>jurisdiction over cybercrime cases that endanger national security is not exclusively vested in Hong Kong courts</w:t>
      </w:r>
      <w:r w:rsidR="00F24674" w:rsidRPr="00581C3B">
        <w:rPr>
          <w:rFonts w:cs="Arial"/>
          <w:sz w:val="24"/>
          <w:szCs w:val="24"/>
          <w:lang w:val="en-GB"/>
        </w:rPr>
        <w:t xml:space="preserve"> by reason of</w:t>
      </w:r>
      <w:r w:rsidR="0062453D" w:rsidRPr="00581C3B">
        <w:rPr>
          <w:rFonts w:cs="Arial"/>
          <w:sz w:val="24"/>
          <w:szCs w:val="24"/>
          <w:lang w:val="en-GB"/>
        </w:rPr>
        <w:t xml:space="preserve"> Articles 55</w:t>
      </w:r>
      <w:r w:rsidR="00DA6771" w:rsidRPr="00581C3B">
        <w:rPr>
          <w:rStyle w:val="FootnoteReference"/>
          <w:rFonts w:eastAsia="DengXian" w:cs="Arial"/>
          <w:sz w:val="24"/>
          <w:szCs w:val="24"/>
        </w:rPr>
        <w:footnoteReference w:id="83"/>
      </w:r>
      <w:r w:rsidR="0062453D" w:rsidRPr="00581C3B">
        <w:rPr>
          <w:rFonts w:cs="Arial"/>
          <w:sz w:val="24"/>
          <w:szCs w:val="24"/>
          <w:lang w:val="en-GB"/>
        </w:rPr>
        <w:t xml:space="preserve"> and 56</w:t>
      </w:r>
      <w:r w:rsidR="001E001F" w:rsidRPr="00581C3B">
        <w:rPr>
          <w:rStyle w:val="FootnoteReference"/>
          <w:rFonts w:eastAsia="DengXian" w:cs="Arial"/>
          <w:sz w:val="24"/>
          <w:szCs w:val="24"/>
        </w:rPr>
        <w:footnoteReference w:id="84"/>
      </w:r>
      <w:r w:rsidR="0062453D" w:rsidRPr="00581C3B">
        <w:rPr>
          <w:rFonts w:cs="Arial"/>
          <w:sz w:val="24"/>
          <w:szCs w:val="24"/>
          <w:lang w:val="en-GB"/>
        </w:rPr>
        <w:t xml:space="preserve"> of the NSL, </w:t>
      </w:r>
      <w:r w:rsidR="00E33965" w:rsidRPr="00581C3B">
        <w:rPr>
          <w:rFonts w:eastAsia="DengXian" w:cs="Arial"/>
          <w:sz w:val="24"/>
          <w:szCs w:val="24"/>
        </w:rPr>
        <w:t>it would be inappropriate for the jurisdictional rules of the bespoke cybercrime legislation to prescribe that Hong Kong courts shall assume jurisdiction in such cases</w:t>
      </w:r>
      <w:r w:rsidR="008C12FB" w:rsidRPr="00581C3B">
        <w:rPr>
          <w:rFonts w:eastAsia="DengXian" w:cs="Arial"/>
          <w:sz w:val="24"/>
          <w:szCs w:val="24"/>
        </w:rPr>
        <w:t>.</w:t>
      </w:r>
    </w:p>
    <w:p w14:paraId="2B0A7C32" w14:textId="0A585384" w:rsidR="00E33965" w:rsidRPr="00581C3B" w:rsidRDefault="00E33965" w:rsidP="00E33965">
      <w:pPr>
        <w:pStyle w:val="ListParagraph"/>
        <w:spacing w:after="240" w:line="240" w:lineRule="auto"/>
        <w:ind w:left="0"/>
        <w:contextualSpacing w:val="0"/>
        <w:rPr>
          <w:rFonts w:cs="Arial"/>
          <w:sz w:val="24"/>
          <w:szCs w:val="24"/>
          <w:lang w:val="en-GB"/>
        </w:rPr>
      </w:pPr>
      <w:r w:rsidRPr="00581C3B">
        <w:rPr>
          <w:b/>
          <w:i/>
          <w:sz w:val="24"/>
          <w:szCs w:val="24"/>
        </w:rPr>
        <w:t>Evidentiary and procedural issues</w:t>
      </w:r>
      <w:r w:rsidR="00356735" w:rsidRPr="00581C3B">
        <w:rPr>
          <w:rFonts w:eastAsia="Arial Unicode MS" w:cs="Arial"/>
          <w:kern w:val="2"/>
          <w:sz w:val="24"/>
          <w:szCs w:val="24"/>
          <w:vertAlign w:val="superscript"/>
        </w:rPr>
        <w:footnoteReference w:id="85"/>
      </w:r>
    </w:p>
    <w:p w14:paraId="65C2713B" w14:textId="2F848AE2" w:rsidR="00E33965" w:rsidRPr="00581C3B" w:rsidRDefault="00E33965" w:rsidP="00596EE7">
      <w:pPr>
        <w:pStyle w:val="ListParagraph"/>
        <w:numPr>
          <w:ilvl w:val="0"/>
          <w:numId w:val="14"/>
        </w:numPr>
        <w:spacing w:after="240" w:line="240" w:lineRule="auto"/>
        <w:ind w:left="0" w:firstLine="0"/>
        <w:contextualSpacing w:val="0"/>
        <w:rPr>
          <w:rFonts w:cs="Arial"/>
          <w:sz w:val="24"/>
          <w:szCs w:val="24"/>
          <w:lang w:val="en-GB"/>
        </w:rPr>
      </w:pPr>
      <w:r w:rsidRPr="00581C3B">
        <w:rPr>
          <w:rFonts w:eastAsia="DengXian" w:cs="Arial"/>
          <w:sz w:val="24"/>
          <w:szCs w:val="24"/>
          <w:lang w:val="en-GB"/>
        </w:rPr>
        <w:t xml:space="preserve">Some Respondents </w:t>
      </w:r>
      <w:r w:rsidR="00706D07" w:rsidRPr="00581C3B">
        <w:rPr>
          <w:rFonts w:eastAsia="DengXian" w:cs="Arial"/>
          <w:sz w:val="24"/>
          <w:szCs w:val="24"/>
          <w:lang w:val="en-GB"/>
        </w:rPr>
        <w:t xml:space="preserve">raised </w:t>
      </w:r>
      <w:r w:rsidRPr="00581C3B">
        <w:rPr>
          <w:rFonts w:eastAsia="DengXian" w:cs="Arial"/>
          <w:sz w:val="24"/>
          <w:szCs w:val="24"/>
          <w:lang w:val="en-GB"/>
        </w:rPr>
        <w:t xml:space="preserve">evidentiary and procedural issues, including </w:t>
      </w:r>
      <w:r w:rsidR="00704AA7" w:rsidRPr="00581C3B">
        <w:rPr>
          <w:rFonts w:eastAsia="DengXian" w:cs="Arial"/>
          <w:sz w:val="24"/>
          <w:szCs w:val="24"/>
          <w:lang w:val="en-GB"/>
        </w:rPr>
        <w:t>the collection of</w:t>
      </w:r>
      <w:r w:rsidRPr="00581C3B">
        <w:rPr>
          <w:rFonts w:eastAsia="DengXian" w:cs="Arial"/>
          <w:sz w:val="24"/>
          <w:szCs w:val="24"/>
          <w:lang w:val="en-GB"/>
        </w:rPr>
        <w:t xml:space="preserve"> evidence from other jurisdictions, the preservation and admissibility of evidence obtained from the cloud-based environment and whether </w:t>
      </w:r>
      <w:r w:rsidR="00704AA7" w:rsidRPr="00581C3B">
        <w:rPr>
          <w:rFonts w:eastAsia="DengXian" w:cs="Arial"/>
          <w:sz w:val="24"/>
          <w:szCs w:val="24"/>
          <w:lang w:val="en-GB"/>
        </w:rPr>
        <w:t>any provisions under</w:t>
      </w:r>
      <w:r w:rsidRPr="00581C3B">
        <w:rPr>
          <w:rFonts w:eastAsia="DengXian" w:cs="Arial"/>
          <w:sz w:val="24"/>
          <w:szCs w:val="24"/>
          <w:lang w:val="en-GB"/>
        </w:rPr>
        <w:t xml:space="preserve"> the Mutual Legal Assistance in Criminal Matters Ordinance (Cap 525) (“</w:t>
      </w:r>
      <w:r w:rsidRPr="00581C3B">
        <w:rPr>
          <w:rFonts w:eastAsia="DengXian" w:cs="Arial"/>
          <w:b/>
          <w:sz w:val="24"/>
          <w:szCs w:val="24"/>
          <w:lang w:val="en-GB"/>
        </w:rPr>
        <w:t>MLACMO</w:t>
      </w:r>
      <w:r w:rsidRPr="00581C3B">
        <w:rPr>
          <w:rFonts w:eastAsia="DengXian" w:cs="Arial"/>
          <w:sz w:val="24"/>
          <w:szCs w:val="24"/>
          <w:lang w:val="en-GB"/>
        </w:rPr>
        <w:t>”)</w:t>
      </w:r>
      <w:r w:rsidR="00704AA7" w:rsidRPr="00581C3B">
        <w:rPr>
          <w:rFonts w:eastAsia="DengXian" w:cs="Arial"/>
          <w:sz w:val="24"/>
          <w:szCs w:val="24"/>
          <w:lang w:val="en-GB"/>
        </w:rPr>
        <w:t xml:space="preserve"> should be amended</w:t>
      </w:r>
      <w:r w:rsidRPr="00581C3B">
        <w:rPr>
          <w:rFonts w:eastAsia="DengXian" w:cs="Arial"/>
          <w:sz w:val="24"/>
          <w:szCs w:val="24"/>
          <w:lang w:val="en-GB"/>
        </w:rPr>
        <w:t xml:space="preserve">.  As Part Three of our study will address enforcement and procedural issues, which is a substantial topic, we shall bear in mind the issues helpfully identified by the Respondents. </w:t>
      </w:r>
      <w:r w:rsidRPr="00581C3B">
        <w:rPr>
          <w:rFonts w:eastAsia="DengXian" w:cs="Arial"/>
          <w:sz w:val="24"/>
          <w:szCs w:val="24"/>
        </w:rPr>
        <w:t xml:space="preserve"> </w:t>
      </w:r>
      <w:r w:rsidR="00704AA7" w:rsidRPr="00581C3B">
        <w:rPr>
          <w:rFonts w:eastAsia="DengXian" w:cs="Arial"/>
          <w:sz w:val="24"/>
          <w:szCs w:val="24"/>
        </w:rPr>
        <w:t>Given that</w:t>
      </w:r>
      <w:r w:rsidRPr="00581C3B">
        <w:rPr>
          <w:rFonts w:eastAsia="DengXian" w:cs="Arial"/>
          <w:sz w:val="24"/>
          <w:szCs w:val="24"/>
        </w:rPr>
        <w:t xml:space="preserve"> </w:t>
      </w:r>
      <w:r w:rsidRPr="00581C3B">
        <w:rPr>
          <w:rFonts w:cs="Arial"/>
          <w:sz w:val="24"/>
          <w:szCs w:val="24"/>
        </w:rPr>
        <w:t xml:space="preserve">the related amendments to the MLACMO will ultimately depend on the form in which the proposed cybercrime legislation is enacted and negotiation with other jurisdictions may be required to foster cross-jurisdictional cooperation, it would be </w:t>
      </w:r>
      <w:r w:rsidRPr="00581C3B">
        <w:rPr>
          <w:rFonts w:eastAsia="DengXian" w:cs="Arial"/>
          <w:sz w:val="24"/>
          <w:szCs w:val="24"/>
        </w:rPr>
        <w:t xml:space="preserve">premature for us to make any recommendations with regard to the consequential amendments to the MLACMO, which would </w:t>
      </w:r>
      <w:r w:rsidRPr="00581C3B">
        <w:rPr>
          <w:rFonts w:cs="Arial"/>
          <w:sz w:val="24"/>
          <w:szCs w:val="24"/>
        </w:rPr>
        <w:t>best be left to the Government</w:t>
      </w:r>
      <w:r w:rsidR="00704AA7" w:rsidRPr="00581C3B">
        <w:rPr>
          <w:rFonts w:cs="Arial"/>
          <w:sz w:val="24"/>
          <w:szCs w:val="24"/>
        </w:rPr>
        <w:t>’s</w:t>
      </w:r>
      <w:r w:rsidRPr="00581C3B">
        <w:rPr>
          <w:rFonts w:cs="Arial"/>
          <w:sz w:val="24"/>
          <w:szCs w:val="24"/>
        </w:rPr>
        <w:t xml:space="preserve"> deci</w:t>
      </w:r>
      <w:r w:rsidR="00704AA7" w:rsidRPr="00581C3B">
        <w:rPr>
          <w:rFonts w:cs="Arial"/>
          <w:sz w:val="24"/>
          <w:szCs w:val="24"/>
        </w:rPr>
        <w:t>sion</w:t>
      </w:r>
      <w:r w:rsidRPr="00581C3B">
        <w:rPr>
          <w:rFonts w:cs="Arial"/>
          <w:sz w:val="24"/>
          <w:szCs w:val="24"/>
        </w:rPr>
        <w:t xml:space="preserve"> in due course.</w:t>
      </w:r>
    </w:p>
    <w:p w14:paraId="6187F896" w14:textId="401F0DDA" w:rsidR="000C0426" w:rsidRPr="00581C3B" w:rsidRDefault="003E3810" w:rsidP="00596EE7">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For the</w:t>
      </w:r>
      <w:r w:rsidR="00EC5A67" w:rsidRPr="00581C3B">
        <w:rPr>
          <w:rFonts w:cs="Arial"/>
          <w:sz w:val="24"/>
          <w:szCs w:val="24"/>
          <w:lang w:val="en-GB"/>
        </w:rPr>
        <w:t xml:space="preserve"> above reasons</w:t>
      </w:r>
      <w:r w:rsidRPr="00581C3B">
        <w:rPr>
          <w:rFonts w:cs="Arial"/>
          <w:sz w:val="24"/>
          <w:szCs w:val="24"/>
          <w:lang w:val="en-GB"/>
        </w:rPr>
        <w:t xml:space="preserve">, we retain Recommendations 11 to 15 in the CP and expand fact pattern (c), resulting in the following </w:t>
      </w:r>
      <w:r w:rsidRPr="00581C3B">
        <w:rPr>
          <w:rFonts w:cs="Arial"/>
          <w:b/>
          <w:sz w:val="24"/>
          <w:szCs w:val="24"/>
          <w:lang w:val="en-GB"/>
        </w:rPr>
        <w:t xml:space="preserve">Final </w:t>
      </w:r>
      <w:r w:rsidR="00951426" w:rsidRPr="00581C3B">
        <w:rPr>
          <w:rFonts w:cs="Arial"/>
          <w:b/>
          <w:sz w:val="24"/>
          <w:szCs w:val="24"/>
          <w:lang w:val="en-GB"/>
        </w:rPr>
        <w:t> </w:t>
      </w:r>
      <w:r w:rsidRPr="00581C3B">
        <w:rPr>
          <w:rFonts w:cs="Arial"/>
          <w:b/>
          <w:sz w:val="24"/>
          <w:szCs w:val="24"/>
          <w:lang w:val="en-GB"/>
        </w:rPr>
        <w:t>Recommendations 11 to 15</w:t>
      </w:r>
      <w:r w:rsidRPr="00581C3B">
        <w:rPr>
          <w:rFonts w:cs="Arial"/>
          <w:sz w:val="24"/>
          <w:szCs w:val="24"/>
          <w:lang w:val="en-GB"/>
        </w:rPr>
        <w:t>:</w:t>
      </w:r>
    </w:p>
    <w:p w14:paraId="7D0FC995" w14:textId="0B7071D6" w:rsidR="008109B8" w:rsidRPr="00581C3B" w:rsidRDefault="003E3810" w:rsidP="00503B03">
      <w:pPr>
        <w:pStyle w:val="ListParagraph"/>
        <w:spacing w:beforeLines="100" w:before="240" w:afterLines="100" w:after="240" w:line="240" w:lineRule="auto"/>
        <w:ind w:left="1440" w:right="720" w:hanging="720"/>
        <w:contextualSpacing w:val="0"/>
        <w:rPr>
          <w:rFonts w:cs="Arial"/>
          <w:i/>
          <w:sz w:val="24"/>
          <w:szCs w:val="24"/>
          <w:lang w:val="en-GB"/>
        </w:rPr>
      </w:pPr>
      <w:r w:rsidRPr="00581C3B">
        <w:rPr>
          <w:rFonts w:cs="Arial"/>
          <w:i/>
          <w:sz w:val="24"/>
          <w:szCs w:val="24"/>
          <w:lang w:val="en-GB"/>
        </w:rPr>
        <w:t>“</w:t>
      </w:r>
      <w:r w:rsidR="008109B8" w:rsidRPr="00581C3B">
        <w:rPr>
          <w:rFonts w:cs="Arial"/>
          <w:i/>
          <w:sz w:val="24"/>
          <w:szCs w:val="24"/>
          <w:u w:val="single"/>
          <w:lang w:val="en-GB"/>
        </w:rPr>
        <w:t>Final Recommendation 11</w:t>
      </w:r>
    </w:p>
    <w:p w14:paraId="4233D0DD" w14:textId="7EDBD719" w:rsidR="003E3810" w:rsidRPr="00581C3B" w:rsidRDefault="008109B8" w:rsidP="00503B03">
      <w:pPr>
        <w:pStyle w:val="ListParagraph"/>
        <w:spacing w:beforeLines="100" w:before="240" w:afterLines="100" w:after="240" w:line="240" w:lineRule="auto"/>
        <w:ind w:right="720"/>
        <w:contextualSpacing w:val="0"/>
        <w:rPr>
          <w:rFonts w:cs="Arial"/>
          <w:i/>
          <w:sz w:val="24"/>
          <w:szCs w:val="24"/>
        </w:rPr>
      </w:pPr>
      <w:r w:rsidRPr="00581C3B">
        <w:rPr>
          <w:rFonts w:cs="Arial"/>
          <w:i/>
          <w:sz w:val="24"/>
          <w:szCs w:val="24"/>
        </w:rPr>
        <w:t>We recommend that, in respect of the proposed offence of illegal access to program or data, Hong Kong courts should have jurisdiction where:</w:t>
      </w:r>
    </w:p>
    <w:p w14:paraId="52D7D124" w14:textId="4AD84048" w:rsidR="008109B8" w:rsidRPr="00581C3B" w:rsidRDefault="008109B8" w:rsidP="00503B03">
      <w:pPr>
        <w:pStyle w:val="ListParagraph"/>
        <w:numPr>
          <w:ilvl w:val="0"/>
          <w:numId w:val="49"/>
        </w:numPr>
        <w:spacing w:beforeLines="100" w:before="240" w:afterLines="100" w:after="240" w:line="240" w:lineRule="auto"/>
        <w:ind w:left="1440" w:right="720" w:hanging="720"/>
        <w:contextualSpacing w:val="0"/>
        <w:rPr>
          <w:rFonts w:cs="Arial"/>
          <w:i/>
          <w:sz w:val="24"/>
          <w:szCs w:val="24"/>
          <w:lang w:val="en-GB"/>
        </w:rPr>
      </w:pPr>
      <w:r w:rsidRPr="00581C3B">
        <w:rPr>
          <w:rFonts w:cs="Arial"/>
          <w:i/>
          <w:sz w:val="24"/>
          <w:szCs w:val="24"/>
        </w:rPr>
        <w:t>any act or omission or other event (including any result of one or more acts or omissions) the proof of which is required for conviction of the offence occurred in Hong Kong, even if other such act(s), omission(s) or event(s) occurred elsewhere;</w:t>
      </w:r>
    </w:p>
    <w:p w14:paraId="6526DD40" w14:textId="01ECF848" w:rsidR="008109B8" w:rsidRPr="00581C3B" w:rsidRDefault="008109B8" w:rsidP="00503B03">
      <w:pPr>
        <w:pStyle w:val="ListParagraph"/>
        <w:numPr>
          <w:ilvl w:val="0"/>
          <w:numId w:val="49"/>
        </w:numPr>
        <w:spacing w:beforeLines="100" w:before="240" w:afterLines="100" w:after="240" w:line="240" w:lineRule="auto"/>
        <w:ind w:left="1440" w:right="720" w:hanging="720"/>
        <w:contextualSpacing w:val="0"/>
        <w:rPr>
          <w:rFonts w:cs="Arial"/>
          <w:i/>
          <w:sz w:val="24"/>
          <w:szCs w:val="24"/>
          <w:lang w:val="en-GB"/>
        </w:rPr>
      </w:pPr>
      <w:r w:rsidRPr="00581C3B">
        <w:rPr>
          <w:rFonts w:cs="Arial"/>
          <w:i/>
          <w:sz w:val="24"/>
          <w:szCs w:val="24"/>
        </w:rPr>
        <w:t>the victim (the target computer’s owner, the data’s owner, or both) is a Hong Kong permanent resident, a person ordinarily residing in Hong Kong, or was physically present in Hong Kong at the time when the offence was committed, or a company carrying on business in Hong Kong;</w:t>
      </w:r>
    </w:p>
    <w:p w14:paraId="7AFD861E" w14:textId="741B8D9E" w:rsidR="008109B8" w:rsidRPr="00581C3B" w:rsidRDefault="008109B8" w:rsidP="00503B03">
      <w:pPr>
        <w:pStyle w:val="ListParagraph"/>
        <w:numPr>
          <w:ilvl w:val="0"/>
          <w:numId w:val="49"/>
        </w:numPr>
        <w:spacing w:beforeLines="100" w:before="240" w:afterLines="100" w:after="240" w:line="240" w:lineRule="auto"/>
        <w:ind w:left="1440" w:right="720" w:hanging="720"/>
        <w:contextualSpacing w:val="0"/>
        <w:rPr>
          <w:rFonts w:cs="Arial"/>
          <w:i/>
          <w:sz w:val="24"/>
          <w:szCs w:val="24"/>
          <w:lang w:val="en-GB"/>
        </w:rPr>
      </w:pPr>
      <w:r w:rsidRPr="00581C3B">
        <w:rPr>
          <w:rFonts w:cs="Arial"/>
          <w:i/>
          <w:sz w:val="24"/>
          <w:szCs w:val="24"/>
        </w:rPr>
        <w:t>the target computer, program or data is in Hong Kong; or</w:t>
      </w:r>
    </w:p>
    <w:p w14:paraId="6014D9DC" w14:textId="0A54A529" w:rsidR="008109B8" w:rsidRPr="00581C3B" w:rsidRDefault="008109B8" w:rsidP="00503B03">
      <w:pPr>
        <w:pStyle w:val="ListParagraph"/>
        <w:numPr>
          <w:ilvl w:val="0"/>
          <w:numId w:val="49"/>
        </w:numPr>
        <w:spacing w:beforeLines="100" w:before="240" w:afterLines="100" w:after="240" w:line="240" w:lineRule="auto"/>
        <w:ind w:left="1440" w:right="720" w:hanging="720"/>
        <w:contextualSpacing w:val="0"/>
        <w:rPr>
          <w:rFonts w:cs="Arial"/>
          <w:i/>
          <w:sz w:val="24"/>
          <w:szCs w:val="24"/>
          <w:lang w:val="en-GB"/>
        </w:rPr>
      </w:pPr>
      <w:r w:rsidRPr="00581C3B">
        <w:rPr>
          <w:rFonts w:cs="Arial"/>
          <w:i/>
          <w:sz w:val="24"/>
          <w:szCs w:val="24"/>
        </w:rPr>
        <w:t>the perpetrator’s act has caused or may cause serious damage to Hong Kong, for example, to its infrastructure or public authority, or has threatened or may threaten the security of Hong Kong,</w:t>
      </w:r>
    </w:p>
    <w:p w14:paraId="6C50D728" w14:textId="73A57768" w:rsidR="008109B8" w:rsidRPr="00581C3B" w:rsidRDefault="008109B8" w:rsidP="00503B03">
      <w:pPr>
        <w:spacing w:beforeLines="100" w:before="240" w:afterLines="100" w:after="240"/>
        <w:ind w:left="720" w:right="720"/>
        <w:rPr>
          <w:rFonts w:cs="Arial"/>
          <w:i/>
        </w:rPr>
      </w:pPr>
      <w:r w:rsidRPr="00581C3B">
        <w:rPr>
          <w:rFonts w:cs="Arial"/>
          <w:i/>
        </w:rPr>
        <w:t>subject to a requirement that, in respect of a perpetrator charged with the summary offence on the basis of his or her act done outside Hong Kong, such act, either alone or together with other such act(s), omission(s) or event(s) the proof of which is required for conviction of the Hong Kong offence, must constitute a crime in the jurisdiction where it was done.</w:t>
      </w:r>
    </w:p>
    <w:p w14:paraId="2DE2D029" w14:textId="5D3833D3" w:rsidR="008109B8" w:rsidRPr="00581C3B" w:rsidRDefault="008109B8" w:rsidP="00503B03">
      <w:pPr>
        <w:spacing w:beforeLines="100" w:before="240" w:afterLines="100" w:after="240"/>
        <w:ind w:left="1440" w:right="720" w:hanging="720"/>
        <w:rPr>
          <w:rFonts w:cs="Arial"/>
          <w:i/>
          <w:u w:val="single"/>
        </w:rPr>
      </w:pPr>
      <w:r w:rsidRPr="00581C3B">
        <w:rPr>
          <w:rFonts w:cs="Arial"/>
          <w:i/>
          <w:u w:val="single"/>
        </w:rPr>
        <w:t>Final Recommendation 12</w:t>
      </w:r>
    </w:p>
    <w:p w14:paraId="502908DB" w14:textId="63B75BA5" w:rsidR="008109B8" w:rsidRPr="00581C3B" w:rsidRDefault="008109B8" w:rsidP="00503B03">
      <w:pPr>
        <w:spacing w:beforeLines="100" w:before="240" w:afterLines="100" w:after="240"/>
        <w:ind w:left="720" w:right="720"/>
        <w:rPr>
          <w:rFonts w:cs="Arial"/>
          <w:i/>
        </w:rPr>
      </w:pPr>
      <w:r w:rsidRPr="00581C3B">
        <w:rPr>
          <w:rFonts w:cs="Arial"/>
          <w:i/>
        </w:rPr>
        <w:t>We recommend that, in respect of the proposed offence of illegal interception of computer data, Hong Kong courts should have jurisdiction where:</w:t>
      </w:r>
    </w:p>
    <w:p w14:paraId="0C43A5EE" w14:textId="460A4BB7" w:rsidR="008109B8" w:rsidRPr="00581C3B" w:rsidRDefault="008109B8" w:rsidP="00AC3A68">
      <w:pPr>
        <w:pStyle w:val="ListParagraph"/>
        <w:keepNext/>
        <w:widowControl/>
        <w:numPr>
          <w:ilvl w:val="0"/>
          <w:numId w:val="50"/>
        </w:numPr>
        <w:spacing w:beforeLines="100" w:before="240" w:afterLines="100" w:after="240"/>
        <w:ind w:left="1440" w:right="720" w:hanging="720"/>
        <w:contextualSpacing w:val="0"/>
        <w:rPr>
          <w:rFonts w:cs="Arial"/>
          <w:i/>
          <w:sz w:val="24"/>
          <w:szCs w:val="24"/>
        </w:rPr>
      </w:pPr>
      <w:r w:rsidRPr="00581C3B">
        <w:rPr>
          <w:rFonts w:cs="Arial"/>
          <w:i/>
          <w:sz w:val="24"/>
          <w:szCs w:val="24"/>
        </w:rPr>
        <w:t xml:space="preserve">any act or omission or other event (including any result of one or more acts or omissions) the proof of which is required for conviction </w:t>
      </w:r>
      <w:r w:rsidR="00A6071F">
        <w:rPr>
          <w:rFonts w:cs="Arial"/>
          <w:i/>
          <w:sz w:val="24"/>
          <w:szCs w:val="24"/>
        </w:rPr>
        <w:t>of the offence occurred in Hong </w:t>
      </w:r>
      <w:r w:rsidRPr="00581C3B">
        <w:rPr>
          <w:rFonts w:cs="Arial"/>
          <w:i/>
          <w:sz w:val="24"/>
          <w:szCs w:val="24"/>
        </w:rPr>
        <w:t>Kong, even if other such act(s), omission(s) or event(s) occurred elsewhere;</w:t>
      </w:r>
    </w:p>
    <w:p w14:paraId="4315D389" w14:textId="10A7D336" w:rsidR="008109B8" w:rsidRPr="00581C3B" w:rsidRDefault="008109B8" w:rsidP="00503B03">
      <w:pPr>
        <w:pStyle w:val="ListParagraph"/>
        <w:numPr>
          <w:ilvl w:val="0"/>
          <w:numId w:val="50"/>
        </w:numPr>
        <w:spacing w:beforeLines="100" w:before="240" w:afterLines="100" w:after="240"/>
        <w:ind w:left="1440" w:right="720" w:hanging="720"/>
        <w:contextualSpacing w:val="0"/>
        <w:rPr>
          <w:rFonts w:cs="Arial"/>
          <w:i/>
          <w:sz w:val="24"/>
          <w:szCs w:val="24"/>
        </w:rPr>
      </w:pPr>
      <w:r w:rsidRPr="00581C3B">
        <w:rPr>
          <w:rFonts w:cs="Arial"/>
          <w:i/>
          <w:sz w:val="24"/>
          <w:szCs w:val="24"/>
        </w:rPr>
        <w:t>the victim is a Hong Kong permanent resident, a person ordinarily residing in Hong Kong, or was physically present in Hong Kong at the time when the offence was committed, or a company carrying on business in Hong Kong;</w:t>
      </w:r>
    </w:p>
    <w:p w14:paraId="115E74E7" w14:textId="263CF98D" w:rsidR="008109B8" w:rsidRPr="00581C3B" w:rsidRDefault="008109B8" w:rsidP="00503B03">
      <w:pPr>
        <w:pStyle w:val="ListParagraph"/>
        <w:numPr>
          <w:ilvl w:val="0"/>
          <w:numId w:val="50"/>
        </w:numPr>
        <w:spacing w:beforeLines="100" w:before="240" w:afterLines="100" w:after="240"/>
        <w:ind w:left="1440" w:right="720" w:hanging="720"/>
        <w:contextualSpacing w:val="0"/>
        <w:rPr>
          <w:rFonts w:cs="Arial"/>
          <w:i/>
          <w:sz w:val="24"/>
          <w:szCs w:val="24"/>
        </w:rPr>
      </w:pPr>
      <w:r w:rsidRPr="00581C3B">
        <w:rPr>
          <w:rFonts w:cs="Arial"/>
          <w:i/>
          <w:sz w:val="24"/>
          <w:szCs w:val="24"/>
        </w:rPr>
        <w:t>the target computer, program or data is in Hong Kong; or</w:t>
      </w:r>
    </w:p>
    <w:p w14:paraId="0C3E56BD" w14:textId="0A482E96" w:rsidR="008109B8" w:rsidRPr="00581C3B" w:rsidRDefault="008109B8" w:rsidP="00503B03">
      <w:pPr>
        <w:pStyle w:val="ListParagraph"/>
        <w:numPr>
          <w:ilvl w:val="0"/>
          <w:numId w:val="50"/>
        </w:numPr>
        <w:spacing w:beforeLines="100" w:before="240" w:afterLines="100" w:after="240"/>
        <w:ind w:left="1440" w:right="720" w:hanging="720"/>
        <w:contextualSpacing w:val="0"/>
        <w:rPr>
          <w:rFonts w:cs="Arial"/>
          <w:i/>
          <w:sz w:val="24"/>
          <w:szCs w:val="24"/>
        </w:rPr>
      </w:pPr>
      <w:r w:rsidRPr="00581C3B">
        <w:rPr>
          <w:rFonts w:cs="Arial"/>
          <w:i/>
          <w:sz w:val="24"/>
          <w:szCs w:val="24"/>
        </w:rPr>
        <w:t>the perpetrator’s act has caused or may cause serious damage to Hong Kong, for example, to its infrastructure or public authority, or has threatened or may threaten the security of Hong Kong.</w:t>
      </w:r>
    </w:p>
    <w:p w14:paraId="0E2FEEE9" w14:textId="35CB9739" w:rsidR="008109B8" w:rsidRPr="00581C3B" w:rsidRDefault="008109B8" w:rsidP="00503B03">
      <w:pPr>
        <w:spacing w:beforeLines="100" w:before="240" w:afterLines="100" w:after="240"/>
        <w:ind w:left="1440" w:right="720" w:hanging="720"/>
        <w:rPr>
          <w:rFonts w:cs="Arial"/>
          <w:i/>
          <w:u w:val="single"/>
        </w:rPr>
      </w:pPr>
      <w:r w:rsidRPr="00581C3B">
        <w:rPr>
          <w:rFonts w:cs="Arial"/>
          <w:i/>
          <w:u w:val="single"/>
        </w:rPr>
        <w:t>Final Recommendation 13</w:t>
      </w:r>
    </w:p>
    <w:p w14:paraId="5E754564" w14:textId="5C65AAD8" w:rsidR="008109B8" w:rsidRPr="00581C3B" w:rsidRDefault="005C5C60" w:rsidP="00503B03">
      <w:pPr>
        <w:spacing w:beforeLines="100" w:before="240" w:afterLines="100" w:after="240"/>
        <w:ind w:left="720" w:right="720"/>
        <w:rPr>
          <w:rFonts w:cs="Arial"/>
          <w:i/>
        </w:rPr>
      </w:pPr>
      <w:r w:rsidRPr="00581C3B">
        <w:rPr>
          <w:rFonts w:cs="Arial"/>
          <w:i/>
        </w:rPr>
        <w:t>We recommend that, in respect of the proposed offence (including its basic and aggravated forms) of illegal interference with computer data, Hong Kong courts should have jurisdiction where:</w:t>
      </w:r>
    </w:p>
    <w:p w14:paraId="435811C3" w14:textId="270F55BA" w:rsidR="005C5C60" w:rsidRPr="00581C3B" w:rsidRDefault="005C5C60" w:rsidP="00503B03">
      <w:pPr>
        <w:pStyle w:val="ListParagraph"/>
        <w:numPr>
          <w:ilvl w:val="0"/>
          <w:numId w:val="51"/>
        </w:numPr>
        <w:spacing w:beforeLines="100" w:before="240" w:afterLines="100" w:after="240"/>
        <w:ind w:left="1440" w:right="720" w:hanging="720"/>
        <w:contextualSpacing w:val="0"/>
        <w:rPr>
          <w:rFonts w:cs="Arial"/>
          <w:i/>
          <w:sz w:val="24"/>
          <w:szCs w:val="24"/>
        </w:rPr>
      </w:pPr>
      <w:r w:rsidRPr="00581C3B">
        <w:rPr>
          <w:rFonts w:cs="Arial"/>
          <w:i/>
          <w:sz w:val="24"/>
          <w:szCs w:val="24"/>
        </w:rPr>
        <w:t>any act or omission or other event (including any result of one or more acts or omissions) the proof of which is required for conviction of the offence occurred in Hong Kong, even if other such act(s), omission(s) or event(s) occurred elsewhere;</w:t>
      </w:r>
    </w:p>
    <w:p w14:paraId="3B4759A4" w14:textId="5DDF4211" w:rsidR="005C5C60" w:rsidRPr="00581C3B" w:rsidRDefault="005C5C60" w:rsidP="00503B03">
      <w:pPr>
        <w:pStyle w:val="ListParagraph"/>
        <w:numPr>
          <w:ilvl w:val="0"/>
          <w:numId w:val="51"/>
        </w:numPr>
        <w:spacing w:beforeLines="100" w:before="240" w:afterLines="100" w:after="240"/>
        <w:ind w:left="1440" w:right="720" w:hanging="720"/>
        <w:contextualSpacing w:val="0"/>
        <w:rPr>
          <w:rFonts w:cs="Arial"/>
          <w:i/>
          <w:sz w:val="24"/>
          <w:szCs w:val="24"/>
        </w:rPr>
      </w:pPr>
      <w:r w:rsidRPr="00581C3B">
        <w:rPr>
          <w:rFonts w:cs="Arial"/>
          <w:i/>
          <w:sz w:val="24"/>
          <w:szCs w:val="24"/>
        </w:rPr>
        <w:t>the victim is a Hong Kong permanent resident, a</w:t>
      </w:r>
      <w:r w:rsidR="00A6071F">
        <w:rPr>
          <w:rFonts w:cs="Arial"/>
          <w:i/>
          <w:sz w:val="24"/>
          <w:szCs w:val="24"/>
        </w:rPr>
        <w:t xml:space="preserve"> </w:t>
      </w:r>
      <w:r w:rsidRPr="00581C3B">
        <w:rPr>
          <w:rFonts w:cs="Arial"/>
          <w:i/>
          <w:sz w:val="24"/>
          <w:szCs w:val="24"/>
        </w:rPr>
        <w:t>person ordinarily residing in Hong Kong, or was physically present in Hong Kong at the time when the offence was committed, or a company carrying on business in Hong Kong;</w:t>
      </w:r>
    </w:p>
    <w:p w14:paraId="534D066F" w14:textId="3F06B404" w:rsidR="005C5C60" w:rsidRPr="00581C3B" w:rsidRDefault="005C5C60" w:rsidP="00503B03">
      <w:pPr>
        <w:pStyle w:val="ListParagraph"/>
        <w:numPr>
          <w:ilvl w:val="0"/>
          <w:numId w:val="51"/>
        </w:numPr>
        <w:spacing w:beforeLines="100" w:before="240" w:afterLines="100" w:after="240"/>
        <w:ind w:left="1440" w:right="720" w:hanging="720"/>
        <w:contextualSpacing w:val="0"/>
        <w:rPr>
          <w:rFonts w:cs="Arial"/>
          <w:i/>
          <w:sz w:val="24"/>
          <w:szCs w:val="24"/>
        </w:rPr>
      </w:pPr>
      <w:r w:rsidRPr="00581C3B">
        <w:rPr>
          <w:rFonts w:cs="Arial"/>
          <w:i/>
          <w:sz w:val="24"/>
          <w:szCs w:val="24"/>
        </w:rPr>
        <w:t>the target program or data is in Hong Kong; or</w:t>
      </w:r>
    </w:p>
    <w:p w14:paraId="7F34E1A1" w14:textId="59ED06C3" w:rsidR="005C5C60" w:rsidRPr="00581C3B" w:rsidRDefault="005C5C60" w:rsidP="00503B03">
      <w:pPr>
        <w:pStyle w:val="ListParagraph"/>
        <w:numPr>
          <w:ilvl w:val="0"/>
          <w:numId w:val="51"/>
        </w:numPr>
        <w:spacing w:beforeLines="100" w:before="240" w:afterLines="100" w:after="240"/>
        <w:ind w:left="1440" w:right="720" w:hanging="720"/>
        <w:contextualSpacing w:val="0"/>
        <w:rPr>
          <w:rFonts w:cs="Arial"/>
          <w:i/>
          <w:sz w:val="24"/>
          <w:szCs w:val="24"/>
        </w:rPr>
      </w:pPr>
      <w:r w:rsidRPr="00581C3B">
        <w:rPr>
          <w:rFonts w:cs="Arial"/>
          <w:i/>
          <w:sz w:val="24"/>
          <w:szCs w:val="24"/>
        </w:rPr>
        <w:t>the perpetrator’s act has caused or may cause serious damage to Hong Kong, for example, to its infrastructure or public authority, or has threatened or may threaten the security of Hong Kong.</w:t>
      </w:r>
    </w:p>
    <w:p w14:paraId="18C1126F" w14:textId="0997AC57" w:rsidR="005C5C60" w:rsidRPr="00581C3B" w:rsidRDefault="005C5C60" w:rsidP="00503B03">
      <w:pPr>
        <w:spacing w:beforeLines="100" w:before="240" w:afterLines="100" w:after="240"/>
        <w:ind w:left="1440" w:right="720" w:hanging="720"/>
        <w:rPr>
          <w:rFonts w:cs="Arial"/>
          <w:i/>
          <w:u w:val="single"/>
        </w:rPr>
      </w:pPr>
      <w:r w:rsidRPr="00581C3B">
        <w:rPr>
          <w:rFonts w:cs="Arial"/>
          <w:i/>
          <w:u w:val="single"/>
        </w:rPr>
        <w:t>Final Recommendation 14</w:t>
      </w:r>
    </w:p>
    <w:p w14:paraId="75295EF2" w14:textId="03CB484E" w:rsidR="005C5C60" w:rsidRPr="00581C3B" w:rsidRDefault="005C5C60" w:rsidP="00503B03">
      <w:pPr>
        <w:spacing w:beforeLines="100" w:before="240" w:afterLines="100" w:after="240"/>
        <w:ind w:left="720" w:right="720"/>
        <w:rPr>
          <w:rFonts w:cs="Arial"/>
          <w:i/>
        </w:rPr>
      </w:pPr>
      <w:r w:rsidRPr="00581C3B">
        <w:rPr>
          <w:rFonts w:cs="Arial"/>
          <w:i/>
        </w:rPr>
        <w:t>We recommend that, in respect of the proposed offence (including its basic and aggravated forms) of illegal interference with computer system, Hong Kong courts should have jurisdiction where:</w:t>
      </w:r>
    </w:p>
    <w:p w14:paraId="28A18FC9" w14:textId="22D8994A" w:rsidR="005C5C60" w:rsidRPr="00581C3B" w:rsidRDefault="005C5C60" w:rsidP="00503B03">
      <w:pPr>
        <w:pStyle w:val="ListParagraph"/>
        <w:numPr>
          <w:ilvl w:val="0"/>
          <w:numId w:val="52"/>
        </w:numPr>
        <w:spacing w:beforeLines="100" w:before="240" w:afterLines="100" w:after="240"/>
        <w:ind w:left="1440" w:right="720" w:hanging="720"/>
        <w:contextualSpacing w:val="0"/>
        <w:rPr>
          <w:rFonts w:cs="Arial"/>
          <w:i/>
          <w:sz w:val="24"/>
          <w:szCs w:val="24"/>
        </w:rPr>
      </w:pPr>
      <w:r w:rsidRPr="00581C3B">
        <w:rPr>
          <w:rFonts w:cs="Arial"/>
          <w:i/>
          <w:sz w:val="24"/>
          <w:szCs w:val="24"/>
        </w:rPr>
        <w:t>any act or omission or other event (including any result of one or more acts or omissions) the proof of which is required for conviction of the offence occurred in Hong Kong, even if other such act(s), omission(s) or event(s) occurred elsewhere;</w:t>
      </w:r>
    </w:p>
    <w:p w14:paraId="0B372405" w14:textId="56F3E9C9" w:rsidR="005C5C60" w:rsidRPr="00581C3B" w:rsidRDefault="005C5C60" w:rsidP="00503B03">
      <w:pPr>
        <w:pStyle w:val="ListParagraph"/>
        <w:numPr>
          <w:ilvl w:val="0"/>
          <w:numId w:val="52"/>
        </w:numPr>
        <w:spacing w:beforeLines="100" w:before="240" w:afterLines="100" w:after="240"/>
        <w:ind w:left="1440" w:right="720" w:hanging="720"/>
        <w:contextualSpacing w:val="0"/>
        <w:rPr>
          <w:rFonts w:cs="Arial"/>
          <w:i/>
          <w:sz w:val="24"/>
          <w:szCs w:val="24"/>
        </w:rPr>
      </w:pPr>
      <w:r w:rsidRPr="00581C3B">
        <w:rPr>
          <w:rFonts w:cs="Arial"/>
          <w:i/>
          <w:sz w:val="24"/>
          <w:szCs w:val="24"/>
        </w:rPr>
        <w:t xml:space="preserve">the victim is a Hong Kong permanent resident, a person ordinarily residing in Hong Kong, </w:t>
      </w:r>
      <w:r w:rsidR="003A61EA" w:rsidRPr="00581C3B">
        <w:rPr>
          <w:rFonts w:cs="Arial"/>
          <w:i/>
          <w:sz w:val="24"/>
          <w:szCs w:val="24"/>
        </w:rPr>
        <w:t>or was physically present in Hong Kong at the time when the offence was committed,</w:t>
      </w:r>
      <w:r w:rsidR="003A61EA">
        <w:rPr>
          <w:rFonts w:cs="Arial"/>
          <w:i/>
          <w:sz w:val="24"/>
          <w:szCs w:val="24"/>
        </w:rPr>
        <w:t xml:space="preserve"> </w:t>
      </w:r>
      <w:r w:rsidRPr="00581C3B">
        <w:rPr>
          <w:rFonts w:cs="Arial"/>
          <w:i/>
          <w:sz w:val="24"/>
          <w:szCs w:val="24"/>
        </w:rPr>
        <w:t>or a company carrying on business in Hong Kong;</w:t>
      </w:r>
    </w:p>
    <w:p w14:paraId="0147E765" w14:textId="0276FEAD" w:rsidR="005C5C60" w:rsidRPr="00581C3B" w:rsidRDefault="005C5C60" w:rsidP="00503B03">
      <w:pPr>
        <w:pStyle w:val="ListParagraph"/>
        <w:numPr>
          <w:ilvl w:val="0"/>
          <w:numId w:val="52"/>
        </w:numPr>
        <w:spacing w:beforeLines="100" w:before="240" w:afterLines="100" w:after="240"/>
        <w:ind w:left="1440" w:right="720" w:hanging="720"/>
        <w:contextualSpacing w:val="0"/>
        <w:rPr>
          <w:rFonts w:cs="Arial"/>
          <w:i/>
          <w:sz w:val="24"/>
          <w:szCs w:val="24"/>
        </w:rPr>
      </w:pPr>
      <w:r w:rsidRPr="00581C3B">
        <w:rPr>
          <w:rFonts w:cs="Arial"/>
          <w:i/>
          <w:sz w:val="24"/>
          <w:szCs w:val="24"/>
        </w:rPr>
        <w:t>the target computer is in Hong Kong; or</w:t>
      </w:r>
    </w:p>
    <w:p w14:paraId="1F646E00" w14:textId="25EC345A" w:rsidR="005C5C60" w:rsidRPr="00581C3B" w:rsidRDefault="005C5C60" w:rsidP="00503B03">
      <w:pPr>
        <w:pStyle w:val="ListParagraph"/>
        <w:numPr>
          <w:ilvl w:val="0"/>
          <w:numId w:val="52"/>
        </w:numPr>
        <w:spacing w:beforeLines="100" w:before="240" w:afterLines="100" w:after="240"/>
        <w:ind w:left="1440" w:right="720" w:hanging="720"/>
        <w:contextualSpacing w:val="0"/>
        <w:rPr>
          <w:rFonts w:cs="Arial"/>
          <w:i/>
          <w:sz w:val="24"/>
          <w:szCs w:val="24"/>
        </w:rPr>
      </w:pPr>
      <w:r w:rsidRPr="00581C3B">
        <w:rPr>
          <w:rFonts w:cs="Arial"/>
          <w:i/>
          <w:sz w:val="24"/>
          <w:szCs w:val="24"/>
        </w:rPr>
        <w:t>the perpetrator’s act has caused or may cause serious damage to Hong Kong, for example, to its infrastructure or public authority, or has threatened or may threaten the security of Hong Kong.</w:t>
      </w:r>
    </w:p>
    <w:p w14:paraId="71A12853" w14:textId="7185C745" w:rsidR="005C5C60" w:rsidRPr="00581C3B" w:rsidRDefault="005C5C60" w:rsidP="00503B03">
      <w:pPr>
        <w:spacing w:beforeLines="100" w:before="240" w:afterLines="100" w:after="240"/>
        <w:ind w:left="1440" w:right="720" w:hanging="720"/>
        <w:rPr>
          <w:rFonts w:cs="Arial"/>
          <w:i/>
          <w:u w:val="single"/>
        </w:rPr>
      </w:pPr>
      <w:r w:rsidRPr="00581C3B">
        <w:rPr>
          <w:rFonts w:cs="Arial"/>
          <w:i/>
          <w:u w:val="single"/>
        </w:rPr>
        <w:t>Final Recommendation 15</w:t>
      </w:r>
    </w:p>
    <w:p w14:paraId="343A9BAD" w14:textId="4AF313CF" w:rsidR="005C5C60" w:rsidRPr="00581C3B" w:rsidRDefault="007D20FC" w:rsidP="00503B03">
      <w:pPr>
        <w:spacing w:beforeLines="100" w:before="240" w:afterLines="100" w:after="240"/>
        <w:ind w:left="720" w:right="720"/>
        <w:rPr>
          <w:i/>
        </w:rPr>
      </w:pPr>
      <w:r w:rsidRPr="00581C3B">
        <w:rPr>
          <w:i/>
        </w:rPr>
        <w:t xml:space="preserve">We recommend that, in respect of the proposed offence of making available a device, program or data for committing a cyber-related crime, or possessing a device, program or data for the purpose of </w:t>
      </w:r>
      <w:r w:rsidR="00381789">
        <w:rPr>
          <w:i/>
        </w:rPr>
        <w:t xml:space="preserve">making it available for </w:t>
      </w:r>
      <w:r w:rsidRPr="00581C3B">
        <w:rPr>
          <w:i/>
        </w:rPr>
        <w:t>committing a cyber-related crime, Hong Kong courts should have jurisdiction where:</w:t>
      </w:r>
    </w:p>
    <w:p w14:paraId="1F267795" w14:textId="77CFDD50" w:rsidR="007D20FC" w:rsidRPr="00581C3B" w:rsidRDefault="007D20FC" w:rsidP="00503B03">
      <w:pPr>
        <w:pStyle w:val="ListParagraph"/>
        <w:numPr>
          <w:ilvl w:val="0"/>
          <w:numId w:val="53"/>
        </w:numPr>
        <w:spacing w:beforeLines="100" w:before="240" w:afterLines="100" w:after="240"/>
        <w:ind w:left="1440" w:right="720" w:hanging="720"/>
        <w:contextualSpacing w:val="0"/>
        <w:rPr>
          <w:rFonts w:cs="Arial"/>
          <w:i/>
          <w:sz w:val="24"/>
          <w:szCs w:val="24"/>
        </w:rPr>
      </w:pPr>
      <w:r w:rsidRPr="00581C3B">
        <w:rPr>
          <w:i/>
          <w:sz w:val="24"/>
          <w:szCs w:val="24"/>
        </w:rPr>
        <w:t xml:space="preserve">any act or omission or other event (including any result of one or more acts or omissions) the proof of which is required for conviction of the offence occurred in Hong Kong, even if other such act(s), omission(s) or event(s) occurred elsewhere, eg a person physically in Hong Kong making available on the dark web, a device, program or data for committing a cyber-related </w:t>
      </w:r>
      <w:r w:rsidR="00CD4771">
        <w:rPr>
          <w:i/>
          <w:sz w:val="24"/>
          <w:szCs w:val="24"/>
        </w:rPr>
        <w:t>crime</w:t>
      </w:r>
      <w:r w:rsidRPr="00581C3B">
        <w:rPr>
          <w:i/>
          <w:sz w:val="24"/>
          <w:szCs w:val="24"/>
        </w:rPr>
        <w:t>;</w:t>
      </w:r>
    </w:p>
    <w:p w14:paraId="0CEA70F1" w14:textId="684ED280" w:rsidR="007D20FC" w:rsidRPr="00581C3B" w:rsidRDefault="007D20FC" w:rsidP="00503B03">
      <w:pPr>
        <w:pStyle w:val="ListParagraph"/>
        <w:numPr>
          <w:ilvl w:val="0"/>
          <w:numId w:val="53"/>
        </w:numPr>
        <w:spacing w:beforeLines="100" w:before="240" w:afterLines="100" w:after="240"/>
        <w:ind w:left="1440" w:right="720" w:hanging="720"/>
        <w:contextualSpacing w:val="0"/>
        <w:rPr>
          <w:rFonts w:cs="Arial"/>
          <w:i/>
          <w:sz w:val="24"/>
          <w:szCs w:val="24"/>
        </w:rPr>
      </w:pPr>
      <w:r w:rsidRPr="00581C3B">
        <w:rPr>
          <w:i/>
          <w:sz w:val="24"/>
          <w:szCs w:val="24"/>
        </w:rPr>
        <w:t>the perpetrator is a Hong Kong permanent resident, a person ordinarily residing in Hong Kong, or a company carrying on business in Hong Kong; or</w:t>
      </w:r>
    </w:p>
    <w:p w14:paraId="6C10FD2B" w14:textId="38318322" w:rsidR="007D20FC" w:rsidRPr="00581C3B" w:rsidRDefault="007D20FC" w:rsidP="00503B03">
      <w:pPr>
        <w:pStyle w:val="ListParagraph"/>
        <w:numPr>
          <w:ilvl w:val="0"/>
          <w:numId w:val="53"/>
        </w:numPr>
        <w:spacing w:beforeLines="100" w:before="240" w:afterLines="100" w:after="240"/>
        <w:ind w:left="1440" w:right="720" w:hanging="720"/>
        <w:contextualSpacing w:val="0"/>
        <w:rPr>
          <w:rFonts w:cs="Arial"/>
          <w:i/>
        </w:rPr>
      </w:pPr>
      <w:r w:rsidRPr="00581C3B">
        <w:rPr>
          <w:i/>
          <w:sz w:val="24"/>
          <w:szCs w:val="24"/>
        </w:rPr>
        <w:t>the perpetrator’s act has caused or may cause serious damage to Hong Kong, for example, to its infrastructure or public authority, or has threatened or may threaten the security of Hong Kong.</w:t>
      </w:r>
      <w:r w:rsidRPr="00581C3B">
        <w:rPr>
          <w:i/>
        </w:rPr>
        <w:t>”</w:t>
      </w:r>
    </w:p>
    <w:p w14:paraId="512D585C" w14:textId="67E36574" w:rsidR="004B7EC6" w:rsidRPr="00581C3B" w:rsidRDefault="00C61321" w:rsidP="008C12FB">
      <w:pPr>
        <w:pStyle w:val="ListParagraph"/>
        <w:spacing w:beforeLines="200" w:before="480" w:after="240" w:line="240" w:lineRule="auto"/>
        <w:ind w:left="0"/>
        <w:contextualSpacing w:val="0"/>
        <w:rPr>
          <w:rFonts w:cs="Arial"/>
          <w:b/>
          <w:sz w:val="28"/>
          <w:szCs w:val="28"/>
          <w:lang w:val="en-GB"/>
        </w:rPr>
      </w:pPr>
      <w:r w:rsidRPr="00581C3B">
        <w:rPr>
          <w:rFonts w:cs="Arial"/>
          <w:b/>
          <w:sz w:val="28"/>
          <w:szCs w:val="28"/>
          <w:lang w:val="en-GB"/>
        </w:rPr>
        <w:t xml:space="preserve">Chapter 8: </w:t>
      </w:r>
      <w:r w:rsidR="00C56A39" w:rsidRPr="00581C3B">
        <w:rPr>
          <w:rFonts w:cs="Arial"/>
          <w:b/>
          <w:sz w:val="28"/>
          <w:szCs w:val="28"/>
          <w:lang w:val="en-GB"/>
        </w:rPr>
        <w:t>Sentencing</w:t>
      </w:r>
    </w:p>
    <w:p w14:paraId="6F0205E1" w14:textId="7927C9ED" w:rsidR="00AA6D4D" w:rsidRPr="00581C3B" w:rsidRDefault="00AA6D4D" w:rsidP="008C12FB">
      <w:pPr>
        <w:pStyle w:val="ListParagraph"/>
        <w:numPr>
          <w:ilvl w:val="0"/>
          <w:numId w:val="14"/>
        </w:numPr>
        <w:spacing w:after="240" w:line="240" w:lineRule="auto"/>
        <w:ind w:left="0" w:firstLine="0"/>
        <w:contextualSpacing w:val="0"/>
        <w:rPr>
          <w:rFonts w:cs="Arial"/>
          <w:sz w:val="24"/>
          <w:szCs w:val="24"/>
          <w:lang w:val="en-GB"/>
        </w:rPr>
      </w:pPr>
      <w:r w:rsidRPr="00581C3B">
        <w:rPr>
          <w:sz w:val="24"/>
          <w:szCs w:val="24"/>
        </w:rPr>
        <w:t xml:space="preserve">Recommendation 16 of the CP set out the maximum sentences for the five proposed cyber-dependent offences.  </w:t>
      </w:r>
      <w:r w:rsidR="001B0EE5" w:rsidRPr="00581C3B">
        <w:rPr>
          <w:rFonts w:eastAsia="DengXian" w:cs="Arial"/>
          <w:sz w:val="24"/>
          <w:szCs w:val="24"/>
        </w:rPr>
        <w:t>In general, the Respondents supported introducing a set of penalties that is tougher than that in respect of the current computer-related offences</w:t>
      </w:r>
      <w:r w:rsidR="00112C95" w:rsidRPr="00581C3B">
        <w:rPr>
          <w:rFonts w:eastAsia="DengXian" w:cs="Arial"/>
          <w:sz w:val="24"/>
          <w:szCs w:val="24"/>
        </w:rPr>
        <w:t xml:space="preserve"> since it </w:t>
      </w:r>
      <w:r w:rsidR="001B0EE5" w:rsidRPr="00581C3B">
        <w:rPr>
          <w:rFonts w:eastAsia="DengXian" w:cs="Arial"/>
          <w:sz w:val="24"/>
          <w:szCs w:val="24"/>
        </w:rPr>
        <w:t>will help deter cyber-dependent crimes, and a sound and robust cybersecurity regime will contribute positively to Hong Kong’s business standing.</w:t>
      </w:r>
    </w:p>
    <w:p w14:paraId="1643E7F1" w14:textId="0927F12B" w:rsidR="00E46C6E" w:rsidRPr="00581C3B" w:rsidRDefault="00E46C6E" w:rsidP="00E46C6E">
      <w:pPr>
        <w:pStyle w:val="ListParagraph"/>
        <w:spacing w:after="240" w:line="240" w:lineRule="auto"/>
        <w:ind w:left="0"/>
        <w:contextualSpacing w:val="0"/>
        <w:rPr>
          <w:rFonts w:cs="Arial"/>
          <w:b/>
          <w:sz w:val="24"/>
          <w:szCs w:val="24"/>
        </w:rPr>
      </w:pPr>
      <w:r w:rsidRPr="00581C3B">
        <w:rPr>
          <w:rFonts w:eastAsia="DengXian" w:cs="Arial"/>
          <w:b/>
          <w:i/>
          <w:sz w:val="24"/>
          <w:szCs w:val="24"/>
        </w:rPr>
        <w:t>Summary form of the Access Offence</w:t>
      </w:r>
      <w:r w:rsidR="00752F38" w:rsidRPr="00581C3B">
        <w:rPr>
          <w:rFonts w:eastAsia="Arial Unicode MS" w:cs="Arial"/>
          <w:kern w:val="2"/>
          <w:sz w:val="24"/>
          <w:szCs w:val="24"/>
          <w:vertAlign w:val="superscript"/>
        </w:rPr>
        <w:footnoteReference w:id="86"/>
      </w:r>
    </w:p>
    <w:p w14:paraId="53A3B377" w14:textId="558EE9D0" w:rsidR="00FB1A3A" w:rsidRPr="00581C3B" w:rsidRDefault="003C1210"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In view of a Respondent’s suggestion, we have considered whether </w:t>
      </w:r>
      <w:r w:rsidRPr="00581C3B">
        <w:rPr>
          <w:rFonts w:cs="Arial" w:hint="eastAsia"/>
          <w:sz w:val="24"/>
          <w:szCs w:val="24"/>
          <w:lang w:val="en-GB"/>
        </w:rPr>
        <w:t>the two</w:t>
      </w:r>
      <w:r w:rsidR="00A6071F">
        <w:rPr>
          <w:rFonts w:cs="Arial"/>
          <w:sz w:val="24"/>
          <w:szCs w:val="24"/>
          <w:lang w:val="en-GB"/>
        </w:rPr>
        <w:t> </w:t>
      </w:r>
      <w:r w:rsidRPr="00581C3B">
        <w:rPr>
          <w:rFonts w:cs="Arial" w:hint="eastAsia"/>
          <w:sz w:val="24"/>
          <w:szCs w:val="24"/>
          <w:lang w:val="en-GB"/>
        </w:rPr>
        <w:t>years</w:t>
      </w:r>
      <w:r w:rsidRPr="00581C3B">
        <w:rPr>
          <w:rFonts w:cs="Arial"/>
          <w:sz w:val="24"/>
          <w:szCs w:val="24"/>
          <w:lang w:val="en-GB"/>
        </w:rPr>
        <w:t xml:space="preserve">’ maximum imprisonment for the summary form of the Access Offence would provide sufficient deterrence.  </w:t>
      </w:r>
      <w:r w:rsidR="006E5D25" w:rsidRPr="00581C3B">
        <w:rPr>
          <w:rFonts w:cs="Arial"/>
          <w:sz w:val="24"/>
          <w:szCs w:val="24"/>
          <w:lang w:val="en-GB"/>
        </w:rPr>
        <w:t>In sum, p</w:t>
      </w:r>
      <w:r w:rsidR="009038D7" w:rsidRPr="00581C3B">
        <w:rPr>
          <w:rFonts w:cs="Arial"/>
          <w:sz w:val="24"/>
          <w:szCs w:val="24"/>
          <w:lang w:val="en-GB"/>
        </w:rPr>
        <w:t>itching the maximum penalty at two</w:t>
      </w:r>
      <w:r w:rsidR="00A6071F">
        <w:rPr>
          <w:rFonts w:cs="Arial"/>
          <w:sz w:val="24"/>
          <w:szCs w:val="24"/>
          <w:lang w:val="en-GB"/>
        </w:rPr>
        <w:t> </w:t>
      </w:r>
      <w:r w:rsidR="009038D7" w:rsidRPr="00581C3B">
        <w:rPr>
          <w:rFonts w:cs="Arial"/>
          <w:sz w:val="24"/>
          <w:szCs w:val="24"/>
          <w:lang w:val="en-GB"/>
        </w:rPr>
        <w:t>years’ imprisonment serves to signify the gravity of the summary form of the Access Offence by the commission of which the sanctity of the targeted system or confidentiality of the information</w:t>
      </w:r>
      <w:r w:rsidR="00112C95" w:rsidRPr="00581C3B">
        <w:rPr>
          <w:rFonts w:cs="Arial"/>
          <w:sz w:val="24"/>
          <w:szCs w:val="24"/>
          <w:lang w:val="en-GB"/>
        </w:rPr>
        <w:t xml:space="preserve"> that</w:t>
      </w:r>
      <w:r w:rsidR="009038D7" w:rsidRPr="00581C3B">
        <w:rPr>
          <w:rFonts w:cs="Arial"/>
          <w:sz w:val="24"/>
          <w:szCs w:val="24"/>
          <w:lang w:val="en-GB"/>
        </w:rPr>
        <w:t xml:space="preserve"> the law seeks to protect has already been violated even though there is insufficient evidence </w:t>
      </w:r>
      <w:r w:rsidR="006E5D25" w:rsidRPr="00581C3B">
        <w:rPr>
          <w:rFonts w:cs="Arial"/>
          <w:sz w:val="24"/>
          <w:szCs w:val="24"/>
          <w:lang w:val="en-GB"/>
        </w:rPr>
        <w:t>of</w:t>
      </w:r>
      <w:r w:rsidR="009038D7" w:rsidRPr="00581C3B">
        <w:rPr>
          <w:rFonts w:cs="Arial"/>
          <w:sz w:val="24"/>
          <w:szCs w:val="24"/>
          <w:lang w:val="en-GB"/>
        </w:rPr>
        <w:t xml:space="preserve"> any intent to carry out further criminal activity upon unauthorised access to program or data.  We are of the view that the proposed maximum sentence is appropriate since this will </w:t>
      </w:r>
      <w:r w:rsidR="006E5D25" w:rsidRPr="00581C3B">
        <w:rPr>
          <w:rFonts w:cs="Arial"/>
          <w:sz w:val="24"/>
          <w:szCs w:val="24"/>
          <w:lang w:val="en-GB"/>
        </w:rPr>
        <w:t>give</w:t>
      </w:r>
      <w:r w:rsidR="009038D7" w:rsidRPr="00581C3B">
        <w:rPr>
          <w:rFonts w:cs="Arial"/>
          <w:sz w:val="24"/>
          <w:szCs w:val="24"/>
          <w:lang w:val="en-GB"/>
        </w:rPr>
        <w:t xml:space="preserve"> the sentencing court </w:t>
      </w:r>
      <w:r w:rsidR="006E5D25" w:rsidRPr="00581C3B">
        <w:rPr>
          <w:rFonts w:cs="Arial"/>
          <w:sz w:val="24"/>
          <w:szCs w:val="24"/>
          <w:lang w:val="en-GB"/>
        </w:rPr>
        <w:t xml:space="preserve">sufficient power </w:t>
      </w:r>
      <w:r w:rsidR="009038D7" w:rsidRPr="00581C3B">
        <w:rPr>
          <w:rFonts w:cs="Arial"/>
          <w:sz w:val="24"/>
          <w:szCs w:val="24"/>
          <w:lang w:val="en-GB"/>
        </w:rPr>
        <w:t>to impose a punishment which can properly reflect the gravamen of the offence.</w:t>
      </w:r>
    </w:p>
    <w:p w14:paraId="0B8098E6" w14:textId="68ADD2E4" w:rsidR="00E46C6E" w:rsidRPr="00581C3B" w:rsidRDefault="00E46C6E" w:rsidP="00E46C6E">
      <w:pPr>
        <w:pStyle w:val="ListParagraph"/>
        <w:spacing w:after="240" w:line="240" w:lineRule="auto"/>
        <w:ind w:left="0"/>
        <w:contextualSpacing w:val="0"/>
        <w:rPr>
          <w:rFonts w:cs="Arial"/>
          <w:sz w:val="24"/>
          <w:szCs w:val="24"/>
          <w:lang w:val="en-GB"/>
        </w:rPr>
      </w:pPr>
      <w:r w:rsidRPr="00581C3B">
        <w:rPr>
          <w:b/>
          <w:i/>
          <w:sz w:val="24"/>
          <w:szCs w:val="24"/>
        </w:rPr>
        <w:t>The</w:t>
      </w:r>
      <w:r w:rsidR="00046703" w:rsidRPr="00581C3B">
        <w:rPr>
          <w:b/>
          <w:i/>
          <w:sz w:val="24"/>
          <w:szCs w:val="24"/>
        </w:rPr>
        <w:t xml:space="preserve"> rationale behind the maximum sentence of life imprisonment for the</w:t>
      </w:r>
      <w:r w:rsidRPr="00581C3B">
        <w:rPr>
          <w:b/>
          <w:i/>
          <w:sz w:val="24"/>
          <w:szCs w:val="24"/>
        </w:rPr>
        <w:t xml:space="preserve"> aggravated </w:t>
      </w:r>
      <w:r w:rsidR="004461ED" w:rsidRPr="00581C3B">
        <w:rPr>
          <w:b/>
          <w:i/>
          <w:sz w:val="24"/>
          <w:szCs w:val="24"/>
        </w:rPr>
        <w:t>I</w:t>
      </w:r>
      <w:r w:rsidRPr="00581C3B">
        <w:rPr>
          <w:b/>
          <w:i/>
          <w:sz w:val="24"/>
          <w:szCs w:val="24"/>
        </w:rPr>
        <w:t xml:space="preserve">nterference </w:t>
      </w:r>
      <w:r w:rsidR="004461ED" w:rsidRPr="00581C3B">
        <w:rPr>
          <w:b/>
          <w:i/>
          <w:sz w:val="24"/>
          <w:szCs w:val="24"/>
        </w:rPr>
        <w:t>O</w:t>
      </w:r>
      <w:r w:rsidRPr="00581C3B">
        <w:rPr>
          <w:b/>
          <w:i/>
          <w:sz w:val="24"/>
          <w:szCs w:val="24"/>
        </w:rPr>
        <w:t>ffences</w:t>
      </w:r>
      <w:r w:rsidR="00046703" w:rsidRPr="00581C3B">
        <w:rPr>
          <w:rFonts w:eastAsia="Arial Unicode MS" w:cs="Arial"/>
          <w:kern w:val="2"/>
          <w:sz w:val="24"/>
          <w:szCs w:val="24"/>
          <w:vertAlign w:val="superscript"/>
        </w:rPr>
        <w:footnoteReference w:id="87"/>
      </w:r>
    </w:p>
    <w:p w14:paraId="4D9EC9D6" w14:textId="5EF4989C" w:rsidR="00FB1A3A" w:rsidRPr="00581C3B" w:rsidRDefault="004461ED" w:rsidP="00765211">
      <w:pPr>
        <w:pStyle w:val="ListParagraph"/>
        <w:numPr>
          <w:ilvl w:val="0"/>
          <w:numId w:val="14"/>
        </w:numPr>
        <w:spacing w:after="240" w:line="240" w:lineRule="auto"/>
        <w:ind w:left="0" w:firstLine="0"/>
        <w:contextualSpacing w:val="0"/>
        <w:rPr>
          <w:rFonts w:cs="Arial"/>
          <w:sz w:val="24"/>
          <w:szCs w:val="24"/>
          <w:lang w:val="en-GB"/>
        </w:rPr>
      </w:pPr>
      <w:r w:rsidRPr="00581C3B">
        <w:rPr>
          <w:rFonts w:cs="Arial"/>
          <w:sz w:val="24"/>
          <w:szCs w:val="24"/>
          <w:lang w:val="en-GB"/>
        </w:rPr>
        <w:t xml:space="preserve">The </w:t>
      </w:r>
      <w:r w:rsidR="002167BD" w:rsidRPr="00581C3B">
        <w:rPr>
          <w:rFonts w:cs="Arial"/>
          <w:sz w:val="24"/>
          <w:szCs w:val="24"/>
          <w:lang w:val="en-GB"/>
        </w:rPr>
        <w:t xml:space="preserve">prescription of a </w:t>
      </w:r>
      <w:r w:rsidRPr="00581C3B">
        <w:rPr>
          <w:rFonts w:cs="Arial"/>
          <w:sz w:val="24"/>
          <w:szCs w:val="24"/>
          <w:lang w:val="en-GB"/>
        </w:rPr>
        <w:t>maximum sentence</w:t>
      </w:r>
      <w:r w:rsidR="00BB2B4E" w:rsidRPr="00581C3B">
        <w:rPr>
          <w:rFonts w:cs="Arial"/>
          <w:sz w:val="24"/>
          <w:szCs w:val="24"/>
          <w:lang w:val="en-GB"/>
        </w:rPr>
        <w:t xml:space="preserve"> </w:t>
      </w:r>
      <w:r w:rsidR="00046703" w:rsidRPr="00581C3B">
        <w:rPr>
          <w:rFonts w:cs="Arial"/>
          <w:sz w:val="24"/>
          <w:szCs w:val="24"/>
          <w:lang w:val="en-GB"/>
        </w:rPr>
        <w:t xml:space="preserve">of life imprisonment </w:t>
      </w:r>
      <w:r w:rsidR="00BB2B4E" w:rsidRPr="00581C3B">
        <w:rPr>
          <w:rFonts w:cs="Arial"/>
          <w:sz w:val="24"/>
          <w:szCs w:val="24"/>
          <w:lang w:val="en-GB"/>
        </w:rPr>
        <w:t>only sought to maintain consistency with the penalty for the aggravated offence of criminal damage under the existing section 63(1) of the CO which</w:t>
      </w:r>
      <w:r w:rsidR="00981741" w:rsidRPr="00581C3B">
        <w:rPr>
          <w:rFonts w:cs="Arial"/>
          <w:sz w:val="24"/>
          <w:szCs w:val="24"/>
          <w:lang w:val="en-GB"/>
        </w:rPr>
        <w:t>,</w:t>
      </w:r>
      <w:r w:rsidR="00BB2B4E" w:rsidRPr="00581C3B">
        <w:rPr>
          <w:rFonts w:cs="Arial"/>
          <w:sz w:val="24"/>
          <w:szCs w:val="24"/>
          <w:lang w:val="en-GB"/>
        </w:rPr>
        <w:t xml:space="preserve"> when read together with section 60(2)(b) of the CO,</w:t>
      </w:r>
      <w:r w:rsidR="00BB2B4E" w:rsidRPr="00581C3B">
        <w:rPr>
          <w:sz w:val="24"/>
          <w:szCs w:val="24"/>
          <w:vertAlign w:val="superscript"/>
          <w:lang w:val="en-GB"/>
        </w:rPr>
        <w:footnoteReference w:id="88"/>
      </w:r>
      <w:r w:rsidR="00BB2B4E" w:rsidRPr="00581C3B">
        <w:rPr>
          <w:rFonts w:cs="Arial"/>
          <w:sz w:val="24"/>
          <w:szCs w:val="24"/>
          <w:lang w:val="en-GB"/>
        </w:rPr>
        <w:t xml:space="preserve"> </w:t>
      </w:r>
      <w:r w:rsidR="00981741" w:rsidRPr="00581C3B">
        <w:rPr>
          <w:rFonts w:cs="Arial"/>
          <w:sz w:val="24"/>
          <w:szCs w:val="24"/>
          <w:lang w:val="en-GB"/>
        </w:rPr>
        <w:t>ensures</w:t>
      </w:r>
      <w:r w:rsidR="00BB2B4E" w:rsidRPr="00581C3B">
        <w:rPr>
          <w:rFonts w:cs="Arial"/>
          <w:sz w:val="24"/>
          <w:szCs w:val="24"/>
          <w:lang w:val="en-GB"/>
        </w:rPr>
        <w:t xml:space="preserve"> that </w:t>
      </w:r>
      <w:r w:rsidR="00046703" w:rsidRPr="00581C3B">
        <w:rPr>
          <w:rFonts w:cs="Arial"/>
          <w:sz w:val="24"/>
          <w:szCs w:val="24"/>
          <w:lang w:val="en-GB"/>
        </w:rPr>
        <w:t xml:space="preserve">the </w:t>
      </w:r>
      <w:r w:rsidR="002167BD" w:rsidRPr="00581C3B">
        <w:rPr>
          <w:rFonts w:cs="Arial"/>
          <w:sz w:val="24"/>
          <w:szCs w:val="24"/>
          <w:lang w:val="en-GB"/>
        </w:rPr>
        <w:t xml:space="preserve">penalty </w:t>
      </w:r>
      <w:r w:rsidR="00981741" w:rsidRPr="00581C3B">
        <w:rPr>
          <w:rFonts w:cs="Arial"/>
          <w:sz w:val="24"/>
          <w:szCs w:val="24"/>
          <w:lang w:val="en-GB"/>
        </w:rPr>
        <w:t>which may be imposed</w:t>
      </w:r>
      <w:r w:rsidR="002167BD" w:rsidRPr="00581C3B">
        <w:rPr>
          <w:rFonts w:cs="Arial"/>
          <w:sz w:val="24"/>
          <w:szCs w:val="24"/>
          <w:lang w:val="en-GB"/>
        </w:rPr>
        <w:t xml:space="preserve"> is sufficient to</w:t>
      </w:r>
      <w:r w:rsidR="00F24674" w:rsidRPr="00581C3B">
        <w:rPr>
          <w:rFonts w:cs="Arial"/>
          <w:sz w:val="24"/>
          <w:szCs w:val="24"/>
          <w:lang w:val="en-GB"/>
        </w:rPr>
        <w:t xml:space="preserve"> </w:t>
      </w:r>
      <w:r w:rsidR="00BB2B4E" w:rsidRPr="00581C3B">
        <w:rPr>
          <w:rFonts w:cs="Arial"/>
          <w:sz w:val="24"/>
          <w:szCs w:val="24"/>
          <w:lang w:val="en-GB"/>
        </w:rPr>
        <w:t xml:space="preserve">deal with property damage or destruction situations where an intention to endanger life is involved.  </w:t>
      </w:r>
      <w:r w:rsidRPr="00581C3B">
        <w:rPr>
          <w:rFonts w:cs="Arial"/>
          <w:sz w:val="24"/>
          <w:szCs w:val="24"/>
          <w:lang w:val="en-GB"/>
        </w:rPr>
        <w:t xml:space="preserve">As the </w:t>
      </w:r>
      <w:r w:rsidR="00046703" w:rsidRPr="00581C3B">
        <w:rPr>
          <w:rFonts w:cs="Arial"/>
          <w:sz w:val="24"/>
          <w:szCs w:val="24"/>
          <w:lang w:val="en-GB"/>
        </w:rPr>
        <w:t>I</w:t>
      </w:r>
      <w:r w:rsidRPr="00581C3B">
        <w:rPr>
          <w:rFonts w:cs="Arial"/>
          <w:sz w:val="24"/>
          <w:szCs w:val="24"/>
          <w:lang w:val="en-GB"/>
        </w:rPr>
        <w:t xml:space="preserve">nterference </w:t>
      </w:r>
      <w:r w:rsidR="00046703" w:rsidRPr="00581C3B">
        <w:rPr>
          <w:rFonts w:cs="Arial"/>
          <w:sz w:val="24"/>
          <w:szCs w:val="24"/>
          <w:lang w:val="en-GB"/>
        </w:rPr>
        <w:t>O</w:t>
      </w:r>
      <w:r w:rsidRPr="00581C3B">
        <w:rPr>
          <w:rFonts w:cs="Arial"/>
          <w:sz w:val="24"/>
          <w:szCs w:val="24"/>
          <w:lang w:val="en-GB"/>
        </w:rPr>
        <w:t xml:space="preserve">ffences </w:t>
      </w:r>
      <w:r w:rsidR="00046703" w:rsidRPr="00581C3B">
        <w:rPr>
          <w:rFonts w:cs="Arial"/>
          <w:sz w:val="24"/>
          <w:szCs w:val="24"/>
          <w:lang w:val="en-GB"/>
        </w:rPr>
        <w:t>may</w:t>
      </w:r>
      <w:r w:rsidRPr="00581C3B">
        <w:rPr>
          <w:rFonts w:cs="Arial"/>
          <w:sz w:val="24"/>
          <w:szCs w:val="24"/>
          <w:lang w:val="en-GB"/>
        </w:rPr>
        <w:t xml:space="preserve"> put the lives of thousands of people at risk,</w:t>
      </w:r>
      <w:r w:rsidR="00F26FCE" w:rsidRPr="00581C3B">
        <w:rPr>
          <w:rFonts w:eastAsia="Arial Unicode MS" w:cs="Arial"/>
          <w:kern w:val="2"/>
          <w:sz w:val="24"/>
          <w:szCs w:val="24"/>
          <w:vertAlign w:val="superscript"/>
        </w:rPr>
        <w:footnoteReference w:id="89"/>
      </w:r>
      <w:r w:rsidRPr="00581C3B">
        <w:rPr>
          <w:rFonts w:cs="Arial"/>
          <w:sz w:val="24"/>
          <w:szCs w:val="24"/>
          <w:lang w:val="en-GB"/>
        </w:rPr>
        <w:t xml:space="preserve"> a severe </w:t>
      </w:r>
      <w:r w:rsidR="00F24674" w:rsidRPr="00581C3B">
        <w:rPr>
          <w:rFonts w:cs="Arial"/>
          <w:sz w:val="24"/>
          <w:szCs w:val="24"/>
          <w:lang w:val="en-GB"/>
        </w:rPr>
        <w:t xml:space="preserve">maximum </w:t>
      </w:r>
      <w:r w:rsidRPr="00581C3B">
        <w:rPr>
          <w:rFonts w:cs="Arial"/>
          <w:sz w:val="24"/>
          <w:szCs w:val="24"/>
          <w:lang w:val="en-GB"/>
        </w:rPr>
        <w:t>sentence is justifiable.  In fact, a</w:t>
      </w:r>
      <w:r w:rsidR="00BB2B4E" w:rsidRPr="00581C3B">
        <w:rPr>
          <w:rFonts w:cs="Arial"/>
          <w:sz w:val="24"/>
          <w:szCs w:val="24"/>
          <w:lang w:val="en-GB"/>
        </w:rPr>
        <w:t xml:space="preserve">cts of illegal interference with computer data and/or computer system may, depending on the facts of the case, already constitute the aggravated criminal damage offence, which </w:t>
      </w:r>
      <w:r w:rsidR="00981741" w:rsidRPr="00581C3B">
        <w:rPr>
          <w:rFonts w:cs="Arial"/>
          <w:sz w:val="24"/>
          <w:szCs w:val="24"/>
          <w:lang w:val="en-GB"/>
        </w:rPr>
        <w:t xml:space="preserve">currently </w:t>
      </w:r>
      <w:r w:rsidR="00BB2B4E" w:rsidRPr="00581C3B">
        <w:rPr>
          <w:rFonts w:cs="Arial"/>
          <w:sz w:val="24"/>
          <w:szCs w:val="24"/>
          <w:lang w:val="en-GB"/>
        </w:rPr>
        <w:t xml:space="preserve">attracts a maximum penalty of life imprisonment.  </w:t>
      </w:r>
      <w:r w:rsidR="00F26FCE" w:rsidRPr="00581C3B">
        <w:rPr>
          <w:rFonts w:cs="Arial"/>
          <w:sz w:val="24"/>
          <w:szCs w:val="24"/>
          <w:lang w:val="en-GB"/>
        </w:rPr>
        <w:t>T</w:t>
      </w:r>
      <w:r w:rsidR="00BB2B4E" w:rsidRPr="00581C3B">
        <w:rPr>
          <w:rFonts w:cs="Arial"/>
          <w:sz w:val="24"/>
          <w:szCs w:val="24"/>
          <w:lang w:val="en-GB"/>
        </w:rPr>
        <w:t xml:space="preserve">he new cybercrime legislation </w:t>
      </w:r>
      <w:r w:rsidR="00F26FCE" w:rsidRPr="00581C3B">
        <w:rPr>
          <w:rFonts w:cs="Arial"/>
          <w:sz w:val="24"/>
          <w:szCs w:val="24"/>
          <w:lang w:val="en-GB"/>
        </w:rPr>
        <w:t xml:space="preserve">only intends </w:t>
      </w:r>
      <w:r w:rsidR="00BB2B4E" w:rsidRPr="00581C3B">
        <w:rPr>
          <w:rFonts w:cs="Arial"/>
          <w:sz w:val="24"/>
          <w:szCs w:val="24"/>
          <w:lang w:val="en-GB"/>
        </w:rPr>
        <w:t xml:space="preserve">to mirror these existing </w:t>
      </w:r>
      <w:r w:rsidR="00046703" w:rsidRPr="00581C3B">
        <w:rPr>
          <w:rFonts w:cs="Arial"/>
          <w:sz w:val="24"/>
          <w:szCs w:val="24"/>
          <w:lang w:val="en-GB"/>
        </w:rPr>
        <w:t>Interference O</w:t>
      </w:r>
      <w:r w:rsidR="00BB2B4E" w:rsidRPr="00581C3B">
        <w:rPr>
          <w:rFonts w:cs="Arial"/>
          <w:sz w:val="24"/>
          <w:szCs w:val="24"/>
          <w:lang w:val="en-GB"/>
        </w:rPr>
        <w:t xml:space="preserve">ffences </w:t>
      </w:r>
      <w:r w:rsidR="00046703" w:rsidRPr="00581C3B">
        <w:rPr>
          <w:rFonts w:cs="Arial"/>
          <w:sz w:val="24"/>
          <w:szCs w:val="24"/>
          <w:lang w:val="en-GB"/>
        </w:rPr>
        <w:t>already envisaged under</w:t>
      </w:r>
      <w:r w:rsidR="00BB2B4E" w:rsidRPr="00581C3B">
        <w:rPr>
          <w:rFonts w:cs="Arial"/>
          <w:sz w:val="24"/>
          <w:szCs w:val="24"/>
          <w:lang w:val="en-GB"/>
        </w:rPr>
        <w:t xml:space="preserve"> the CO.</w:t>
      </w:r>
    </w:p>
    <w:p w14:paraId="6635CAD9" w14:textId="4FA452CF" w:rsidR="00FB1A3A" w:rsidRPr="00581C3B" w:rsidRDefault="00E05152" w:rsidP="00503B03">
      <w:pPr>
        <w:pStyle w:val="ListParagraph"/>
        <w:widowControl/>
        <w:numPr>
          <w:ilvl w:val="0"/>
          <w:numId w:val="14"/>
        </w:numPr>
        <w:spacing w:after="240" w:line="240" w:lineRule="auto"/>
        <w:ind w:left="0" w:firstLine="0"/>
        <w:contextualSpacing w:val="0"/>
        <w:rPr>
          <w:rFonts w:cs="Arial"/>
          <w:sz w:val="24"/>
          <w:szCs w:val="24"/>
          <w:lang w:val="en-GB"/>
        </w:rPr>
      </w:pPr>
      <w:r w:rsidRPr="00581C3B">
        <w:rPr>
          <w:rFonts w:eastAsiaTheme="minorEastAsia" w:cs="Arial"/>
          <w:sz w:val="24"/>
          <w:szCs w:val="24"/>
          <w:lang w:val="en-GB"/>
        </w:rPr>
        <w:t xml:space="preserve">Having reviewed Recommendation 16 </w:t>
      </w:r>
      <w:r w:rsidR="00F61905" w:rsidRPr="00581C3B">
        <w:rPr>
          <w:rFonts w:eastAsiaTheme="minorEastAsia" w:cs="Arial"/>
          <w:sz w:val="24"/>
          <w:szCs w:val="24"/>
          <w:lang w:val="en-GB"/>
        </w:rPr>
        <w:t>in its entirety</w:t>
      </w:r>
      <w:r w:rsidRPr="00581C3B">
        <w:rPr>
          <w:rFonts w:eastAsiaTheme="minorEastAsia" w:cs="Arial"/>
          <w:sz w:val="24"/>
          <w:szCs w:val="24"/>
          <w:lang w:val="en-GB"/>
        </w:rPr>
        <w:t xml:space="preserve">, </w:t>
      </w:r>
      <w:r w:rsidRPr="00581C3B">
        <w:rPr>
          <w:rFonts w:eastAsiaTheme="minorEastAsia" w:cs="Arial" w:hint="eastAsia"/>
          <w:sz w:val="24"/>
          <w:szCs w:val="24"/>
          <w:lang w:val="en-GB"/>
        </w:rPr>
        <w:t>we are satisfied tha</w:t>
      </w:r>
      <w:r w:rsidRPr="00581C3B">
        <w:rPr>
          <w:rFonts w:cs="Arial" w:hint="eastAsia"/>
          <w:sz w:val="24"/>
          <w:szCs w:val="24"/>
          <w:lang w:val="en-GB"/>
        </w:rPr>
        <w:t xml:space="preserve">t </w:t>
      </w:r>
      <w:r w:rsidR="009B0FBD">
        <w:rPr>
          <w:rFonts w:cs="Arial"/>
          <w:sz w:val="24"/>
          <w:szCs w:val="24"/>
          <w:lang w:val="en-GB"/>
        </w:rPr>
        <w:t xml:space="preserve">our </w:t>
      </w:r>
      <w:r w:rsidR="00F61905" w:rsidRPr="00581C3B">
        <w:rPr>
          <w:rFonts w:cs="Arial"/>
          <w:sz w:val="24"/>
          <w:szCs w:val="24"/>
          <w:lang w:val="en-GB"/>
        </w:rPr>
        <w:t>recommendations will have the necessary deterrent effect to combat cybercrime, and are not too out of line with the maximum sentences for (a) the crimes in the Theft Ordinance</w:t>
      </w:r>
      <w:r w:rsidR="00E86A56" w:rsidRPr="00581C3B">
        <w:rPr>
          <w:rFonts w:cs="Arial"/>
          <w:sz w:val="24"/>
          <w:szCs w:val="24"/>
          <w:lang w:val="en-GB"/>
        </w:rPr>
        <w:t xml:space="preserve"> (Cap 210)</w:t>
      </w:r>
      <w:r w:rsidR="00F61905" w:rsidRPr="00581C3B">
        <w:rPr>
          <w:rFonts w:cs="Arial"/>
          <w:sz w:val="24"/>
          <w:szCs w:val="24"/>
          <w:vertAlign w:val="superscript"/>
          <w:lang w:val="en-GB"/>
        </w:rPr>
        <w:footnoteReference w:id="90"/>
      </w:r>
      <w:r w:rsidR="00F61905" w:rsidRPr="00581C3B">
        <w:rPr>
          <w:rFonts w:cs="Arial"/>
          <w:sz w:val="24"/>
          <w:szCs w:val="24"/>
          <w:lang w:val="en-GB"/>
        </w:rPr>
        <w:t xml:space="preserve"> as well as (b) relevant offences in other jurisdictions.</w:t>
      </w:r>
      <w:r w:rsidR="00F61905" w:rsidRPr="00581C3B">
        <w:rPr>
          <w:rFonts w:cs="Arial"/>
          <w:sz w:val="24"/>
          <w:szCs w:val="24"/>
          <w:vertAlign w:val="superscript"/>
          <w:lang w:val="en-GB"/>
        </w:rPr>
        <w:footnoteReference w:id="91"/>
      </w:r>
      <w:r w:rsidR="00F61905" w:rsidRPr="00581C3B">
        <w:rPr>
          <w:rFonts w:cs="Arial"/>
          <w:sz w:val="24"/>
          <w:szCs w:val="24"/>
          <w:vertAlign w:val="superscript"/>
          <w:lang w:val="en-GB"/>
        </w:rPr>
        <w:t xml:space="preserve"> </w:t>
      </w:r>
      <w:r w:rsidR="00F61905" w:rsidRPr="00581C3B">
        <w:rPr>
          <w:rFonts w:cs="Arial"/>
          <w:sz w:val="24"/>
          <w:szCs w:val="24"/>
          <w:lang w:val="en-GB"/>
        </w:rPr>
        <w:t xml:space="preserve"> </w:t>
      </w:r>
      <w:r w:rsidR="004461ED" w:rsidRPr="00581C3B">
        <w:rPr>
          <w:rFonts w:cs="Arial"/>
          <w:sz w:val="24"/>
          <w:szCs w:val="24"/>
          <w:lang w:val="en-GB"/>
        </w:rPr>
        <w:t xml:space="preserve">Thus, </w:t>
      </w:r>
      <w:r w:rsidR="00046703" w:rsidRPr="00581C3B">
        <w:t>w</w:t>
      </w:r>
      <w:r w:rsidR="00D27A4A" w:rsidRPr="00581C3B">
        <w:rPr>
          <w:rFonts w:cs="Arial"/>
          <w:sz w:val="24"/>
          <w:szCs w:val="24"/>
          <w:lang w:val="en-GB"/>
        </w:rPr>
        <w:t xml:space="preserve">e retain Recommendation 16 in the CP as our </w:t>
      </w:r>
      <w:r w:rsidR="00D27A4A" w:rsidRPr="00581C3B">
        <w:rPr>
          <w:rFonts w:cs="Arial"/>
          <w:b/>
          <w:sz w:val="24"/>
          <w:szCs w:val="24"/>
          <w:lang w:val="en-GB"/>
        </w:rPr>
        <w:t>Final Recommendation 16</w:t>
      </w:r>
      <w:r w:rsidR="00D27A4A" w:rsidRPr="00581C3B">
        <w:rPr>
          <w:rFonts w:cs="Arial"/>
          <w:sz w:val="24"/>
          <w:szCs w:val="24"/>
          <w:lang w:val="en-GB"/>
        </w:rPr>
        <w:t>:</w:t>
      </w:r>
    </w:p>
    <w:p w14:paraId="7AAE0935" w14:textId="1D11D1BB" w:rsidR="00D27A4A" w:rsidRPr="00581C3B" w:rsidRDefault="00D27A4A" w:rsidP="00503B03">
      <w:pPr>
        <w:pStyle w:val="ListParagraph"/>
        <w:spacing w:beforeLines="100" w:before="240" w:afterLines="100" w:after="240" w:line="240" w:lineRule="auto"/>
        <w:ind w:left="1440" w:right="720" w:hanging="720"/>
        <w:contextualSpacing w:val="0"/>
        <w:rPr>
          <w:i/>
          <w:sz w:val="24"/>
          <w:szCs w:val="24"/>
        </w:rPr>
      </w:pPr>
      <w:r w:rsidRPr="00581C3B">
        <w:rPr>
          <w:rFonts w:cs="Arial"/>
          <w:i/>
          <w:sz w:val="24"/>
          <w:szCs w:val="24"/>
          <w:lang w:val="en-GB"/>
        </w:rPr>
        <w:t>“We</w:t>
      </w:r>
      <w:r w:rsidRPr="00581C3B">
        <w:rPr>
          <w:rFonts w:cs="Arial"/>
          <w:i/>
          <w:sz w:val="24"/>
          <w:szCs w:val="24"/>
        </w:rPr>
        <w:t xml:space="preserve"> recommend that</w:t>
      </w:r>
      <w:r w:rsidRPr="00581C3B">
        <w:rPr>
          <w:i/>
          <w:sz w:val="24"/>
          <w:szCs w:val="24"/>
        </w:rPr>
        <w:t>:</w:t>
      </w:r>
    </w:p>
    <w:p w14:paraId="4FA7B731" w14:textId="04EFC144" w:rsidR="00D27A4A" w:rsidRPr="00581C3B" w:rsidRDefault="00D27A4A" w:rsidP="00503B03">
      <w:pPr>
        <w:pStyle w:val="ListParagraph"/>
        <w:numPr>
          <w:ilvl w:val="0"/>
          <w:numId w:val="54"/>
        </w:numPr>
        <w:spacing w:beforeLines="100" w:before="240" w:afterLines="100" w:after="240" w:line="240" w:lineRule="auto"/>
        <w:ind w:left="1440" w:right="720" w:hanging="720"/>
        <w:contextualSpacing w:val="0"/>
        <w:rPr>
          <w:rFonts w:cs="Arial"/>
          <w:i/>
          <w:sz w:val="24"/>
          <w:szCs w:val="24"/>
          <w:lang w:val="en-GB"/>
        </w:rPr>
      </w:pPr>
      <w:r w:rsidRPr="00581C3B">
        <w:rPr>
          <w:rFonts w:eastAsia="DengXian" w:cs="Arial"/>
          <w:i/>
          <w:sz w:val="24"/>
          <w:szCs w:val="24"/>
        </w:rPr>
        <w:t>In respect of the proposed offence of illegal access to program or data, an offender should be liable to the following maximum sentences:</w:t>
      </w:r>
    </w:p>
    <w:p w14:paraId="7CD6043F" w14:textId="01A9F2F3" w:rsidR="00D27A4A" w:rsidRPr="00581C3B" w:rsidRDefault="00D27A4A" w:rsidP="00503B03">
      <w:pPr>
        <w:pStyle w:val="ListParagraph"/>
        <w:numPr>
          <w:ilvl w:val="0"/>
          <w:numId w:val="55"/>
        </w:numPr>
        <w:spacing w:beforeLines="100" w:before="240" w:afterLines="100" w:after="240" w:line="240" w:lineRule="auto"/>
        <w:ind w:left="2160" w:right="720"/>
        <w:contextualSpacing w:val="0"/>
        <w:rPr>
          <w:rFonts w:cs="Arial"/>
          <w:i/>
          <w:sz w:val="24"/>
          <w:szCs w:val="24"/>
          <w:lang w:val="en-GB"/>
        </w:rPr>
      </w:pPr>
      <w:r w:rsidRPr="00581C3B">
        <w:rPr>
          <w:rFonts w:eastAsia="DengXian" w:cs="Arial"/>
          <w:i/>
          <w:sz w:val="24"/>
          <w:szCs w:val="24"/>
        </w:rPr>
        <w:t>for the summary offence, imprisonment for two</w:t>
      </w:r>
      <w:r w:rsidR="00951426" w:rsidRPr="00581C3B">
        <w:rPr>
          <w:rFonts w:eastAsia="DengXian" w:cs="Arial"/>
          <w:i/>
          <w:sz w:val="24"/>
          <w:szCs w:val="24"/>
        </w:rPr>
        <w:t> </w:t>
      </w:r>
      <w:r w:rsidRPr="00581C3B">
        <w:rPr>
          <w:rFonts w:eastAsia="DengXian" w:cs="Arial"/>
          <w:i/>
          <w:sz w:val="24"/>
          <w:szCs w:val="24"/>
        </w:rPr>
        <w:t>years; or</w:t>
      </w:r>
    </w:p>
    <w:p w14:paraId="76512683" w14:textId="32E51A50" w:rsidR="00D27A4A" w:rsidRPr="00581C3B" w:rsidRDefault="00D27A4A" w:rsidP="00503B03">
      <w:pPr>
        <w:pStyle w:val="ListParagraph"/>
        <w:numPr>
          <w:ilvl w:val="0"/>
          <w:numId w:val="55"/>
        </w:numPr>
        <w:spacing w:beforeLines="100" w:before="240" w:afterLines="100" w:after="240" w:line="240" w:lineRule="auto"/>
        <w:ind w:left="2160" w:right="720"/>
        <w:contextualSpacing w:val="0"/>
        <w:rPr>
          <w:rFonts w:cs="Arial"/>
          <w:i/>
          <w:sz w:val="24"/>
          <w:szCs w:val="24"/>
          <w:lang w:val="en-GB"/>
        </w:rPr>
      </w:pPr>
      <w:r w:rsidRPr="00581C3B">
        <w:rPr>
          <w:rFonts w:eastAsia="DengXian" w:cs="Arial"/>
          <w:i/>
          <w:sz w:val="24"/>
          <w:szCs w:val="24"/>
        </w:rPr>
        <w:t>for the aggravated offence, imprisonment for 14</w:t>
      </w:r>
      <w:r w:rsidR="00951426" w:rsidRPr="00581C3B">
        <w:rPr>
          <w:rFonts w:eastAsia="DengXian" w:cs="Arial"/>
          <w:i/>
          <w:sz w:val="24"/>
          <w:szCs w:val="24"/>
        </w:rPr>
        <w:t> </w:t>
      </w:r>
      <w:r w:rsidRPr="00581C3B">
        <w:rPr>
          <w:rFonts w:eastAsia="DengXian" w:cs="Arial"/>
          <w:i/>
          <w:sz w:val="24"/>
          <w:szCs w:val="24"/>
        </w:rPr>
        <w:t>years on conviction on indictment.</w:t>
      </w:r>
    </w:p>
    <w:p w14:paraId="2CA0B617" w14:textId="2AFACC43" w:rsidR="00D27A4A" w:rsidRPr="00581C3B" w:rsidRDefault="00D27A4A" w:rsidP="00503B03">
      <w:pPr>
        <w:pStyle w:val="ListParagraph"/>
        <w:numPr>
          <w:ilvl w:val="0"/>
          <w:numId w:val="54"/>
        </w:numPr>
        <w:spacing w:beforeLines="100" w:before="240" w:afterLines="100" w:after="240"/>
        <w:ind w:left="1440" w:right="720" w:hanging="720"/>
        <w:contextualSpacing w:val="0"/>
        <w:rPr>
          <w:rFonts w:cs="Arial"/>
          <w:i/>
          <w:sz w:val="24"/>
          <w:szCs w:val="24"/>
        </w:rPr>
      </w:pPr>
      <w:r w:rsidRPr="00581C3B">
        <w:rPr>
          <w:rFonts w:eastAsia="DengXian" w:cs="Arial"/>
          <w:i/>
          <w:sz w:val="24"/>
          <w:szCs w:val="24"/>
        </w:rPr>
        <w:t>In respect of the proposed offence of illegal interception of computer data, an offender should be liable to imprisonment for two</w:t>
      </w:r>
      <w:r w:rsidR="00A6071F">
        <w:rPr>
          <w:rFonts w:eastAsia="DengXian" w:cs="Arial"/>
          <w:i/>
          <w:sz w:val="24"/>
          <w:szCs w:val="24"/>
        </w:rPr>
        <w:t> </w:t>
      </w:r>
      <w:r w:rsidRPr="00581C3B">
        <w:rPr>
          <w:rFonts w:eastAsia="DengXian" w:cs="Arial"/>
          <w:i/>
          <w:sz w:val="24"/>
          <w:szCs w:val="24"/>
        </w:rPr>
        <w:t>yea</w:t>
      </w:r>
      <w:r w:rsidR="00951426" w:rsidRPr="00581C3B">
        <w:rPr>
          <w:rFonts w:eastAsia="DengXian" w:cs="Arial"/>
          <w:i/>
          <w:sz w:val="24"/>
          <w:szCs w:val="24"/>
        </w:rPr>
        <w:t>rs on summary conviction and 14 </w:t>
      </w:r>
      <w:r w:rsidRPr="00581C3B">
        <w:rPr>
          <w:rFonts w:eastAsia="DengXian" w:cs="Arial"/>
          <w:i/>
          <w:sz w:val="24"/>
          <w:szCs w:val="24"/>
        </w:rPr>
        <w:t>years on conviction on indictment.</w:t>
      </w:r>
    </w:p>
    <w:p w14:paraId="2E7CD434" w14:textId="3B179660" w:rsidR="00D27A4A" w:rsidRPr="00581C3B" w:rsidRDefault="00D27A4A" w:rsidP="00503B03">
      <w:pPr>
        <w:pStyle w:val="ListParagraph"/>
        <w:numPr>
          <w:ilvl w:val="0"/>
          <w:numId w:val="54"/>
        </w:numPr>
        <w:spacing w:beforeLines="100" w:before="240" w:afterLines="100" w:after="240"/>
        <w:ind w:left="1440" w:right="720" w:hanging="720"/>
        <w:contextualSpacing w:val="0"/>
        <w:rPr>
          <w:rFonts w:cs="Arial"/>
          <w:i/>
          <w:sz w:val="24"/>
          <w:szCs w:val="24"/>
        </w:rPr>
      </w:pPr>
      <w:r w:rsidRPr="00581C3B">
        <w:rPr>
          <w:rFonts w:eastAsia="DengXian" w:cs="Arial"/>
          <w:i/>
          <w:sz w:val="24"/>
          <w:szCs w:val="24"/>
        </w:rPr>
        <w:t xml:space="preserve">In respect of each of the proposed offences of illegal interference </w:t>
      </w:r>
      <w:r w:rsidR="00F26FCE" w:rsidRPr="00581C3B">
        <w:rPr>
          <w:rFonts w:eastAsia="DengXian" w:cs="Arial"/>
          <w:i/>
          <w:sz w:val="24"/>
          <w:szCs w:val="24"/>
        </w:rPr>
        <w:t>with</w:t>
      </w:r>
      <w:r w:rsidRPr="00581C3B">
        <w:rPr>
          <w:rFonts w:eastAsia="DengXian" w:cs="Arial"/>
          <w:i/>
          <w:sz w:val="24"/>
          <w:szCs w:val="24"/>
        </w:rPr>
        <w:t xml:space="preserve"> computer data and illegal interference </w:t>
      </w:r>
      <w:r w:rsidR="00F26FCE" w:rsidRPr="00581C3B">
        <w:rPr>
          <w:rFonts w:eastAsia="DengXian" w:cs="Arial"/>
          <w:i/>
          <w:sz w:val="24"/>
          <w:szCs w:val="24"/>
        </w:rPr>
        <w:t xml:space="preserve">with </w:t>
      </w:r>
      <w:r w:rsidRPr="00581C3B">
        <w:rPr>
          <w:rFonts w:eastAsia="DengXian" w:cs="Arial"/>
          <w:i/>
          <w:sz w:val="24"/>
          <w:szCs w:val="24"/>
        </w:rPr>
        <w:t>computer system, an offender should be liable to the following maximum sentences:</w:t>
      </w:r>
    </w:p>
    <w:p w14:paraId="4CCDCD60" w14:textId="5A8EA8A7" w:rsidR="00D27A4A" w:rsidRPr="00581C3B" w:rsidRDefault="00D27A4A" w:rsidP="00A6071F">
      <w:pPr>
        <w:pStyle w:val="ListParagraph"/>
        <w:numPr>
          <w:ilvl w:val="0"/>
          <w:numId w:val="56"/>
        </w:numPr>
        <w:spacing w:beforeLines="100" w:before="240" w:afterLines="50" w:after="120"/>
        <w:ind w:left="2160" w:right="720"/>
        <w:contextualSpacing w:val="0"/>
        <w:rPr>
          <w:rFonts w:cs="Arial"/>
          <w:i/>
          <w:sz w:val="24"/>
          <w:szCs w:val="24"/>
        </w:rPr>
      </w:pPr>
      <w:r w:rsidRPr="00581C3B">
        <w:rPr>
          <w:rFonts w:eastAsia="DengXian" w:cs="Arial"/>
          <w:i/>
          <w:sz w:val="24"/>
          <w:szCs w:val="24"/>
        </w:rPr>
        <w:t>for the basic offence, imprisonment for two</w:t>
      </w:r>
      <w:r w:rsidR="00A6071F">
        <w:rPr>
          <w:rFonts w:eastAsia="DengXian" w:cs="Arial"/>
          <w:i/>
          <w:sz w:val="24"/>
          <w:szCs w:val="24"/>
        </w:rPr>
        <w:t> </w:t>
      </w:r>
      <w:r w:rsidRPr="00581C3B">
        <w:rPr>
          <w:rFonts w:eastAsia="DengXian" w:cs="Arial"/>
          <w:i/>
          <w:sz w:val="24"/>
          <w:szCs w:val="24"/>
        </w:rPr>
        <w:t>years on summary conviction and 14</w:t>
      </w:r>
      <w:r w:rsidR="00A6071F">
        <w:rPr>
          <w:rFonts w:eastAsia="DengXian" w:cs="Arial"/>
          <w:i/>
          <w:sz w:val="24"/>
          <w:szCs w:val="24"/>
        </w:rPr>
        <w:t> </w:t>
      </w:r>
      <w:r w:rsidRPr="00581C3B">
        <w:rPr>
          <w:rFonts w:eastAsia="DengXian" w:cs="Arial"/>
          <w:i/>
          <w:sz w:val="24"/>
          <w:szCs w:val="24"/>
        </w:rPr>
        <w:t>years on conviction on indictment; or</w:t>
      </w:r>
    </w:p>
    <w:p w14:paraId="3DDEF7B2" w14:textId="550BFC4E" w:rsidR="00D27A4A" w:rsidRPr="00581C3B" w:rsidRDefault="00D27A4A" w:rsidP="00A6071F">
      <w:pPr>
        <w:pStyle w:val="ListParagraph"/>
        <w:numPr>
          <w:ilvl w:val="0"/>
          <w:numId w:val="56"/>
        </w:numPr>
        <w:spacing w:beforeLines="50" w:before="120" w:afterLines="100" w:after="240"/>
        <w:ind w:left="2160" w:right="720"/>
        <w:contextualSpacing w:val="0"/>
        <w:rPr>
          <w:rFonts w:cs="Arial"/>
          <w:i/>
          <w:sz w:val="24"/>
          <w:szCs w:val="24"/>
        </w:rPr>
      </w:pPr>
      <w:r w:rsidRPr="00581C3B">
        <w:rPr>
          <w:rFonts w:eastAsia="DengXian" w:cs="Arial"/>
          <w:i/>
          <w:sz w:val="24"/>
          <w:szCs w:val="24"/>
        </w:rPr>
        <w:t>for the aggravated offence, imprisonment for life.</w:t>
      </w:r>
    </w:p>
    <w:p w14:paraId="47DB1E0B" w14:textId="480CE5BA" w:rsidR="00D27A4A" w:rsidRPr="00581C3B" w:rsidRDefault="00D27A4A" w:rsidP="00503B03">
      <w:pPr>
        <w:pStyle w:val="ListParagraph"/>
        <w:numPr>
          <w:ilvl w:val="0"/>
          <w:numId w:val="54"/>
        </w:numPr>
        <w:spacing w:beforeLines="100" w:before="240" w:afterLines="100" w:after="240"/>
        <w:ind w:left="1440" w:right="720" w:hanging="720"/>
        <w:contextualSpacing w:val="0"/>
        <w:rPr>
          <w:rFonts w:cs="Arial"/>
          <w:i/>
          <w:sz w:val="24"/>
          <w:szCs w:val="24"/>
        </w:rPr>
      </w:pPr>
      <w:r w:rsidRPr="00581C3B">
        <w:rPr>
          <w:rFonts w:eastAsia="DengXian" w:cs="Arial"/>
          <w:i/>
          <w:sz w:val="24"/>
          <w:szCs w:val="24"/>
        </w:rPr>
        <w:t xml:space="preserve">In respect of the proposed offence of making available </w:t>
      </w:r>
      <w:r w:rsidR="004C2C82" w:rsidRPr="00581C3B">
        <w:rPr>
          <w:rFonts w:eastAsia="DengXian" w:cs="Arial"/>
          <w:i/>
          <w:sz w:val="24"/>
          <w:szCs w:val="24"/>
        </w:rPr>
        <w:t>a device, program or data for committing a cyber-related crime (or possessing such a device, program or data for the purpose of making it available to another)</w:t>
      </w:r>
      <w:r w:rsidRPr="00581C3B">
        <w:rPr>
          <w:rFonts w:eastAsia="DengXian" w:cs="Arial"/>
          <w:i/>
          <w:sz w:val="24"/>
          <w:szCs w:val="24"/>
        </w:rPr>
        <w:t>, an offender should be liable to the following maximum sentences:</w:t>
      </w:r>
    </w:p>
    <w:p w14:paraId="2AAE7D13" w14:textId="74947460" w:rsidR="00D27A4A" w:rsidRPr="00581C3B" w:rsidRDefault="00D27A4A" w:rsidP="00503B03">
      <w:pPr>
        <w:pStyle w:val="ListParagraph"/>
        <w:numPr>
          <w:ilvl w:val="0"/>
          <w:numId w:val="57"/>
        </w:numPr>
        <w:spacing w:beforeLines="100" w:before="240" w:afterLines="100" w:after="240"/>
        <w:ind w:left="2160" w:right="720"/>
        <w:contextualSpacing w:val="0"/>
        <w:rPr>
          <w:rFonts w:cs="Arial"/>
          <w:i/>
          <w:sz w:val="24"/>
          <w:szCs w:val="24"/>
        </w:rPr>
      </w:pPr>
      <w:r w:rsidRPr="00581C3B">
        <w:rPr>
          <w:rFonts w:eastAsia="DengXian" w:cs="Arial"/>
          <w:i/>
          <w:sz w:val="24"/>
          <w:szCs w:val="24"/>
        </w:rPr>
        <w:t>for the basic offence, imprisonment for two</w:t>
      </w:r>
      <w:r w:rsidR="00951426" w:rsidRPr="00581C3B">
        <w:rPr>
          <w:rFonts w:eastAsia="DengXian" w:cs="Arial"/>
          <w:i/>
          <w:sz w:val="24"/>
          <w:szCs w:val="24"/>
        </w:rPr>
        <w:t> </w:t>
      </w:r>
      <w:r w:rsidRPr="00581C3B">
        <w:rPr>
          <w:rFonts w:eastAsia="DengXian" w:cs="Arial"/>
          <w:i/>
          <w:sz w:val="24"/>
          <w:szCs w:val="24"/>
        </w:rPr>
        <w:t>years on summary conviction and seven</w:t>
      </w:r>
      <w:r w:rsidR="00A6071F">
        <w:rPr>
          <w:rFonts w:eastAsia="DengXian" w:cs="Arial"/>
          <w:i/>
          <w:sz w:val="24"/>
          <w:szCs w:val="24"/>
        </w:rPr>
        <w:t> </w:t>
      </w:r>
      <w:r w:rsidRPr="00581C3B">
        <w:rPr>
          <w:rFonts w:eastAsia="DengXian" w:cs="Arial"/>
          <w:i/>
          <w:sz w:val="24"/>
          <w:szCs w:val="24"/>
        </w:rPr>
        <w:t>years on conviction on indictment; or</w:t>
      </w:r>
    </w:p>
    <w:p w14:paraId="18245DCB" w14:textId="45EA0674" w:rsidR="00D27A4A" w:rsidRPr="00581C3B" w:rsidRDefault="00D27A4A" w:rsidP="00A6071F">
      <w:pPr>
        <w:pStyle w:val="ListParagraph"/>
        <w:numPr>
          <w:ilvl w:val="0"/>
          <w:numId w:val="57"/>
        </w:numPr>
        <w:spacing w:beforeLines="50" w:before="120" w:afterLines="100" w:after="240"/>
        <w:ind w:left="2160" w:right="720"/>
        <w:contextualSpacing w:val="0"/>
        <w:rPr>
          <w:rFonts w:cs="Arial"/>
          <w:i/>
          <w:sz w:val="24"/>
          <w:szCs w:val="24"/>
        </w:rPr>
      </w:pPr>
      <w:r w:rsidRPr="00581C3B">
        <w:rPr>
          <w:rFonts w:eastAsia="DengXian" w:cs="Arial"/>
          <w:i/>
          <w:sz w:val="24"/>
          <w:szCs w:val="24"/>
        </w:rPr>
        <w:t>for the aggravated offence, imprisonment for 14</w:t>
      </w:r>
      <w:r w:rsidR="00951426" w:rsidRPr="00581C3B">
        <w:rPr>
          <w:rFonts w:eastAsia="DengXian" w:cs="Arial"/>
          <w:i/>
          <w:sz w:val="24"/>
          <w:szCs w:val="24"/>
        </w:rPr>
        <w:t> </w:t>
      </w:r>
      <w:r w:rsidRPr="00581C3B">
        <w:rPr>
          <w:rFonts w:eastAsia="DengXian" w:cs="Arial"/>
          <w:i/>
          <w:sz w:val="24"/>
          <w:szCs w:val="24"/>
        </w:rPr>
        <w:t>years on conviction on indictment.”</w:t>
      </w:r>
    </w:p>
    <w:p w14:paraId="12B6D8F1" w14:textId="5B86C697" w:rsidR="00D27A4A" w:rsidRPr="00D27A4A" w:rsidRDefault="00D27A4A" w:rsidP="002345F0">
      <w:pPr>
        <w:spacing w:after="100"/>
        <w:rPr>
          <w:rFonts w:cs="Arial"/>
          <w:sz w:val="18"/>
          <w:szCs w:val="18"/>
        </w:rPr>
      </w:pPr>
    </w:p>
    <w:sectPr w:rsidR="00D27A4A" w:rsidRPr="00D27A4A" w:rsidSect="00A83B37">
      <w:footerReference w:type="default" r:id="rId8"/>
      <w:footnotePr>
        <w:numRestart w:val="eachSect"/>
      </w:footnotePr>
      <w:pgSz w:w="11907" w:h="16840" w:code="9"/>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4D79" w14:textId="77777777" w:rsidR="000848F5" w:rsidRDefault="000848F5">
      <w:r>
        <w:separator/>
      </w:r>
    </w:p>
  </w:endnote>
  <w:endnote w:type="continuationSeparator" w:id="0">
    <w:p w14:paraId="58126956" w14:textId="77777777" w:rsidR="000848F5" w:rsidRDefault="0008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887285"/>
      <w:docPartObj>
        <w:docPartGallery w:val="Page Numbers (Bottom of Page)"/>
        <w:docPartUnique/>
      </w:docPartObj>
    </w:sdtPr>
    <w:sdtEndPr>
      <w:rPr>
        <w:noProof/>
        <w:sz w:val="24"/>
      </w:rPr>
    </w:sdtEndPr>
    <w:sdtContent>
      <w:p w14:paraId="79F27CB5" w14:textId="649F9FBB" w:rsidR="000848F5" w:rsidRPr="00093775" w:rsidRDefault="000848F5">
        <w:pPr>
          <w:pStyle w:val="Footer"/>
          <w:jc w:val="center"/>
          <w:rPr>
            <w:sz w:val="24"/>
          </w:rPr>
        </w:pPr>
        <w:r w:rsidRPr="00093775">
          <w:rPr>
            <w:sz w:val="24"/>
          </w:rPr>
          <w:fldChar w:fldCharType="begin"/>
        </w:r>
        <w:r w:rsidRPr="00093775">
          <w:rPr>
            <w:sz w:val="24"/>
          </w:rPr>
          <w:instrText xml:space="preserve"> PAGE   \* MERGEFORMAT </w:instrText>
        </w:r>
        <w:r w:rsidRPr="00093775">
          <w:rPr>
            <w:sz w:val="24"/>
          </w:rPr>
          <w:fldChar w:fldCharType="separate"/>
        </w:r>
        <w:r w:rsidR="00B36948">
          <w:rPr>
            <w:noProof/>
            <w:sz w:val="24"/>
          </w:rPr>
          <w:t>9</w:t>
        </w:r>
        <w:r w:rsidRPr="00093775">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A429" w14:textId="77777777" w:rsidR="000848F5" w:rsidRDefault="000848F5">
      <w:r>
        <w:separator/>
      </w:r>
    </w:p>
  </w:footnote>
  <w:footnote w:type="continuationSeparator" w:id="0">
    <w:p w14:paraId="44FA23E7" w14:textId="77777777" w:rsidR="000848F5" w:rsidRDefault="000848F5">
      <w:r>
        <w:continuationSeparator/>
      </w:r>
    </w:p>
  </w:footnote>
  <w:footnote w:id="1">
    <w:p w14:paraId="64557279" w14:textId="3DB8B188" w:rsidR="000848F5" w:rsidRPr="008A2891" w:rsidRDefault="000848F5" w:rsidP="00F83688">
      <w:pPr>
        <w:pStyle w:val="FootnoteText"/>
      </w:pPr>
      <w:r w:rsidRPr="008A2891">
        <w:rPr>
          <w:rStyle w:val="FootnoteReference"/>
        </w:rPr>
        <w:footnoteRef/>
      </w:r>
      <w:r w:rsidRPr="008A2891">
        <w:t xml:space="preserve"> </w:t>
      </w:r>
      <w:r w:rsidRPr="008A2891">
        <w:tab/>
      </w:r>
      <w:r>
        <w:t xml:space="preserve">Given the breadth of the Sub-committee’s Terms of Reference, our study is divided into three phases.  Part Two of the study will, subject to further discussion on its scope, cover cyber-enabled crimes.  Part Three will deal with </w:t>
      </w:r>
      <w:r w:rsidRPr="00EE4272">
        <w:t>evidentiary issues and enforcement (procedural) issues</w:t>
      </w:r>
      <w:r w:rsidRPr="000B0717">
        <w:rPr>
          <w:rFonts w:hint="eastAsia"/>
        </w:rPr>
        <w:t>.</w:t>
      </w:r>
    </w:p>
  </w:footnote>
  <w:footnote w:id="2">
    <w:p w14:paraId="4B8B4931" w14:textId="70E6C3FA" w:rsidR="000848F5" w:rsidRPr="00ED58B5" w:rsidRDefault="000848F5" w:rsidP="00F83688">
      <w:pPr>
        <w:pStyle w:val="FootnoteText"/>
        <w:rPr>
          <w:color w:val="00B050"/>
        </w:rPr>
      </w:pPr>
      <w:r w:rsidRPr="008A2891">
        <w:rPr>
          <w:rStyle w:val="FootnoteReference"/>
        </w:rPr>
        <w:footnoteRef/>
      </w:r>
      <w:r>
        <w:t xml:space="preserve"> </w:t>
      </w:r>
      <w:r>
        <w:tab/>
        <w:t xml:space="preserve">Other categories of offences tackled by the Convention are computer-related offences (including computer-related forgery and fraud), content-related offences (including </w:t>
      </w:r>
      <w:r w:rsidRPr="00406F17">
        <w:t>offences related to child pornography, and dissemination of racist and xenophobic material through computer systems)</w:t>
      </w:r>
      <w:r>
        <w:t xml:space="preserve"> and offences relating to infringement of copyright and related rights.</w:t>
      </w:r>
    </w:p>
  </w:footnote>
  <w:footnote w:id="3">
    <w:p w14:paraId="693536B5" w14:textId="34E5EBE4" w:rsidR="000848F5" w:rsidRPr="00ED58B5" w:rsidRDefault="000848F5" w:rsidP="00F83688">
      <w:pPr>
        <w:pStyle w:val="FootnoteText"/>
        <w:rPr>
          <w:color w:val="00B050"/>
        </w:rPr>
      </w:pPr>
      <w:r w:rsidRPr="008A2891">
        <w:rPr>
          <w:rStyle w:val="FootnoteReference"/>
        </w:rPr>
        <w:footnoteRef/>
      </w:r>
      <w:r>
        <w:t xml:space="preserve"> </w:t>
      </w:r>
      <w:r>
        <w:tab/>
        <w:t>Paras 2.18 to 2.24 of the Report.</w:t>
      </w:r>
    </w:p>
  </w:footnote>
  <w:footnote w:id="4">
    <w:p w14:paraId="544725C1" w14:textId="44B3FD38" w:rsidR="000848F5" w:rsidRPr="00ED58B5" w:rsidRDefault="000848F5" w:rsidP="00C33D09">
      <w:pPr>
        <w:pStyle w:val="FootnoteText"/>
        <w:rPr>
          <w:color w:val="00B050"/>
        </w:rPr>
      </w:pPr>
      <w:r w:rsidRPr="008A2891">
        <w:rPr>
          <w:rStyle w:val="FootnoteReference"/>
        </w:rPr>
        <w:footnoteRef/>
      </w:r>
      <w:r>
        <w:t xml:space="preserve"> </w:t>
      </w:r>
      <w:r>
        <w:tab/>
        <w:t>Paras 2.25 and 2.26 of the Report.</w:t>
      </w:r>
    </w:p>
  </w:footnote>
  <w:footnote w:id="5">
    <w:p w14:paraId="2CE05FD5" w14:textId="1327C3A2" w:rsidR="000848F5" w:rsidRPr="00ED58B5" w:rsidRDefault="000848F5" w:rsidP="00F83688">
      <w:pPr>
        <w:pStyle w:val="FootnoteText"/>
        <w:rPr>
          <w:color w:val="00B050"/>
        </w:rPr>
      </w:pPr>
      <w:r w:rsidRPr="008A2891">
        <w:rPr>
          <w:rStyle w:val="FootnoteReference"/>
        </w:rPr>
        <w:footnoteRef/>
      </w:r>
      <w:r>
        <w:t xml:space="preserve"> </w:t>
      </w:r>
      <w:r>
        <w:tab/>
        <w:t>Please see the illustrations in paras 2.23 and 2.24 of the Report.</w:t>
      </w:r>
    </w:p>
  </w:footnote>
  <w:footnote w:id="6">
    <w:p w14:paraId="0749005A" w14:textId="51163EBF" w:rsidR="000848F5" w:rsidRPr="00ED58B5" w:rsidRDefault="000848F5" w:rsidP="00F83688">
      <w:pPr>
        <w:pStyle w:val="FootnoteText"/>
        <w:rPr>
          <w:color w:val="00B050"/>
        </w:rPr>
      </w:pPr>
      <w:r w:rsidRPr="008A2891">
        <w:rPr>
          <w:rStyle w:val="FootnoteReference"/>
        </w:rPr>
        <w:footnoteRef/>
      </w:r>
      <w:r>
        <w:t xml:space="preserve"> </w:t>
      </w:r>
      <w:r>
        <w:tab/>
        <w:t>Paras 2.25 to 2.31 of the Report.</w:t>
      </w:r>
    </w:p>
  </w:footnote>
  <w:footnote w:id="7">
    <w:p w14:paraId="7009137A" w14:textId="77777777" w:rsidR="000848F5" w:rsidRPr="007113FB" w:rsidRDefault="000848F5" w:rsidP="00F83688">
      <w:pPr>
        <w:pStyle w:val="FootnoteText"/>
      </w:pPr>
      <w:r w:rsidRPr="007113FB">
        <w:rPr>
          <w:rStyle w:val="FootnoteReference"/>
        </w:rPr>
        <w:footnoteRef/>
      </w:r>
      <w:r w:rsidRPr="007113FB">
        <w:t xml:space="preserve"> </w:t>
      </w:r>
      <w:r w:rsidRPr="007113FB">
        <w:tab/>
      </w:r>
      <w:r>
        <w:t>A</w:t>
      </w:r>
      <w:r w:rsidRPr="007113FB">
        <w:t>t para</w:t>
      </w:r>
      <w:r>
        <w:t>s 2.4, 2.5, 2.96 to 2.101</w:t>
      </w:r>
      <w:r w:rsidRPr="007113FB">
        <w:t>.</w:t>
      </w:r>
    </w:p>
  </w:footnote>
  <w:footnote w:id="8">
    <w:p w14:paraId="1D860C7E" w14:textId="19B27738" w:rsidR="000848F5" w:rsidRPr="00ED58B5" w:rsidRDefault="000848F5" w:rsidP="00F83688">
      <w:pPr>
        <w:pStyle w:val="FootnoteText"/>
        <w:rPr>
          <w:color w:val="00B050"/>
        </w:rPr>
      </w:pPr>
      <w:r w:rsidRPr="008A2891">
        <w:rPr>
          <w:rStyle w:val="FootnoteReference"/>
        </w:rPr>
        <w:footnoteRef/>
      </w:r>
      <w:r>
        <w:t xml:space="preserve"> </w:t>
      </w:r>
      <w:r>
        <w:tab/>
        <w:t>Paras 2.32 to 2.34 of the Report.</w:t>
      </w:r>
    </w:p>
  </w:footnote>
  <w:footnote w:id="9">
    <w:p w14:paraId="22A3063D" w14:textId="3879456A" w:rsidR="000848F5" w:rsidRPr="00ED58B5" w:rsidRDefault="000848F5" w:rsidP="00F83688">
      <w:pPr>
        <w:pStyle w:val="FootnoteText"/>
        <w:rPr>
          <w:color w:val="00B050"/>
        </w:rPr>
      </w:pPr>
      <w:r w:rsidRPr="008A2891">
        <w:rPr>
          <w:rStyle w:val="FootnoteReference"/>
        </w:rPr>
        <w:footnoteRef/>
      </w:r>
      <w:r>
        <w:t xml:space="preserve"> </w:t>
      </w:r>
      <w:r>
        <w:tab/>
        <w:t xml:space="preserve">See paras </w:t>
      </w:r>
      <w:r w:rsidRPr="002E7C97">
        <w:t>18 to 3</w:t>
      </w:r>
      <w:r>
        <w:t>3</w:t>
      </w:r>
      <w:r w:rsidRPr="002E7C97">
        <w:t xml:space="preserve"> of this</w:t>
      </w:r>
      <w:r>
        <w:t xml:space="preserve"> Summary.</w:t>
      </w:r>
    </w:p>
  </w:footnote>
  <w:footnote w:id="10">
    <w:p w14:paraId="0D58DAAF" w14:textId="16466688" w:rsidR="000848F5" w:rsidRPr="00ED58B5" w:rsidRDefault="000848F5" w:rsidP="00F83688">
      <w:pPr>
        <w:pStyle w:val="FootnoteText"/>
        <w:rPr>
          <w:color w:val="00B050"/>
        </w:rPr>
      </w:pPr>
      <w:r w:rsidRPr="008A2891">
        <w:rPr>
          <w:rStyle w:val="FootnoteReference"/>
        </w:rPr>
        <w:footnoteRef/>
      </w:r>
      <w:r>
        <w:t xml:space="preserve"> </w:t>
      </w:r>
      <w:r>
        <w:tab/>
        <w:t>Paras 2.35 to 2.37 of the Report.</w:t>
      </w:r>
    </w:p>
  </w:footnote>
  <w:footnote w:id="11">
    <w:p w14:paraId="1DEE43C4" w14:textId="5563172C" w:rsidR="000848F5" w:rsidRPr="00ED58B5" w:rsidRDefault="000848F5" w:rsidP="00FE02D6">
      <w:pPr>
        <w:pStyle w:val="FootnoteText"/>
        <w:rPr>
          <w:color w:val="00B050"/>
        </w:rPr>
      </w:pPr>
      <w:r w:rsidRPr="008A2891">
        <w:rPr>
          <w:rStyle w:val="FootnoteReference"/>
        </w:rPr>
        <w:footnoteRef/>
      </w:r>
      <w:r>
        <w:t xml:space="preserve"> </w:t>
      </w:r>
      <w:r>
        <w:tab/>
        <w:t>[2020] 2 HKLRD 529, CACV 270/2017 (date of judgment: 2</w:t>
      </w:r>
      <w:r w:rsidR="00AC3A68">
        <w:t> </w:t>
      </w:r>
      <w:r>
        <w:t>April</w:t>
      </w:r>
      <w:r w:rsidR="00AC3A68">
        <w:t> </w:t>
      </w:r>
      <w:r>
        <w:t>2020).</w:t>
      </w:r>
    </w:p>
  </w:footnote>
  <w:footnote w:id="12">
    <w:p w14:paraId="56C1728B" w14:textId="14D2A4E2" w:rsidR="000848F5" w:rsidRPr="00ED58B5" w:rsidRDefault="000848F5" w:rsidP="00F83688">
      <w:pPr>
        <w:pStyle w:val="FootnoteText"/>
        <w:rPr>
          <w:color w:val="00B050"/>
        </w:rPr>
      </w:pPr>
      <w:r w:rsidRPr="008A2891">
        <w:rPr>
          <w:rStyle w:val="FootnoteReference"/>
        </w:rPr>
        <w:footnoteRef/>
      </w:r>
      <w:r>
        <w:t xml:space="preserve"> </w:t>
      </w:r>
      <w:r>
        <w:tab/>
        <w:t>Paras 2.63 to 2.74 of the Report.</w:t>
      </w:r>
    </w:p>
  </w:footnote>
  <w:footnote w:id="13">
    <w:p w14:paraId="3ADF1A4B" w14:textId="5C9AC383" w:rsidR="000848F5" w:rsidRPr="00ED58B5" w:rsidRDefault="000848F5" w:rsidP="00F83688">
      <w:pPr>
        <w:pStyle w:val="FootnoteText"/>
        <w:rPr>
          <w:color w:val="00B050"/>
        </w:rPr>
      </w:pPr>
      <w:r w:rsidRPr="008A2891">
        <w:rPr>
          <w:rStyle w:val="FootnoteReference"/>
        </w:rPr>
        <w:footnoteRef/>
      </w:r>
      <w:r>
        <w:t xml:space="preserve"> </w:t>
      </w:r>
      <w:r>
        <w:tab/>
        <w:t>To facilitate the Government’s consideration of the accreditation regime, we have set out our observations on the proposal of accreditation and its potential implications in paras 2.67 to 2.70 of the Report.</w:t>
      </w:r>
    </w:p>
  </w:footnote>
  <w:footnote w:id="14">
    <w:p w14:paraId="048DBF06" w14:textId="1F68B945" w:rsidR="000848F5" w:rsidRPr="00ED58B5" w:rsidRDefault="000848F5" w:rsidP="00F83688">
      <w:pPr>
        <w:pStyle w:val="FootnoteText"/>
        <w:rPr>
          <w:color w:val="00B050"/>
        </w:rPr>
      </w:pPr>
      <w:r w:rsidRPr="008A2891">
        <w:rPr>
          <w:rStyle w:val="FootnoteReference"/>
        </w:rPr>
        <w:footnoteRef/>
      </w:r>
      <w:r>
        <w:t xml:space="preserve"> </w:t>
      </w:r>
      <w:r>
        <w:tab/>
        <w:t>Paras 2.75 to 2.91 of the Report.</w:t>
      </w:r>
    </w:p>
  </w:footnote>
  <w:footnote w:id="15">
    <w:p w14:paraId="4BCCF481" w14:textId="5F68A20E" w:rsidR="000848F5" w:rsidRPr="007113FB" w:rsidRDefault="000848F5" w:rsidP="00F83688">
      <w:pPr>
        <w:pStyle w:val="FootnoteText"/>
      </w:pPr>
      <w:r w:rsidRPr="007113FB">
        <w:rPr>
          <w:rStyle w:val="FootnoteReference"/>
        </w:rPr>
        <w:footnoteRef/>
      </w:r>
      <w:r w:rsidRPr="007113FB">
        <w:t xml:space="preserve"> </w:t>
      </w:r>
      <w:r w:rsidRPr="007113FB">
        <w:tab/>
      </w:r>
      <w:r>
        <w:t>A</w:t>
      </w:r>
      <w:r w:rsidRPr="007113FB">
        <w:t>t p</w:t>
      </w:r>
      <w:r w:rsidRPr="00DD55C2">
        <w:t>aras 2.8</w:t>
      </w:r>
      <w:r>
        <w:t>5</w:t>
      </w:r>
      <w:r w:rsidRPr="00DD55C2">
        <w:t xml:space="preserve"> to 2.8</w:t>
      </w:r>
      <w:r>
        <w:t>7</w:t>
      </w:r>
      <w:r w:rsidRPr="00DD55C2">
        <w:t>.</w:t>
      </w:r>
    </w:p>
  </w:footnote>
  <w:footnote w:id="16">
    <w:p w14:paraId="4C358347" w14:textId="3F28E734" w:rsidR="000848F5" w:rsidRDefault="000848F5" w:rsidP="004469C1">
      <w:pPr>
        <w:pStyle w:val="FootnoteText"/>
      </w:pPr>
      <w:r>
        <w:rPr>
          <w:rStyle w:val="FootnoteReference"/>
        </w:rPr>
        <w:footnoteRef/>
      </w:r>
      <w:r>
        <w:t xml:space="preserve"> </w:t>
      </w:r>
      <w:r>
        <w:tab/>
        <w:t>Under s</w:t>
      </w:r>
      <w:r w:rsidR="00AC3A68">
        <w:t> </w:t>
      </w:r>
      <w:r>
        <w:t>2 of the Mental Health Ordinance (“</w:t>
      </w:r>
      <w:r w:rsidRPr="00B86BA8">
        <w:rPr>
          <w:b/>
        </w:rPr>
        <w:t>MHO</w:t>
      </w:r>
      <w:r>
        <w:t>”), a “</w:t>
      </w:r>
      <w:r w:rsidRPr="0061140C">
        <w:rPr>
          <w:i/>
        </w:rPr>
        <w:t>mentally disordered person</w:t>
      </w:r>
      <w:r>
        <w:t xml:space="preserve">” means </w:t>
      </w:r>
      <w:r w:rsidRPr="00C143B7">
        <w:t>“</w:t>
      </w:r>
      <w:r w:rsidRPr="00C143B7">
        <w:rPr>
          <w:i/>
        </w:rPr>
        <w:t>a person suffering from mental disorder</w:t>
      </w:r>
      <w:r>
        <w:t>”.</w:t>
      </w:r>
    </w:p>
  </w:footnote>
  <w:footnote w:id="17">
    <w:p w14:paraId="3BFA2438" w14:textId="7D143401" w:rsidR="000848F5" w:rsidRDefault="000848F5" w:rsidP="004469C1">
      <w:pPr>
        <w:pStyle w:val="FootnoteText"/>
      </w:pPr>
      <w:r>
        <w:rPr>
          <w:rStyle w:val="FootnoteReference"/>
        </w:rPr>
        <w:footnoteRef/>
      </w:r>
      <w:r>
        <w:t xml:space="preserve"> </w:t>
      </w:r>
      <w:r>
        <w:tab/>
        <w:t>Under s</w:t>
      </w:r>
      <w:r w:rsidR="00AC3A68">
        <w:t> </w:t>
      </w:r>
      <w:r>
        <w:t>2 of the MHO, a “</w:t>
      </w:r>
      <w:r w:rsidRPr="000E179B">
        <w:rPr>
          <w:i/>
        </w:rPr>
        <w:t>mentally handicapped person</w:t>
      </w:r>
      <w:r>
        <w:t xml:space="preserve">” means </w:t>
      </w:r>
      <w:r w:rsidRPr="00C143B7">
        <w:t>“</w:t>
      </w:r>
      <w:r w:rsidRPr="000E179B">
        <w:rPr>
          <w:i/>
        </w:rPr>
        <w:t>a person who is or appears to be mentally handicapped</w:t>
      </w:r>
      <w:r>
        <w:t>”.</w:t>
      </w:r>
    </w:p>
  </w:footnote>
  <w:footnote w:id="18">
    <w:p w14:paraId="31C10D97" w14:textId="2EC14C78" w:rsidR="000848F5" w:rsidRPr="00ED58B5" w:rsidRDefault="000848F5" w:rsidP="00F83688">
      <w:pPr>
        <w:pStyle w:val="FootnoteText"/>
        <w:rPr>
          <w:color w:val="00B050"/>
        </w:rPr>
      </w:pPr>
      <w:r w:rsidRPr="008A2891">
        <w:rPr>
          <w:rStyle w:val="FootnoteReference"/>
        </w:rPr>
        <w:footnoteRef/>
      </w:r>
      <w:r>
        <w:t xml:space="preserve"> </w:t>
      </w:r>
      <w:r>
        <w:tab/>
        <w:t>Paras 2.92 to 2.94 of the Report.</w:t>
      </w:r>
    </w:p>
  </w:footnote>
  <w:footnote w:id="19">
    <w:p w14:paraId="18458EE2" w14:textId="0FFA7898" w:rsidR="000848F5" w:rsidRPr="007113FB" w:rsidRDefault="000848F5" w:rsidP="00F83688">
      <w:pPr>
        <w:pStyle w:val="FootnoteText"/>
      </w:pPr>
      <w:r w:rsidRPr="007113FB">
        <w:rPr>
          <w:rStyle w:val="FootnoteReference"/>
        </w:rPr>
        <w:footnoteRef/>
      </w:r>
      <w:r w:rsidRPr="007113FB">
        <w:t xml:space="preserve"> </w:t>
      </w:r>
      <w:r w:rsidRPr="007113FB">
        <w:tab/>
      </w:r>
      <w:r w:rsidRPr="00E87BCB">
        <w:t>Eg a researcher or cybersecurity practitioner ascertaining the number of unprotected computers in Hong Kong</w:t>
      </w:r>
      <w:r w:rsidRPr="007113FB">
        <w:t>.</w:t>
      </w:r>
    </w:p>
  </w:footnote>
  <w:footnote w:id="20">
    <w:p w14:paraId="07AD7934" w14:textId="5318A192" w:rsidR="000848F5" w:rsidRPr="007113FB" w:rsidRDefault="000848F5" w:rsidP="00F83688">
      <w:pPr>
        <w:pStyle w:val="FootnoteText"/>
      </w:pPr>
      <w:r w:rsidRPr="007113FB">
        <w:rPr>
          <w:rStyle w:val="FootnoteReference"/>
        </w:rPr>
        <w:footnoteRef/>
      </w:r>
      <w:r w:rsidRPr="007113FB">
        <w:t xml:space="preserve"> </w:t>
      </w:r>
      <w:r w:rsidRPr="007113FB">
        <w:tab/>
      </w:r>
      <w:r w:rsidRPr="00E87BCB">
        <w:t>Prevention of Child Pornography Ordinance (Cap 579)</w:t>
      </w:r>
      <w:r>
        <w:t>, ss 4(2)(a) and (3)(a)</w:t>
      </w:r>
      <w:r w:rsidRPr="007113FB">
        <w:t>.</w:t>
      </w:r>
    </w:p>
  </w:footnote>
  <w:footnote w:id="21">
    <w:p w14:paraId="66595B75" w14:textId="256B3C8B" w:rsidR="000848F5" w:rsidRPr="00ED58B5" w:rsidRDefault="000848F5" w:rsidP="00F83688">
      <w:pPr>
        <w:pStyle w:val="FootnoteText"/>
        <w:rPr>
          <w:color w:val="00B050"/>
        </w:rPr>
      </w:pPr>
      <w:r w:rsidRPr="008A2891">
        <w:rPr>
          <w:rStyle w:val="FootnoteReference"/>
        </w:rPr>
        <w:footnoteRef/>
      </w:r>
      <w:r>
        <w:t xml:space="preserve"> </w:t>
      </w:r>
      <w:r>
        <w:tab/>
        <w:t>Paras 2.95 to 2.102 of the Report.</w:t>
      </w:r>
    </w:p>
  </w:footnote>
  <w:footnote w:id="22">
    <w:p w14:paraId="4216906D" w14:textId="3B7EDA04" w:rsidR="000848F5" w:rsidRDefault="000848F5" w:rsidP="00F83688">
      <w:pPr>
        <w:pStyle w:val="FootnoteText"/>
      </w:pPr>
      <w:r w:rsidRPr="007113FB">
        <w:rPr>
          <w:rStyle w:val="FootnoteReference"/>
        </w:rPr>
        <w:footnoteRef/>
      </w:r>
      <w:r w:rsidRPr="007113FB">
        <w:t xml:space="preserve"> </w:t>
      </w:r>
      <w:r w:rsidRPr="007113FB">
        <w:tab/>
      </w:r>
      <w:r>
        <w:t>Under s</w:t>
      </w:r>
      <w:r w:rsidR="00A6071F">
        <w:t> </w:t>
      </w:r>
      <w:r>
        <w:t>64(2) of the Crimes Ordinance (Cap 200) (“</w:t>
      </w:r>
      <w:r w:rsidRPr="00F133D1">
        <w:rPr>
          <w:b/>
        </w:rPr>
        <w:t>CO</w:t>
      </w:r>
      <w:r>
        <w:t>”), a defendant charged with criminal damage is treated as a having a lawful excuse:</w:t>
      </w:r>
    </w:p>
    <w:p w14:paraId="050F577C" w14:textId="52B43DBD" w:rsidR="000848F5" w:rsidRPr="00F133D1" w:rsidRDefault="000848F5" w:rsidP="001413A1">
      <w:pPr>
        <w:pStyle w:val="FootnoteText"/>
        <w:numPr>
          <w:ilvl w:val="0"/>
          <w:numId w:val="62"/>
        </w:numPr>
        <w:ind w:left="714" w:hanging="357"/>
      </w:pPr>
      <w:r>
        <w:t>if, at the time of the act(s) alleged to constitute the offence, the defen</w:t>
      </w:r>
      <w:r w:rsidRPr="00E433EE">
        <w:t>dant believed that the person(s) whom the defendant believed to be entitled to consent to the destruction of or damage to the property had so consented, or would have so consented to i</w:t>
      </w:r>
      <w:r>
        <w:t>t if the person(s) had known of the destruction or damage and its circumstances (“</w:t>
      </w:r>
      <w:r w:rsidRPr="00E433EE">
        <w:rPr>
          <w:b/>
        </w:rPr>
        <w:t>consent</w:t>
      </w:r>
      <w:r>
        <w:t xml:space="preserve"> </w:t>
      </w:r>
      <w:r w:rsidRPr="00E433EE">
        <w:rPr>
          <w:b/>
        </w:rPr>
        <w:t>defence</w:t>
      </w:r>
      <w:r>
        <w:t>”); or</w:t>
      </w:r>
    </w:p>
    <w:p w14:paraId="4DA8A569" w14:textId="0F0CFC17" w:rsidR="000848F5" w:rsidRPr="00F133D1" w:rsidRDefault="000848F5" w:rsidP="001413A1">
      <w:pPr>
        <w:pStyle w:val="FootnoteText"/>
        <w:numPr>
          <w:ilvl w:val="0"/>
          <w:numId w:val="62"/>
        </w:numPr>
        <w:ind w:left="714" w:hanging="357"/>
      </w:pPr>
      <w:r>
        <w:t xml:space="preserve">if the defendant destroyed or damaged, or threatened to destroy or damage the property, </w:t>
      </w:r>
      <w:r w:rsidRPr="00E433EE">
        <w:t xml:space="preserve">or in the case of a charge under </w:t>
      </w:r>
      <w:r w:rsidR="00A6071F">
        <w:t>s </w:t>
      </w:r>
      <w:r w:rsidRPr="00E433EE">
        <w:t>62, intended to use or cause or permit the use of something to destroy or damage the property, in order to protect property (whether belonging to himself or anot</w:t>
      </w:r>
      <w:r>
        <w:t>he</w:t>
      </w:r>
      <w:r w:rsidRPr="00E433EE">
        <w:t>r), and at the time of the act(s) alleged to constitute the offence, the defendant believed—</w:t>
      </w:r>
    </w:p>
    <w:p w14:paraId="3660AD93" w14:textId="57039B3E" w:rsidR="000848F5" w:rsidRPr="00F133D1" w:rsidRDefault="000848F5" w:rsidP="001413A1">
      <w:pPr>
        <w:pStyle w:val="FootnoteText"/>
        <w:numPr>
          <w:ilvl w:val="0"/>
          <w:numId w:val="63"/>
        </w:numPr>
        <w:ind w:left="1077" w:hanging="357"/>
      </w:pPr>
      <w:r>
        <w:t>that th</w:t>
      </w:r>
      <w:r w:rsidRPr="00E433EE">
        <w:t>e property was in immediate need of protection; and</w:t>
      </w:r>
    </w:p>
    <w:p w14:paraId="7E57B7DC" w14:textId="31FC0876" w:rsidR="000848F5" w:rsidRPr="007113FB" w:rsidRDefault="000848F5" w:rsidP="001413A1">
      <w:pPr>
        <w:pStyle w:val="FootnoteText"/>
        <w:numPr>
          <w:ilvl w:val="0"/>
          <w:numId w:val="63"/>
        </w:numPr>
        <w:ind w:left="1077" w:hanging="357"/>
      </w:pPr>
      <w:r w:rsidRPr="00E433EE">
        <w:t>that the means of protection adopted or proposed to be adopted were or would be reasonable having regard to all the circumstances</w:t>
      </w:r>
      <w:r>
        <w:t xml:space="preserve"> (“</w:t>
      </w:r>
      <w:r>
        <w:rPr>
          <w:b/>
        </w:rPr>
        <w:t>property protection</w:t>
      </w:r>
      <w:r>
        <w:t xml:space="preserve"> </w:t>
      </w:r>
      <w:r w:rsidRPr="00E433EE">
        <w:rPr>
          <w:b/>
        </w:rPr>
        <w:t>defence</w:t>
      </w:r>
      <w:r>
        <w:t>”)</w:t>
      </w:r>
      <w:r w:rsidRPr="007113FB">
        <w:t>.</w:t>
      </w:r>
    </w:p>
  </w:footnote>
  <w:footnote w:id="23">
    <w:p w14:paraId="627C5D96" w14:textId="45E76F94" w:rsidR="000848F5" w:rsidRPr="007113FB" w:rsidRDefault="000848F5" w:rsidP="00F83688">
      <w:pPr>
        <w:pStyle w:val="FootnoteText"/>
      </w:pPr>
      <w:r w:rsidRPr="007113FB">
        <w:rPr>
          <w:rStyle w:val="FootnoteReference"/>
        </w:rPr>
        <w:footnoteRef/>
      </w:r>
      <w:r w:rsidRPr="007113FB">
        <w:t xml:space="preserve"> </w:t>
      </w:r>
      <w:r w:rsidRPr="007113FB">
        <w:tab/>
      </w:r>
      <w:r>
        <w:t xml:space="preserve">See paras </w:t>
      </w:r>
      <w:r w:rsidRPr="00E163B6">
        <w:t>6</w:t>
      </w:r>
      <w:r>
        <w:t>2</w:t>
      </w:r>
      <w:r w:rsidRPr="00E163B6">
        <w:t xml:space="preserve"> to 6</w:t>
      </w:r>
      <w:r>
        <w:t>4</w:t>
      </w:r>
      <w:r w:rsidRPr="00E163B6">
        <w:t xml:space="preserve"> o</w:t>
      </w:r>
      <w:r>
        <w:t>f this Summary</w:t>
      </w:r>
      <w:r w:rsidRPr="00DD55C2">
        <w:t>.</w:t>
      </w:r>
    </w:p>
  </w:footnote>
  <w:footnote w:id="24">
    <w:p w14:paraId="1E9779DF" w14:textId="3BA1D1B2" w:rsidR="000848F5" w:rsidRPr="00ED58B5" w:rsidRDefault="000848F5" w:rsidP="00F83688">
      <w:pPr>
        <w:pStyle w:val="FootnoteText"/>
        <w:rPr>
          <w:color w:val="00B050"/>
        </w:rPr>
      </w:pPr>
      <w:r w:rsidRPr="008A2891">
        <w:rPr>
          <w:rStyle w:val="FootnoteReference"/>
        </w:rPr>
        <w:footnoteRef/>
      </w:r>
      <w:r>
        <w:t xml:space="preserve"> </w:t>
      </w:r>
      <w:r>
        <w:tab/>
        <w:t>Paras 2.106 to 2.110 of the Report.</w:t>
      </w:r>
    </w:p>
  </w:footnote>
  <w:footnote w:id="25">
    <w:p w14:paraId="5768EAA8" w14:textId="0570B907" w:rsidR="000848F5" w:rsidRPr="007113FB" w:rsidRDefault="000848F5" w:rsidP="00F83688">
      <w:pPr>
        <w:pStyle w:val="FootnoteText"/>
      </w:pPr>
      <w:r w:rsidRPr="00514083">
        <w:rPr>
          <w:rStyle w:val="FootnoteReference"/>
        </w:rPr>
        <w:footnoteRef/>
      </w:r>
      <w:r w:rsidRPr="007113FB">
        <w:tab/>
      </w:r>
      <w:r w:rsidRPr="007E0FAF">
        <w:t>A</w:t>
      </w:r>
      <w:r>
        <w:t>s explained in the CP, a</w:t>
      </w:r>
      <w:r w:rsidRPr="007E0FAF">
        <w:t xml:space="preserve"> victim may only report a cybercrime case to the Police two or three</w:t>
      </w:r>
      <w:r w:rsidR="00A6071F">
        <w:t> </w:t>
      </w:r>
      <w:r w:rsidRPr="007E0FAF">
        <w:t>months after it occurs or, worse still, by the time when an incident is discovered, six</w:t>
      </w:r>
      <w:r w:rsidR="00A6071F">
        <w:t> </w:t>
      </w:r>
      <w:r w:rsidRPr="007E0FAF">
        <w:t>months have already lapsed.  The Police may need a few months to obtain log records from an internet service provider</w:t>
      </w:r>
      <w:r>
        <w:t xml:space="preserve"> (“</w:t>
      </w:r>
      <w:r w:rsidRPr="00623F46">
        <w:rPr>
          <w:b/>
        </w:rPr>
        <w:t>ISP</w:t>
      </w:r>
      <w:r>
        <w:t>”).</w:t>
      </w:r>
      <w:r w:rsidRPr="007E0FAF">
        <w:t xml:space="preserve">  Analysis of the log records may require a few more months.  Further time to reach a prosecutorial decision must be factored in</w:t>
      </w:r>
      <w:r w:rsidRPr="007113FB">
        <w:t>.</w:t>
      </w:r>
    </w:p>
  </w:footnote>
  <w:footnote w:id="26">
    <w:p w14:paraId="34B8E2E4" w14:textId="01CE5EAD" w:rsidR="000848F5" w:rsidRPr="00ED58B5" w:rsidRDefault="000848F5" w:rsidP="00F83688">
      <w:pPr>
        <w:pStyle w:val="FootnoteText"/>
        <w:rPr>
          <w:color w:val="00B050"/>
        </w:rPr>
      </w:pPr>
      <w:r w:rsidRPr="008A2891">
        <w:rPr>
          <w:rStyle w:val="FootnoteReference"/>
        </w:rPr>
        <w:footnoteRef/>
      </w:r>
      <w:r>
        <w:t xml:space="preserve"> </w:t>
      </w:r>
      <w:r>
        <w:tab/>
        <w:t>Paras 3.30 to 3.36 of the Report.</w:t>
      </w:r>
    </w:p>
  </w:footnote>
  <w:footnote w:id="27">
    <w:p w14:paraId="4DB4FFA6" w14:textId="605C70C0" w:rsidR="000848F5" w:rsidRPr="007113FB" w:rsidRDefault="000848F5" w:rsidP="00F83688">
      <w:pPr>
        <w:pStyle w:val="FootnoteText"/>
      </w:pPr>
      <w:r w:rsidRPr="007113FB">
        <w:rPr>
          <w:rStyle w:val="FootnoteReference"/>
        </w:rPr>
        <w:footnoteRef/>
      </w:r>
      <w:r w:rsidRPr="007113FB">
        <w:t xml:space="preserve"> </w:t>
      </w:r>
      <w:r w:rsidRPr="007113FB">
        <w:tab/>
      </w:r>
      <w:r>
        <w:t>At para 3.97.</w:t>
      </w:r>
    </w:p>
  </w:footnote>
  <w:footnote w:id="28">
    <w:p w14:paraId="21C9A597" w14:textId="2FC74027" w:rsidR="000848F5" w:rsidRPr="007113FB" w:rsidRDefault="000848F5" w:rsidP="00F83688">
      <w:pPr>
        <w:pStyle w:val="FootnoteText"/>
      </w:pPr>
      <w:r w:rsidRPr="007113FB">
        <w:rPr>
          <w:rStyle w:val="FootnoteReference"/>
        </w:rPr>
        <w:footnoteRef/>
      </w:r>
      <w:r w:rsidRPr="007113FB">
        <w:t xml:space="preserve"> </w:t>
      </w:r>
      <w:r w:rsidRPr="007113FB">
        <w:tab/>
      </w:r>
      <w:r>
        <w:t>For examples given, see paras 3.34 and 3.35 of the Report.</w:t>
      </w:r>
    </w:p>
  </w:footnote>
  <w:footnote w:id="29">
    <w:p w14:paraId="34ADD412" w14:textId="795D3C9A" w:rsidR="000848F5" w:rsidRPr="00ED58B5" w:rsidRDefault="000848F5" w:rsidP="00F83688">
      <w:pPr>
        <w:pStyle w:val="FootnoteText"/>
        <w:rPr>
          <w:color w:val="00B050"/>
        </w:rPr>
      </w:pPr>
      <w:r w:rsidRPr="008A2891">
        <w:rPr>
          <w:rStyle w:val="FootnoteReference"/>
        </w:rPr>
        <w:footnoteRef/>
      </w:r>
      <w:r>
        <w:t xml:space="preserve"> </w:t>
      </w:r>
      <w:r>
        <w:tab/>
        <w:t>Paras 3.25 to 3.29 of the Report.</w:t>
      </w:r>
    </w:p>
  </w:footnote>
  <w:footnote w:id="30">
    <w:p w14:paraId="4916E382" w14:textId="38F9A96A" w:rsidR="000848F5" w:rsidRPr="007113FB" w:rsidRDefault="000848F5" w:rsidP="00F83688">
      <w:pPr>
        <w:pStyle w:val="FootnoteText"/>
      </w:pPr>
      <w:r w:rsidRPr="007113FB">
        <w:rPr>
          <w:rStyle w:val="FootnoteReference"/>
        </w:rPr>
        <w:footnoteRef/>
      </w:r>
      <w:r w:rsidRPr="007113FB">
        <w:t xml:space="preserve"> </w:t>
      </w:r>
      <w:r w:rsidRPr="007113FB">
        <w:tab/>
      </w:r>
      <w:r>
        <w:t xml:space="preserve">Eg financial loss may occur to the holder of a credit card if its details intercepted during their transmission to the vendor in an e-commerce transaction are wrongfully used.  See paras </w:t>
      </w:r>
      <w:r w:rsidRPr="00FF0F4D">
        <w:t>3.92 and 3.94</w:t>
      </w:r>
      <w:r>
        <w:t xml:space="preserve"> of the Consultation Paper.</w:t>
      </w:r>
    </w:p>
  </w:footnote>
  <w:footnote w:id="31">
    <w:p w14:paraId="0FD7E6E6" w14:textId="5EA2F4C8" w:rsidR="000848F5" w:rsidRPr="00802BED" w:rsidRDefault="000848F5" w:rsidP="00F83688">
      <w:pPr>
        <w:pStyle w:val="FootnoteText"/>
      </w:pPr>
      <w:r w:rsidRPr="00802BED">
        <w:rPr>
          <w:rStyle w:val="FootnoteReference"/>
        </w:rPr>
        <w:footnoteRef/>
      </w:r>
      <w:r w:rsidRPr="00802BED">
        <w:t xml:space="preserve"> </w:t>
      </w:r>
      <w:r>
        <w:tab/>
        <w:t>A</w:t>
      </w:r>
      <w:r w:rsidRPr="008848A5">
        <w:t xml:space="preserve">n offence on unauthorised disclosure or use of computer data, insofar as it involves personal data, is more a matter within the purview of the </w:t>
      </w:r>
      <w:r>
        <w:t>Office of the Privacy Commissioner for Personal Data (“</w:t>
      </w:r>
      <w:r w:rsidRPr="008848A5">
        <w:rPr>
          <w:b/>
        </w:rPr>
        <w:t>PCPD</w:t>
      </w:r>
      <w:r>
        <w:t>”)</w:t>
      </w:r>
      <w:r w:rsidRPr="008848A5">
        <w:t xml:space="preserve">.  </w:t>
      </w:r>
      <w:r>
        <w:t>I</w:t>
      </w:r>
      <w:r w:rsidRPr="008848A5">
        <w:t>n the most recent legislative amendment exercise in 2021</w:t>
      </w:r>
      <w:r>
        <w:t xml:space="preserve"> (ie the enactment of the Personal Data (Privacy) (Amendment) Ordinance 2021)</w:t>
      </w:r>
      <w:r w:rsidRPr="008848A5">
        <w:t>, the PCPD specifically focused on the doxxing offences in a bid to combat disclosure of personal data without consent</w:t>
      </w:r>
      <w:r>
        <w:t xml:space="preserve"> (see the long title of that Amendment Ordinance)</w:t>
      </w:r>
      <w:r w:rsidRPr="008848A5">
        <w:t>.</w:t>
      </w:r>
      <w:r>
        <w:t xml:space="preserve">  </w:t>
      </w:r>
      <w:r w:rsidRPr="005C7F2B">
        <w:t xml:space="preserve">The </w:t>
      </w:r>
      <w:r w:rsidRPr="005C7F2B">
        <w:rPr>
          <w:i/>
        </w:rPr>
        <w:t>mens rea</w:t>
      </w:r>
      <w:r w:rsidRPr="005C7F2B">
        <w:t xml:space="preserve"> for the doxxing offences is highly specific and confined in scope.</w:t>
      </w:r>
    </w:p>
  </w:footnote>
  <w:footnote w:id="32">
    <w:p w14:paraId="2493BCFA" w14:textId="3DCEB41F" w:rsidR="000848F5" w:rsidRPr="003C4428" w:rsidRDefault="000848F5" w:rsidP="00F83688">
      <w:pPr>
        <w:pStyle w:val="FootnoteText"/>
        <w:rPr>
          <w:lang w:val="en-HK"/>
        </w:rPr>
      </w:pPr>
      <w:r w:rsidRPr="00C13250">
        <w:rPr>
          <w:rStyle w:val="FootnoteReference"/>
        </w:rPr>
        <w:footnoteRef/>
      </w:r>
      <w:r>
        <w:t xml:space="preserve"> </w:t>
      </w:r>
      <w:r>
        <w:tab/>
        <w:t>Part Two, subject to further discussion in due course on its scope, will cover cyber-enabled crimes, which are</w:t>
      </w:r>
      <w:r w:rsidRPr="00162CE5">
        <w:t xml:space="preserve"> traditional crimes which can be increased in scale or reach by the use of computers, computer networks or other forms of </w:t>
      </w:r>
      <w:r>
        <w:t>information and communications technology</w:t>
      </w:r>
      <w:r w:rsidRPr="00162CE5">
        <w:t xml:space="preserve">.  </w:t>
      </w:r>
      <w:r>
        <w:rPr>
          <w:lang w:val="en-HK"/>
        </w:rPr>
        <w:t>See para 8 of the Preface of the Report</w:t>
      </w:r>
      <w:r>
        <w:rPr>
          <w:color w:val="212121"/>
          <w:szCs w:val="24"/>
          <w:shd w:val="clear" w:color="auto" w:fill="FFFFFF"/>
        </w:rPr>
        <w:t>.</w:t>
      </w:r>
    </w:p>
  </w:footnote>
  <w:footnote w:id="33">
    <w:p w14:paraId="329AB89A" w14:textId="375D041E" w:rsidR="000848F5" w:rsidRPr="00ED58B5" w:rsidRDefault="000848F5" w:rsidP="00F83688">
      <w:pPr>
        <w:pStyle w:val="FootnoteText"/>
        <w:rPr>
          <w:color w:val="00B050"/>
        </w:rPr>
      </w:pPr>
      <w:r w:rsidRPr="008A2891">
        <w:rPr>
          <w:rStyle w:val="FootnoteReference"/>
        </w:rPr>
        <w:footnoteRef/>
      </w:r>
      <w:r>
        <w:t xml:space="preserve"> </w:t>
      </w:r>
      <w:r>
        <w:tab/>
        <w:t>Paras 3.54 to 3.64 of the Report.</w:t>
      </w:r>
    </w:p>
  </w:footnote>
  <w:footnote w:id="34">
    <w:p w14:paraId="7A8BACCD" w14:textId="4767C58E" w:rsidR="000848F5" w:rsidRPr="007113FB" w:rsidRDefault="000848F5" w:rsidP="00F83688">
      <w:pPr>
        <w:pStyle w:val="FootnoteText"/>
      </w:pPr>
      <w:r w:rsidRPr="007113FB">
        <w:rPr>
          <w:rStyle w:val="FootnoteReference"/>
        </w:rPr>
        <w:footnoteRef/>
      </w:r>
      <w:r w:rsidRPr="007113FB">
        <w:t xml:space="preserve"> </w:t>
      </w:r>
      <w:r w:rsidRPr="007113FB">
        <w:tab/>
      </w:r>
      <w:r>
        <w:t>Para 3.54 of the Report.  Six categories were proposed, namely (a) ISPs, (b) I</w:t>
      </w:r>
      <w:r w:rsidRPr="003C205C">
        <w:t>nstitutions whose daily work frequently requires use and handling of intercepted data</w:t>
      </w:r>
      <w:r>
        <w:t>; (c) C</w:t>
      </w:r>
      <w:r w:rsidRPr="003C205C">
        <w:t xml:space="preserve">ompanies </w:t>
      </w:r>
      <w:r>
        <w:t>which</w:t>
      </w:r>
      <w:r w:rsidRPr="003C205C">
        <w:t xml:space="preserve"> intercept their own network purely for security threat detection</w:t>
      </w:r>
      <w:r>
        <w:t xml:space="preserve">; (d) LEAs’ </w:t>
      </w:r>
      <w:r w:rsidRPr="003C205C">
        <w:t>investigation of criminal activities and matters o</w:t>
      </w:r>
      <w:r>
        <w:t>f national security; (e) W</w:t>
      </w:r>
      <w:r w:rsidRPr="003C205C">
        <w:t>histleblower activities carried out in good faith, for public interest</w:t>
      </w:r>
      <w:r>
        <w:t>,</w:t>
      </w:r>
      <w:r w:rsidRPr="003C205C">
        <w:t xml:space="preserve"> or</w:t>
      </w:r>
      <w:r>
        <w:t xml:space="preserve"> for</w:t>
      </w:r>
      <w:r w:rsidRPr="003C205C">
        <w:t xml:space="preserve"> collecting evidence for future legal proceedings;</w:t>
      </w:r>
      <w:r>
        <w:t xml:space="preserve"> and (f) B</w:t>
      </w:r>
      <w:r w:rsidRPr="003C205C">
        <w:t>usiness or organisations which hold a legitimate belief that activities are being carried out against their interest</w:t>
      </w:r>
      <w:r>
        <w:t>.</w:t>
      </w:r>
    </w:p>
  </w:footnote>
  <w:footnote w:id="35">
    <w:p w14:paraId="51F31BCD" w14:textId="702C61B1" w:rsidR="000848F5" w:rsidRPr="00ED58B5" w:rsidRDefault="000848F5" w:rsidP="00F83688">
      <w:pPr>
        <w:pStyle w:val="FootnoteText"/>
        <w:rPr>
          <w:color w:val="00B050"/>
        </w:rPr>
      </w:pPr>
      <w:r w:rsidRPr="008A2891">
        <w:rPr>
          <w:rStyle w:val="FootnoteReference"/>
        </w:rPr>
        <w:footnoteRef/>
      </w:r>
      <w:r>
        <w:t xml:space="preserve"> </w:t>
      </w:r>
      <w:r>
        <w:tab/>
        <w:t>Paras 4.14 to 4.22 of the Report.</w:t>
      </w:r>
    </w:p>
  </w:footnote>
  <w:footnote w:id="36">
    <w:p w14:paraId="5AEFFBD8" w14:textId="77777777" w:rsidR="000848F5" w:rsidRPr="00ED58B5" w:rsidRDefault="000848F5" w:rsidP="00F83688">
      <w:pPr>
        <w:pStyle w:val="FootnoteText"/>
        <w:rPr>
          <w:color w:val="00B050"/>
        </w:rPr>
      </w:pPr>
      <w:r w:rsidRPr="008A2891">
        <w:rPr>
          <w:rStyle w:val="FootnoteReference"/>
        </w:rPr>
        <w:footnoteRef/>
      </w:r>
      <w:r>
        <w:t xml:space="preserve"> </w:t>
      </w:r>
      <w:r>
        <w:tab/>
        <w:t>T</w:t>
      </w:r>
      <w:r w:rsidRPr="00426CED">
        <w:t xml:space="preserve">he Law Commission of England and Wales </w:t>
      </w:r>
      <w:r>
        <w:t>saw difficulty with the term “malice” when it</w:t>
      </w:r>
      <w:r w:rsidRPr="00426CED">
        <w:t xml:space="preserve"> review</w:t>
      </w:r>
      <w:r>
        <w:t>ed</w:t>
      </w:r>
      <w:r w:rsidRPr="00426CED">
        <w:t xml:space="preserve"> the offences of damage to property, which led to the enactment of the Criminal Damage Act 1971 (on which the criminal damage offence in Hong Kong was modelled)</w:t>
      </w:r>
      <w:r>
        <w:t xml:space="preserve">.  See Law Commission, </w:t>
      </w:r>
      <w:r w:rsidRPr="007547C7">
        <w:rPr>
          <w:i/>
        </w:rPr>
        <w:t>Criminal Law Report on Offences of Damage to Property</w:t>
      </w:r>
      <w:r>
        <w:t xml:space="preserve"> (1970), Law Com No 29, at para 44.</w:t>
      </w:r>
    </w:p>
  </w:footnote>
  <w:footnote w:id="37">
    <w:p w14:paraId="439D7CD0" w14:textId="7FD277AF" w:rsidR="000848F5" w:rsidRPr="00A128C6" w:rsidRDefault="000848F5" w:rsidP="00F83688">
      <w:pPr>
        <w:pStyle w:val="FootnoteText"/>
        <w:rPr>
          <w:snapToGrid w:val="0"/>
          <w:lang w:val="en-US"/>
        </w:rPr>
      </w:pPr>
      <w:r>
        <w:rPr>
          <w:rStyle w:val="FootnoteReference"/>
        </w:rPr>
        <w:footnoteRef/>
      </w:r>
      <w:r>
        <w:t xml:space="preserve"> </w:t>
      </w:r>
      <w:r>
        <w:tab/>
      </w:r>
      <w:r w:rsidRPr="00A128C6">
        <w:rPr>
          <w:snapToGrid w:val="0"/>
          <w:lang w:val="en-US"/>
        </w:rPr>
        <w:t>S</w:t>
      </w:r>
      <w:r>
        <w:rPr>
          <w:snapToGrid w:val="0"/>
          <w:lang w:val="en-US"/>
        </w:rPr>
        <w:t>ection</w:t>
      </w:r>
      <w:r w:rsidRPr="00A128C6">
        <w:rPr>
          <w:snapToGrid w:val="0"/>
          <w:lang w:val="en-US"/>
        </w:rPr>
        <w:t xml:space="preserve"> 59(1A)</w:t>
      </w:r>
      <w:r>
        <w:rPr>
          <w:snapToGrid w:val="0"/>
          <w:lang w:val="en-US"/>
        </w:rPr>
        <w:t xml:space="preserve"> of the CO</w:t>
      </w:r>
      <w:r w:rsidRPr="00A128C6">
        <w:rPr>
          <w:snapToGrid w:val="0"/>
          <w:lang w:val="en-US"/>
        </w:rPr>
        <w:t xml:space="preserve"> defines “</w:t>
      </w:r>
      <w:r w:rsidRPr="00B924D1">
        <w:rPr>
          <w:i/>
          <w:snapToGrid w:val="0"/>
          <w:lang w:val="en-US"/>
        </w:rPr>
        <w:t>misuse of a computer</w:t>
      </w:r>
      <w:r w:rsidRPr="00A128C6">
        <w:rPr>
          <w:snapToGrid w:val="0"/>
          <w:lang w:val="en-US"/>
        </w:rPr>
        <w:t>” to mean the following acts</w:t>
      </w:r>
      <w:r>
        <w:rPr>
          <w:snapToGrid w:val="0"/>
          <w:lang w:val="en-US"/>
        </w:rPr>
        <w:t>, among which paras (b) and (c) are the most relevant to illegal interference with computer data (as opposed to</w:t>
      </w:r>
      <w:r w:rsidRPr="00101C6F">
        <w:rPr>
          <w:snapToGrid w:val="0"/>
          <w:lang w:val="en-US"/>
        </w:rPr>
        <w:t xml:space="preserve"> </w:t>
      </w:r>
      <w:r>
        <w:rPr>
          <w:snapToGrid w:val="0"/>
          <w:lang w:val="en-US"/>
        </w:rPr>
        <w:t>illegal interference with computer system)</w:t>
      </w:r>
      <w:r w:rsidRPr="00A128C6">
        <w:rPr>
          <w:snapToGrid w:val="0"/>
          <w:lang w:val="en-US"/>
        </w:rPr>
        <w:t>:</w:t>
      </w:r>
    </w:p>
    <w:p w14:paraId="0BCA0E42" w14:textId="77777777" w:rsidR="000848F5" w:rsidRPr="004B78D3" w:rsidRDefault="000848F5" w:rsidP="00D12C43">
      <w:pPr>
        <w:widowControl/>
        <w:tabs>
          <w:tab w:val="clear" w:pos="1418"/>
          <w:tab w:val="left" w:pos="709"/>
        </w:tabs>
        <w:overflowPunct w:val="0"/>
        <w:autoSpaceDE w:val="0"/>
        <w:autoSpaceDN w:val="0"/>
        <w:ind w:left="714" w:hanging="357"/>
        <w:textAlignment w:val="baseline"/>
        <w:rPr>
          <w:rFonts w:cs="Arial"/>
          <w:i/>
          <w:snapToGrid w:val="0"/>
          <w:spacing w:val="-4"/>
          <w:sz w:val="18"/>
          <w:szCs w:val="18"/>
          <w:lang w:val="en-US"/>
        </w:rPr>
      </w:pPr>
      <w:r w:rsidRPr="004B78D3">
        <w:rPr>
          <w:rFonts w:cs="Arial"/>
          <w:i/>
          <w:snapToGrid w:val="0"/>
          <w:spacing w:val="-4"/>
          <w:sz w:val="18"/>
          <w:szCs w:val="18"/>
          <w:lang w:val="en-US"/>
        </w:rPr>
        <w:t>“(a)</w:t>
      </w:r>
      <w:r w:rsidRPr="004B78D3">
        <w:rPr>
          <w:rFonts w:cs="Arial"/>
          <w:i/>
          <w:snapToGrid w:val="0"/>
          <w:spacing w:val="-4"/>
          <w:sz w:val="18"/>
          <w:szCs w:val="18"/>
          <w:lang w:val="en-US"/>
        </w:rPr>
        <w:tab/>
        <w:t>to cause a computer to function other than as it has been established to function by or on behalf of its owner, notwithstanding that the misuse may not impair the operation of the computer or a program held in the computer or the reliability of data held in the computer;</w:t>
      </w:r>
    </w:p>
    <w:p w14:paraId="6191B385" w14:textId="77777777" w:rsidR="000848F5" w:rsidRPr="004B78D3" w:rsidRDefault="000848F5" w:rsidP="00D12C43">
      <w:pPr>
        <w:widowControl/>
        <w:tabs>
          <w:tab w:val="clear" w:pos="1418"/>
          <w:tab w:val="left" w:pos="709"/>
        </w:tabs>
        <w:overflowPunct w:val="0"/>
        <w:autoSpaceDE w:val="0"/>
        <w:autoSpaceDN w:val="0"/>
        <w:ind w:left="714" w:hanging="357"/>
        <w:textAlignment w:val="baseline"/>
        <w:rPr>
          <w:rFonts w:cs="Arial"/>
          <w:i/>
          <w:snapToGrid w:val="0"/>
          <w:spacing w:val="-4"/>
          <w:sz w:val="18"/>
          <w:szCs w:val="18"/>
          <w:lang w:val="en-US"/>
        </w:rPr>
      </w:pPr>
      <w:r w:rsidRPr="004B78D3">
        <w:rPr>
          <w:rFonts w:cs="Arial"/>
          <w:i/>
          <w:snapToGrid w:val="0"/>
          <w:spacing w:val="-4"/>
          <w:sz w:val="18"/>
          <w:szCs w:val="18"/>
          <w:lang w:val="en-US"/>
        </w:rPr>
        <w:t>(b)</w:t>
      </w:r>
      <w:r w:rsidRPr="004B78D3">
        <w:rPr>
          <w:rFonts w:cs="Arial"/>
          <w:i/>
          <w:snapToGrid w:val="0"/>
          <w:spacing w:val="-4"/>
          <w:sz w:val="18"/>
          <w:szCs w:val="18"/>
          <w:lang w:val="en-US"/>
        </w:rPr>
        <w:tab/>
        <w:t>to alter or erase any program or data held in a computer or in a computer storage medium;</w:t>
      </w:r>
    </w:p>
    <w:p w14:paraId="2DA0E257" w14:textId="77777777" w:rsidR="000848F5" w:rsidRPr="00AC3A68" w:rsidRDefault="000848F5" w:rsidP="00AC3A68">
      <w:pPr>
        <w:widowControl/>
        <w:tabs>
          <w:tab w:val="clear" w:pos="1418"/>
        </w:tabs>
        <w:overflowPunct w:val="0"/>
        <w:autoSpaceDE w:val="0"/>
        <w:autoSpaceDN w:val="0"/>
        <w:ind w:left="714" w:hanging="357"/>
        <w:textAlignment w:val="baseline"/>
        <w:rPr>
          <w:rFonts w:cs="Arial"/>
          <w:i/>
          <w:snapToGrid w:val="0"/>
          <w:spacing w:val="-4"/>
          <w:sz w:val="18"/>
          <w:szCs w:val="18"/>
          <w:lang w:val="en-US"/>
        </w:rPr>
      </w:pPr>
      <w:r w:rsidRPr="004B78D3">
        <w:rPr>
          <w:rFonts w:cs="Arial"/>
          <w:i/>
          <w:snapToGrid w:val="0"/>
          <w:spacing w:val="-4"/>
          <w:sz w:val="18"/>
          <w:szCs w:val="18"/>
          <w:lang w:val="en-US"/>
        </w:rPr>
        <w:t>(c)</w:t>
      </w:r>
      <w:r w:rsidRPr="004B78D3">
        <w:rPr>
          <w:rFonts w:cs="Arial"/>
          <w:i/>
          <w:snapToGrid w:val="0"/>
          <w:spacing w:val="-4"/>
          <w:sz w:val="18"/>
          <w:szCs w:val="18"/>
          <w:lang w:val="en-US"/>
        </w:rPr>
        <w:tab/>
      </w:r>
      <w:r w:rsidRPr="00AC3A68">
        <w:rPr>
          <w:rFonts w:cs="Arial"/>
          <w:i/>
          <w:snapToGrid w:val="0"/>
          <w:spacing w:val="-4"/>
          <w:sz w:val="18"/>
          <w:szCs w:val="18"/>
          <w:lang w:val="en-US"/>
        </w:rPr>
        <w:t>to add any program or data to the contents of a computer or of a computer storage medium,</w:t>
      </w:r>
    </w:p>
    <w:p w14:paraId="1017E219" w14:textId="584EE5F1" w:rsidR="000848F5" w:rsidRPr="004B78D3" w:rsidRDefault="000848F5" w:rsidP="0016080F">
      <w:pPr>
        <w:widowControl/>
        <w:tabs>
          <w:tab w:val="clear" w:pos="1418"/>
          <w:tab w:val="left" w:pos="357"/>
        </w:tabs>
        <w:overflowPunct w:val="0"/>
        <w:autoSpaceDE w:val="0"/>
        <w:autoSpaceDN w:val="0"/>
        <w:ind w:left="368" w:hanging="11"/>
        <w:textAlignment w:val="baseline"/>
        <w:rPr>
          <w:i/>
          <w:lang w:val="en-US"/>
        </w:rPr>
      </w:pPr>
      <w:r w:rsidRPr="00AC3A68">
        <w:rPr>
          <w:rFonts w:cs="Arial"/>
          <w:i/>
          <w:snapToGrid w:val="0"/>
          <w:spacing w:val="-4"/>
          <w:sz w:val="18"/>
          <w:szCs w:val="18"/>
          <w:lang w:val="en-US"/>
        </w:rPr>
        <w:t>and any act which contributes towards causing the misuse of a kind re</w:t>
      </w:r>
      <w:r w:rsidR="00E870B5" w:rsidRPr="00AC3A68">
        <w:rPr>
          <w:rFonts w:cs="Arial"/>
          <w:i/>
          <w:snapToGrid w:val="0"/>
          <w:spacing w:val="-4"/>
          <w:sz w:val="18"/>
          <w:szCs w:val="18"/>
          <w:lang w:val="en-US"/>
        </w:rPr>
        <w:t xml:space="preserve">ferred to in paragraph (a), (b) </w:t>
      </w:r>
      <w:r w:rsidRPr="00AC3A68">
        <w:rPr>
          <w:rFonts w:cs="Arial"/>
          <w:i/>
          <w:snapToGrid w:val="0"/>
          <w:spacing w:val="-4"/>
          <w:sz w:val="18"/>
          <w:szCs w:val="18"/>
          <w:lang w:val="en-US"/>
        </w:rPr>
        <w:t>or (c) shall be regarded as causing</w:t>
      </w:r>
      <w:r w:rsidRPr="004B78D3">
        <w:rPr>
          <w:rFonts w:cs="Arial"/>
          <w:i/>
          <w:snapToGrid w:val="0"/>
          <w:spacing w:val="-4"/>
          <w:sz w:val="18"/>
          <w:szCs w:val="18"/>
          <w:lang w:val="en-US"/>
        </w:rPr>
        <w:t xml:space="preserve"> it.”</w:t>
      </w:r>
    </w:p>
  </w:footnote>
  <w:footnote w:id="38">
    <w:p w14:paraId="7F499F49" w14:textId="4F2019FC" w:rsidR="000848F5" w:rsidRPr="00006F00" w:rsidRDefault="000848F5" w:rsidP="00F83688">
      <w:pPr>
        <w:pStyle w:val="FootnoteText"/>
      </w:pPr>
      <w:r w:rsidRPr="007333DA">
        <w:rPr>
          <w:vertAlign w:val="superscript"/>
        </w:rPr>
        <w:footnoteRef/>
      </w:r>
      <w:r>
        <w:t xml:space="preserve"> </w:t>
      </w:r>
      <w:r>
        <w:tab/>
      </w:r>
      <w:r w:rsidRPr="004D5BF4">
        <w:rPr>
          <w:i/>
        </w:rPr>
        <w:t>Archbold Hong Kong 202</w:t>
      </w:r>
      <w:r w:rsidR="00E059A4">
        <w:rPr>
          <w:i/>
        </w:rPr>
        <w:t>5</w:t>
      </w:r>
      <w:r>
        <w:t xml:space="preserve">, at para </w:t>
      </w:r>
      <w:r w:rsidRPr="00006F00">
        <w:t>16-40,</w:t>
      </w:r>
      <w:r>
        <w:t xml:space="preserve"> discussing </w:t>
      </w:r>
      <w:r w:rsidRPr="00C16D93">
        <w:rPr>
          <w:i/>
        </w:rPr>
        <w:t xml:space="preserve">R v </w:t>
      </w:r>
      <w:r>
        <w:rPr>
          <w:i/>
        </w:rPr>
        <w:t>G</w:t>
      </w:r>
      <w:r>
        <w:t xml:space="preserve"> [2004] AC 341 decided in the context of the offence of criminal damage and subsequent jurisprudential developments.</w:t>
      </w:r>
    </w:p>
  </w:footnote>
  <w:footnote w:id="39">
    <w:p w14:paraId="72029548" w14:textId="18B7C8AF" w:rsidR="000848F5" w:rsidRPr="007113FB" w:rsidRDefault="000848F5" w:rsidP="00F83688">
      <w:pPr>
        <w:pStyle w:val="FootnoteText"/>
      </w:pPr>
      <w:r w:rsidRPr="007113FB">
        <w:rPr>
          <w:rStyle w:val="FootnoteReference"/>
        </w:rPr>
        <w:footnoteRef/>
      </w:r>
      <w:r w:rsidRPr="007113FB">
        <w:t xml:space="preserve"> </w:t>
      </w:r>
      <w:r w:rsidRPr="007113FB">
        <w:tab/>
      </w:r>
      <w:r>
        <w:t>Safeguarding National Security Ordinance, s</w:t>
      </w:r>
      <w:r w:rsidR="00AC3A68">
        <w:t> </w:t>
      </w:r>
      <w:r>
        <w:t>49 (sabotage endangering national security).</w:t>
      </w:r>
    </w:p>
  </w:footnote>
  <w:footnote w:id="40">
    <w:p w14:paraId="6825F1A7" w14:textId="70D8107F" w:rsidR="000848F5" w:rsidRPr="007113FB" w:rsidRDefault="000848F5" w:rsidP="00F83688">
      <w:pPr>
        <w:pStyle w:val="FootnoteText"/>
      </w:pPr>
      <w:r w:rsidRPr="007113FB">
        <w:rPr>
          <w:rStyle w:val="FootnoteReference"/>
        </w:rPr>
        <w:footnoteRef/>
      </w:r>
      <w:r w:rsidRPr="007113FB">
        <w:t xml:space="preserve"> </w:t>
      </w:r>
      <w:r w:rsidRPr="007113FB">
        <w:tab/>
      </w:r>
      <w:r>
        <w:t>Same as above, s</w:t>
      </w:r>
      <w:r w:rsidR="00AC3A68">
        <w:t> </w:t>
      </w:r>
      <w:r>
        <w:t>50 (doing acts endangering national security in relation to computers or electronic systems).</w:t>
      </w:r>
    </w:p>
  </w:footnote>
  <w:footnote w:id="41">
    <w:p w14:paraId="3FF94E9A" w14:textId="0D7ADBE5" w:rsidR="000848F5" w:rsidRPr="00ED58B5" w:rsidRDefault="000848F5" w:rsidP="00F83688">
      <w:pPr>
        <w:pStyle w:val="FootnoteText"/>
        <w:rPr>
          <w:color w:val="00B050"/>
        </w:rPr>
      </w:pPr>
      <w:r w:rsidRPr="008A2891">
        <w:rPr>
          <w:rStyle w:val="FootnoteReference"/>
        </w:rPr>
        <w:footnoteRef/>
      </w:r>
      <w:r>
        <w:t xml:space="preserve"> </w:t>
      </w:r>
      <w:r>
        <w:tab/>
        <w:t>Paras 4.34 to 4.35 and 5.23 to 5.24 of the Report.</w:t>
      </w:r>
    </w:p>
  </w:footnote>
  <w:footnote w:id="42">
    <w:p w14:paraId="3942C0AF" w14:textId="5D96ACFE" w:rsidR="000848F5" w:rsidRPr="007113FB" w:rsidRDefault="000848F5" w:rsidP="00F83688">
      <w:pPr>
        <w:pStyle w:val="FootnoteText"/>
      </w:pPr>
      <w:r w:rsidRPr="007113FB">
        <w:rPr>
          <w:rStyle w:val="FootnoteReference"/>
        </w:rPr>
        <w:footnoteRef/>
      </w:r>
      <w:r w:rsidRPr="007113FB">
        <w:t xml:space="preserve"> </w:t>
      </w:r>
      <w:r w:rsidRPr="007113FB">
        <w:tab/>
      </w:r>
      <w:r>
        <w:t>See para</w:t>
      </w:r>
      <w:r w:rsidRPr="0059345F">
        <w:t>s 18 to 23 of this S</w:t>
      </w:r>
      <w:r>
        <w:t>ummary.</w:t>
      </w:r>
    </w:p>
  </w:footnote>
  <w:footnote w:id="43">
    <w:p w14:paraId="6E025339" w14:textId="23767E9D" w:rsidR="000848F5" w:rsidRPr="00ED58B5" w:rsidRDefault="000848F5" w:rsidP="00F83688">
      <w:pPr>
        <w:pStyle w:val="FootnoteText"/>
        <w:rPr>
          <w:color w:val="00B050"/>
        </w:rPr>
      </w:pPr>
      <w:r w:rsidRPr="008A2891">
        <w:rPr>
          <w:rStyle w:val="FootnoteReference"/>
        </w:rPr>
        <w:footnoteRef/>
      </w:r>
      <w:r>
        <w:t xml:space="preserve"> </w:t>
      </w:r>
      <w:r>
        <w:tab/>
        <w:t>Paras 4.36 to 4.37 and 5.25 to 5.26 of the Report.</w:t>
      </w:r>
    </w:p>
  </w:footnote>
  <w:footnote w:id="44">
    <w:p w14:paraId="759E0D60" w14:textId="13E4200F" w:rsidR="000848F5" w:rsidRPr="00ED58B5" w:rsidRDefault="000848F5" w:rsidP="00F83688">
      <w:pPr>
        <w:pStyle w:val="FootnoteText"/>
        <w:rPr>
          <w:color w:val="00B050"/>
        </w:rPr>
      </w:pPr>
      <w:r w:rsidRPr="008A2891">
        <w:rPr>
          <w:rStyle w:val="FootnoteReference"/>
        </w:rPr>
        <w:footnoteRef/>
      </w:r>
      <w:r>
        <w:t xml:space="preserve"> </w:t>
      </w:r>
      <w:r>
        <w:tab/>
        <w:t>Paras 4.38 and 5.27 of the Report.</w:t>
      </w:r>
    </w:p>
  </w:footnote>
  <w:footnote w:id="45">
    <w:p w14:paraId="7B2A3153" w14:textId="31AE9CD1" w:rsidR="000848F5" w:rsidRPr="00ED58B5" w:rsidRDefault="000848F5" w:rsidP="00F83688">
      <w:pPr>
        <w:pStyle w:val="FootnoteText"/>
        <w:rPr>
          <w:color w:val="00B050"/>
        </w:rPr>
      </w:pPr>
      <w:r w:rsidRPr="008A2891">
        <w:rPr>
          <w:rStyle w:val="FootnoteReference"/>
        </w:rPr>
        <w:footnoteRef/>
      </w:r>
      <w:r>
        <w:t xml:space="preserve"> </w:t>
      </w:r>
      <w:r>
        <w:tab/>
        <w:t>Paras 4.39 to 4.44 and 5.28 of the Report.</w:t>
      </w:r>
    </w:p>
  </w:footnote>
  <w:footnote w:id="46">
    <w:p w14:paraId="464F2090" w14:textId="717482C9" w:rsidR="000848F5" w:rsidRPr="00ED58B5" w:rsidRDefault="000848F5" w:rsidP="00F83688">
      <w:pPr>
        <w:pStyle w:val="FootnoteText"/>
        <w:rPr>
          <w:color w:val="00B050"/>
        </w:rPr>
      </w:pPr>
      <w:r w:rsidRPr="008A2891">
        <w:rPr>
          <w:rStyle w:val="FootnoteReference"/>
        </w:rPr>
        <w:footnoteRef/>
      </w:r>
      <w:r>
        <w:t xml:space="preserve"> </w:t>
      </w:r>
      <w:r>
        <w:tab/>
        <w:t>Paras 5.23 to 5.28 of the Report.</w:t>
      </w:r>
    </w:p>
  </w:footnote>
  <w:footnote w:id="47">
    <w:p w14:paraId="2476DB13" w14:textId="1ED9477D" w:rsidR="000848F5" w:rsidRPr="00ED58B5" w:rsidRDefault="000848F5" w:rsidP="00F83688">
      <w:pPr>
        <w:pStyle w:val="FootnoteText"/>
        <w:rPr>
          <w:color w:val="00B050"/>
        </w:rPr>
      </w:pPr>
      <w:r w:rsidRPr="008A2891">
        <w:rPr>
          <w:rStyle w:val="FootnoteReference"/>
        </w:rPr>
        <w:footnoteRef/>
      </w:r>
      <w:r>
        <w:t xml:space="preserve"> </w:t>
      </w:r>
      <w:r>
        <w:tab/>
        <w:t>Paras 5.29 to 5.33 of the Report.</w:t>
      </w:r>
    </w:p>
  </w:footnote>
  <w:footnote w:id="48">
    <w:p w14:paraId="481EA398" w14:textId="0A6C0453" w:rsidR="000848F5" w:rsidRPr="00006F00" w:rsidRDefault="000848F5" w:rsidP="00F83688">
      <w:pPr>
        <w:pStyle w:val="FootnoteText"/>
      </w:pPr>
      <w:r w:rsidRPr="007333DA">
        <w:rPr>
          <w:vertAlign w:val="superscript"/>
        </w:rPr>
        <w:footnoteRef/>
      </w:r>
      <w:r>
        <w:t xml:space="preserve"> </w:t>
      </w:r>
      <w:r>
        <w:tab/>
      </w:r>
      <w:r w:rsidRPr="000D24F7">
        <w:t>Eg when 10,000 emails are sent to a specific mailbox within a minute to overwhelm it and its corresponding server</w:t>
      </w:r>
      <w:r>
        <w:t>.</w:t>
      </w:r>
    </w:p>
  </w:footnote>
  <w:footnote w:id="49">
    <w:p w14:paraId="16F5D385" w14:textId="0458C732" w:rsidR="000848F5" w:rsidRPr="00ED58B5" w:rsidRDefault="000848F5" w:rsidP="00F83688">
      <w:pPr>
        <w:pStyle w:val="FootnoteText"/>
        <w:rPr>
          <w:color w:val="00B050"/>
        </w:rPr>
      </w:pPr>
      <w:r w:rsidRPr="008A2891">
        <w:rPr>
          <w:rStyle w:val="FootnoteReference"/>
        </w:rPr>
        <w:footnoteRef/>
      </w:r>
      <w:r>
        <w:t xml:space="preserve"> </w:t>
      </w:r>
      <w:r>
        <w:tab/>
        <w:t>Paras 6.24 to 6.25 of the Report.</w:t>
      </w:r>
    </w:p>
  </w:footnote>
  <w:footnote w:id="50">
    <w:p w14:paraId="793F9BEC" w14:textId="604534FE" w:rsidR="000848F5" w:rsidRPr="00ED58B5" w:rsidRDefault="000848F5" w:rsidP="00F83688">
      <w:pPr>
        <w:pStyle w:val="FootnoteText"/>
        <w:rPr>
          <w:color w:val="00B050"/>
        </w:rPr>
      </w:pPr>
      <w:r w:rsidRPr="008A2891">
        <w:rPr>
          <w:rStyle w:val="FootnoteReference"/>
        </w:rPr>
        <w:footnoteRef/>
      </w:r>
      <w:r>
        <w:t xml:space="preserve"> </w:t>
      </w:r>
      <w:r>
        <w:tab/>
        <w:t xml:space="preserve">Article 6 of the Budapest Convention requires each party to adopt measures to criminalise </w:t>
      </w:r>
      <w:r w:rsidRPr="001B2D7E">
        <w:t>“</w:t>
      </w:r>
      <w:r w:rsidRPr="00F01EBA">
        <w:rPr>
          <w:i/>
        </w:rPr>
        <w:t xml:space="preserve">the production, sale, procurement for use, import, distribution or otherwise making available of … a </w:t>
      </w:r>
      <w:r w:rsidRPr="00F01EBA">
        <w:rPr>
          <w:i/>
          <w:u w:val="single"/>
        </w:rPr>
        <w:t>device</w:t>
      </w:r>
      <w:r w:rsidRPr="00F01EBA">
        <w:rPr>
          <w:i/>
        </w:rPr>
        <w:t xml:space="preserve">, </w:t>
      </w:r>
      <w:r w:rsidRPr="00F01EBA">
        <w:rPr>
          <w:i/>
          <w:u w:val="single"/>
        </w:rPr>
        <w:t>including a computer program</w:t>
      </w:r>
      <w:r w:rsidRPr="00F01EBA">
        <w:rPr>
          <w:i/>
        </w:rPr>
        <w:t>, designed or adapted primarily for the purposes of committing any of the [cyber-dependent] offences established in accordance with Articles 2 through 5.</w:t>
      </w:r>
      <w:r w:rsidRPr="001B2D7E">
        <w:t>”</w:t>
      </w:r>
      <w:r>
        <w:t xml:space="preserve"> (emphasis added)</w:t>
      </w:r>
    </w:p>
  </w:footnote>
  <w:footnote w:id="51">
    <w:p w14:paraId="4B88BC63" w14:textId="667451AB" w:rsidR="000848F5" w:rsidRPr="00ED58B5" w:rsidRDefault="000848F5" w:rsidP="00F83688">
      <w:pPr>
        <w:pStyle w:val="FootnoteText"/>
        <w:rPr>
          <w:color w:val="00B050"/>
        </w:rPr>
      </w:pPr>
      <w:r w:rsidRPr="008A2891">
        <w:rPr>
          <w:rStyle w:val="FootnoteReference"/>
        </w:rPr>
        <w:footnoteRef/>
      </w:r>
      <w:r>
        <w:t xml:space="preserve"> </w:t>
      </w:r>
      <w:r>
        <w:tab/>
        <w:t>Paras 6.26 to 6.36 of the Report.</w:t>
      </w:r>
    </w:p>
  </w:footnote>
  <w:footnote w:id="52">
    <w:p w14:paraId="15215C8E" w14:textId="2E82841C" w:rsidR="000848F5" w:rsidRPr="009D7124" w:rsidRDefault="000848F5" w:rsidP="00F83688">
      <w:pPr>
        <w:pStyle w:val="FootnoteText"/>
        <w:rPr>
          <w:lang w:val="en-US"/>
        </w:rPr>
      </w:pPr>
      <w:r>
        <w:rPr>
          <w:rStyle w:val="FootnoteReference"/>
        </w:rPr>
        <w:footnoteRef/>
      </w:r>
      <w:r>
        <w:t xml:space="preserve"> </w:t>
      </w:r>
      <w:r>
        <w:rPr>
          <w:lang w:val="en-US"/>
        </w:rPr>
        <w:tab/>
        <w:t xml:space="preserve">Eg </w:t>
      </w:r>
      <w:r w:rsidRPr="00CF6766">
        <w:t>if</w:t>
      </w:r>
      <w:r>
        <w:t xml:space="preserve"> </w:t>
      </w:r>
      <w:r w:rsidRPr="00327DBC">
        <w:t>a person who compose</w:t>
      </w:r>
      <w:r>
        <w:t>s</w:t>
      </w:r>
      <w:r w:rsidRPr="00327DBC">
        <w:t xml:space="preserve"> an email that </w:t>
      </w:r>
      <w:r>
        <w:t>seeks</w:t>
      </w:r>
      <w:r w:rsidRPr="00327DBC">
        <w:t xml:space="preserve"> to blackmail a victim</w:t>
      </w:r>
      <w:r>
        <w:t xml:space="preserve"> </w:t>
      </w:r>
      <w:r w:rsidRPr="00327DBC">
        <w:t>eventually decide</w:t>
      </w:r>
      <w:r>
        <w:t>s</w:t>
      </w:r>
      <w:r w:rsidRPr="00327DBC">
        <w:t xml:space="preserve"> not to send the email but </w:t>
      </w:r>
      <w:r>
        <w:t>to keep</w:t>
      </w:r>
      <w:r w:rsidRPr="00327DBC">
        <w:t xml:space="preserve"> the draft, he </w:t>
      </w:r>
      <w:r>
        <w:t>will</w:t>
      </w:r>
      <w:r w:rsidRPr="00327DBC">
        <w:t xml:space="preserve"> be in possession of data that </w:t>
      </w:r>
      <w:r>
        <w:t>can be used to commit “an offence”, and hence be guilty of the proposed offence under Recommendation 9 of the CP</w:t>
      </w:r>
      <w:r w:rsidRPr="00C9720F">
        <w:rPr>
          <w:lang w:val="en-US"/>
        </w:rPr>
        <w:t>.</w:t>
      </w:r>
    </w:p>
  </w:footnote>
  <w:footnote w:id="53">
    <w:p w14:paraId="149D1110" w14:textId="7A794F42" w:rsidR="000848F5" w:rsidRPr="009D7124" w:rsidRDefault="000848F5" w:rsidP="00F83688">
      <w:pPr>
        <w:pStyle w:val="FootnoteText"/>
        <w:rPr>
          <w:lang w:val="en-US"/>
        </w:rPr>
      </w:pPr>
      <w:r>
        <w:rPr>
          <w:rStyle w:val="FootnoteReference"/>
        </w:rPr>
        <w:footnoteRef/>
      </w:r>
      <w:r>
        <w:t xml:space="preserve"> </w:t>
      </w:r>
      <w:r>
        <w:rPr>
          <w:lang w:val="en-US"/>
        </w:rPr>
        <w:tab/>
      </w:r>
      <w:r w:rsidRPr="00AA78F2">
        <w:t>Namely, the offences of illegal access to program or data, illegal interception of computer data, illegal interference with computer data and illegal interference with computer</w:t>
      </w:r>
      <w:r>
        <w:rPr>
          <w:rFonts w:eastAsia="DengXian"/>
        </w:rPr>
        <w:t xml:space="preserve"> system</w:t>
      </w:r>
      <w:r w:rsidRPr="00C9720F">
        <w:rPr>
          <w:lang w:val="en-US"/>
        </w:rPr>
        <w:t>.</w:t>
      </w:r>
      <w:r>
        <w:rPr>
          <w:lang w:val="en-US"/>
        </w:rPr>
        <w:t xml:space="preserve">  </w:t>
      </w:r>
      <w:r>
        <w:t>In Part Two of our study, which will cover cyber-enabled crimes, we would consider what else, if any, should also come under the list of “cyber-related offences”</w:t>
      </w:r>
      <w:r w:rsidDel="001862F9">
        <w:t xml:space="preserve"> </w:t>
      </w:r>
      <w:r>
        <w:t>to be scheduled to the bespoke cybercrime legislation.</w:t>
      </w:r>
    </w:p>
  </w:footnote>
  <w:footnote w:id="54">
    <w:p w14:paraId="7ECF131C" w14:textId="54D6482D" w:rsidR="000848F5" w:rsidRPr="00ED58B5" w:rsidRDefault="000848F5" w:rsidP="00F83688">
      <w:pPr>
        <w:pStyle w:val="FootnoteText"/>
        <w:rPr>
          <w:color w:val="00B050"/>
        </w:rPr>
      </w:pPr>
      <w:r w:rsidRPr="008A2891">
        <w:rPr>
          <w:rStyle w:val="FootnoteReference"/>
        </w:rPr>
        <w:footnoteRef/>
      </w:r>
      <w:r>
        <w:t xml:space="preserve"> </w:t>
      </w:r>
      <w:r>
        <w:tab/>
        <w:t>Paras 6.37 to 6.40 of the Report.</w:t>
      </w:r>
    </w:p>
  </w:footnote>
  <w:footnote w:id="55">
    <w:p w14:paraId="29509FE3" w14:textId="613D29BD" w:rsidR="000848F5" w:rsidRPr="009D7124" w:rsidRDefault="000848F5" w:rsidP="00F83688">
      <w:pPr>
        <w:pStyle w:val="FootnoteText"/>
        <w:rPr>
          <w:lang w:val="en-US"/>
        </w:rPr>
      </w:pPr>
      <w:r>
        <w:rPr>
          <w:rStyle w:val="FootnoteReference"/>
        </w:rPr>
        <w:footnoteRef/>
      </w:r>
      <w:r>
        <w:t xml:space="preserve"> </w:t>
      </w:r>
      <w:r>
        <w:rPr>
          <w:lang w:val="en-US"/>
        </w:rPr>
        <w:tab/>
        <w:t xml:space="preserve">Eg </w:t>
      </w:r>
      <w:r w:rsidRPr="00E94EFC">
        <w:t>a person may learn from an anti-virus scan run on his computer that he is in possession of a malicious program or data, but the anti-virus scan may not provide an average computer user with a lot of information about the nature or impact of the program or data.</w:t>
      </w:r>
    </w:p>
  </w:footnote>
  <w:footnote w:id="56">
    <w:p w14:paraId="19790BAE" w14:textId="2AE59EBA" w:rsidR="000848F5" w:rsidRPr="00ED58B5" w:rsidRDefault="000848F5" w:rsidP="00F83688">
      <w:pPr>
        <w:pStyle w:val="FootnoteText"/>
        <w:rPr>
          <w:color w:val="00B050"/>
        </w:rPr>
      </w:pPr>
      <w:r w:rsidRPr="008A2891">
        <w:rPr>
          <w:rStyle w:val="FootnoteReference"/>
        </w:rPr>
        <w:footnoteRef/>
      </w:r>
      <w:r>
        <w:t xml:space="preserve"> </w:t>
      </w:r>
      <w:r>
        <w:tab/>
        <w:t>Paras 6.41 to 6.51 of the Report.</w:t>
      </w:r>
    </w:p>
  </w:footnote>
  <w:footnote w:id="57">
    <w:p w14:paraId="7FFEF060" w14:textId="69BB487F" w:rsidR="000848F5" w:rsidRPr="00ED58B5" w:rsidRDefault="000848F5" w:rsidP="00F83688">
      <w:pPr>
        <w:pStyle w:val="FootnoteText"/>
        <w:rPr>
          <w:color w:val="00B050"/>
        </w:rPr>
      </w:pPr>
      <w:r w:rsidRPr="008A2891">
        <w:rPr>
          <w:rStyle w:val="FootnoteReference"/>
        </w:rPr>
        <w:footnoteRef/>
      </w:r>
      <w:r>
        <w:t xml:space="preserve"> </w:t>
      </w:r>
      <w:r>
        <w:tab/>
        <w:t>Eg</w:t>
      </w:r>
      <w:r w:rsidRPr="001366AE">
        <w:t xml:space="preserve"> a person may download a program on the understanding that the program is harmless</w:t>
      </w:r>
      <w:r>
        <w:t>.</w:t>
      </w:r>
    </w:p>
  </w:footnote>
  <w:footnote w:id="58">
    <w:p w14:paraId="2846EC13" w14:textId="3A35C748" w:rsidR="000848F5" w:rsidRPr="007A3232" w:rsidRDefault="000848F5" w:rsidP="00F83688">
      <w:pPr>
        <w:pStyle w:val="FootnoteText"/>
      </w:pPr>
      <w:r w:rsidRPr="008A2891">
        <w:rPr>
          <w:rStyle w:val="FootnoteReference"/>
        </w:rPr>
        <w:footnoteRef/>
      </w:r>
      <w:r>
        <w:t xml:space="preserve"> </w:t>
      </w:r>
      <w:r>
        <w:tab/>
      </w:r>
      <w:r w:rsidRPr="007A3232">
        <w:t>Our reasoning i</w:t>
      </w:r>
      <w:r>
        <w:t>s detailed at paras 6.48 to 6.51</w:t>
      </w:r>
      <w:r w:rsidRPr="007A3232">
        <w:t xml:space="preserve"> of the Report.</w:t>
      </w:r>
    </w:p>
  </w:footnote>
  <w:footnote w:id="59">
    <w:p w14:paraId="021D23DA" w14:textId="09FCC554" w:rsidR="000848F5" w:rsidRPr="00ED58B5" w:rsidRDefault="000848F5" w:rsidP="00F83688">
      <w:pPr>
        <w:pStyle w:val="FootnoteText"/>
        <w:rPr>
          <w:color w:val="00B050"/>
        </w:rPr>
      </w:pPr>
      <w:r w:rsidRPr="008A2891">
        <w:rPr>
          <w:rStyle w:val="FootnoteReference"/>
        </w:rPr>
        <w:footnoteRef/>
      </w:r>
      <w:r>
        <w:t xml:space="preserve"> </w:t>
      </w:r>
      <w:r>
        <w:tab/>
        <w:t>Eg a stranger passes a program to a defendant who is requested to upload the program to a certain computer system at a particular time on a specified date in return for a large monetary reward without any explanation.</w:t>
      </w:r>
    </w:p>
  </w:footnote>
  <w:footnote w:id="60">
    <w:p w14:paraId="2CCAA494" w14:textId="72E464BA" w:rsidR="000848F5" w:rsidRPr="00ED58B5" w:rsidRDefault="000848F5" w:rsidP="00F83688">
      <w:pPr>
        <w:pStyle w:val="FootnoteText"/>
        <w:rPr>
          <w:color w:val="00B050"/>
        </w:rPr>
      </w:pPr>
      <w:r w:rsidRPr="008A2891">
        <w:rPr>
          <w:rStyle w:val="FootnoteReference"/>
        </w:rPr>
        <w:footnoteRef/>
      </w:r>
      <w:r>
        <w:t xml:space="preserve"> </w:t>
      </w:r>
      <w:r>
        <w:tab/>
        <w:t>Paras 6.52 to 6.54 of the Report.</w:t>
      </w:r>
    </w:p>
  </w:footnote>
  <w:footnote w:id="61">
    <w:p w14:paraId="75CA6469" w14:textId="7AF943E0" w:rsidR="000848F5" w:rsidRDefault="000848F5" w:rsidP="00F83688">
      <w:pPr>
        <w:pStyle w:val="FootnoteText"/>
      </w:pPr>
      <w:r>
        <w:rPr>
          <w:rStyle w:val="FootnoteReference"/>
        </w:rPr>
        <w:footnoteRef/>
      </w:r>
      <w:r>
        <w:t xml:space="preserve"> </w:t>
      </w:r>
      <w:r>
        <w:tab/>
        <w:t xml:space="preserve">A blockchain is a distributed database or ledger shared among a computer network’s nodes.  They are best known for their crucial role in cryptocurrency systems for maintaining a secure and decentralised record of transactions, but they are not limited to cryptocurrency uses.  Blockchains can be used to make data in any industry immutable. See </w:t>
      </w:r>
      <w:r w:rsidRPr="0027530C">
        <w:t>https://www.investopedia.com/terms/b/blockchain.asp</w:t>
      </w:r>
      <w:r w:rsidRPr="00F27739">
        <w:t xml:space="preserve"> </w:t>
      </w:r>
      <w:r>
        <w:t xml:space="preserve">(accessed on </w:t>
      </w:r>
      <w:r w:rsidR="00AE328F">
        <w:t>1 Nov</w:t>
      </w:r>
      <w:r w:rsidR="00AC3A68">
        <w:t> </w:t>
      </w:r>
      <w:r>
        <w:t>202</w:t>
      </w:r>
      <w:r w:rsidR="00AE328F">
        <w:t>5</w:t>
      </w:r>
      <w:r>
        <w:t>).</w:t>
      </w:r>
    </w:p>
  </w:footnote>
  <w:footnote w:id="62">
    <w:p w14:paraId="14C3DA9E" w14:textId="0537291B" w:rsidR="000848F5" w:rsidRPr="00ED58B5" w:rsidRDefault="000848F5" w:rsidP="00F83688">
      <w:pPr>
        <w:pStyle w:val="FootnoteText"/>
        <w:rPr>
          <w:color w:val="00B050"/>
        </w:rPr>
      </w:pPr>
      <w:r w:rsidRPr="008A2891">
        <w:rPr>
          <w:rStyle w:val="FootnoteReference"/>
        </w:rPr>
        <w:footnoteRef/>
      </w:r>
      <w:r>
        <w:t xml:space="preserve"> </w:t>
      </w:r>
      <w:r>
        <w:tab/>
        <w:t>Paras 6.57 to 6.59 of the Report.</w:t>
      </w:r>
    </w:p>
  </w:footnote>
  <w:footnote w:id="63">
    <w:p w14:paraId="21C5C0D8" w14:textId="77777777" w:rsidR="000848F5" w:rsidRPr="00C13250" w:rsidRDefault="000848F5" w:rsidP="00F83688">
      <w:pPr>
        <w:pStyle w:val="FootnoteText"/>
      </w:pPr>
      <w:r w:rsidRPr="00C13250">
        <w:rPr>
          <w:rStyle w:val="FootnoteReference"/>
        </w:rPr>
        <w:footnoteRef/>
      </w:r>
      <w:r>
        <w:t xml:space="preserve"> </w:t>
      </w:r>
      <w:r>
        <w:tab/>
        <w:t>Namely, illegal access to program or data, illegal interception of computer data, illegal interference with computer data and illegal interference with computer system</w:t>
      </w:r>
      <w:r w:rsidRPr="00C13250">
        <w:t>.</w:t>
      </w:r>
    </w:p>
  </w:footnote>
  <w:footnote w:id="64">
    <w:p w14:paraId="3348825C" w14:textId="047369D6" w:rsidR="000848F5" w:rsidRPr="00C13250" w:rsidRDefault="000848F5" w:rsidP="00F83688">
      <w:pPr>
        <w:pStyle w:val="FootnoteText"/>
      </w:pPr>
      <w:r w:rsidRPr="00C13250">
        <w:rPr>
          <w:rStyle w:val="FootnoteReference"/>
        </w:rPr>
        <w:footnoteRef/>
      </w:r>
      <w:r>
        <w:t xml:space="preserve"> </w:t>
      </w:r>
      <w:r>
        <w:tab/>
      </w:r>
      <w:r w:rsidRPr="00C7123D">
        <w:t xml:space="preserve">Including cases where a person has reasonable grounds to believe that the device, program or data is capable of being used to commit a cyber-related </w:t>
      </w:r>
      <w:r>
        <w:t>crime</w:t>
      </w:r>
      <w:r w:rsidRPr="00C13250">
        <w:t>.</w:t>
      </w:r>
    </w:p>
  </w:footnote>
  <w:footnote w:id="65">
    <w:p w14:paraId="3FE6548E" w14:textId="34D26CD3" w:rsidR="000848F5" w:rsidRPr="00C13250" w:rsidRDefault="000848F5" w:rsidP="00F83688">
      <w:pPr>
        <w:pStyle w:val="FootnoteText"/>
      </w:pPr>
      <w:r w:rsidRPr="00C13250">
        <w:rPr>
          <w:rStyle w:val="FootnoteReference"/>
        </w:rPr>
        <w:footnoteRef/>
      </w:r>
      <w:r>
        <w:t xml:space="preserve"> </w:t>
      </w:r>
      <w:r>
        <w:tab/>
        <w:t>Same as above</w:t>
      </w:r>
      <w:r w:rsidRPr="00C13250">
        <w:t>.</w:t>
      </w:r>
    </w:p>
  </w:footnote>
  <w:footnote w:id="66">
    <w:p w14:paraId="12633D5B" w14:textId="5BC466AB" w:rsidR="000848F5" w:rsidRPr="00ED58B5" w:rsidRDefault="000848F5" w:rsidP="00F83688">
      <w:pPr>
        <w:pStyle w:val="FootnoteText"/>
        <w:rPr>
          <w:color w:val="00B050"/>
        </w:rPr>
      </w:pPr>
      <w:r w:rsidRPr="008A2891">
        <w:rPr>
          <w:rStyle w:val="FootnoteReference"/>
        </w:rPr>
        <w:footnoteRef/>
      </w:r>
      <w:r>
        <w:t xml:space="preserve"> </w:t>
      </w:r>
      <w:r>
        <w:tab/>
        <w:t>Paras 6.71 to 6.75 of the Report.</w:t>
      </w:r>
    </w:p>
  </w:footnote>
  <w:footnote w:id="67">
    <w:p w14:paraId="220A28AF" w14:textId="32A8214E" w:rsidR="000848F5" w:rsidRPr="009D7124" w:rsidRDefault="000848F5" w:rsidP="00F83688">
      <w:pPr>
        <w:pStyle w:val="FootnoteText"/>
        <w:rPr>
          <w:lang w:val="en-US"/>
        </w:rPr>
      </w:pPr>
      <w:r>
        <w:rPr>
          <w:rStyle w:val="FootnoteReference"/>
        </w:rPr>
        <w:footnoteRef/>
      </w:r>
      <w:r>
        <w:t xml:space="preserve"> </w:t>
      </w:r>
      <w:r>
        <w:rPr>
          <w:lang w:val="en-US"/>
        </w:rPr>
        <w:tab/>
        <w:t xml:space="preserve">Eg </w:t>
      </w:r>
      <w:r w:rsidRPr="00C9720F">
        <w:rPr>
          <w:lang w:val="en-US"/>
        </w:rPr>
        <w:t>in a company that develops anti-virus software, its technicians, salespersons and other non-professional employees may come into possession of computer viruses in the course of performing their duties.</w:t>
      </w:r>
    </w:p>
  </w:footnote>
  <w:footnote w:id="68">
    <w:p w14:paraId="2A8DD46A" w14:textId="1969F836" w:rsidR="000848F5" w:rsidRPr="00ED58B5" w:rsidRDefault="000848F5" w:rsidP="00F83688">
      <w:pPr>
        <w:pStyle w:val="FootnoteText"/>
        <w:rPr>
          <w:color w:val="00B050"/>
        </w:rPr>
      </w:pPr>
      <w:r w:rsidRPr="008A2891">
        <w:rPr>
          <w:rStyle w:val="FootnoteReference"/>
        </w:rPr>
        <w:footnoteRef/>
      </w:r>
      <w:r>
        <w:t xml:space="preserve"> </w:t>
      </w:r>
      <w:r>
        <w:tab/>
        <w:t>Paras 6.76 to 6.79 of the Report.</w:t>
      </w:r>
    </w:p>
  </w:footnote>
  <w:footnote w:id="69">
    <w:p w14:paraId="2B999E1B" w14:textId="4C87D483" w:rsidR="000848F5" w:rsidRPr="00ED58B5" w:rsidRDefault="000848F5" w:rsidP="00F83688">
      <w:pPr>
        <w:pStyle w:val="FootnoteText"/>
        <w:rPr>
          <w:color w:val="00B050"/>
        </w:rPr>
      </w:pPr>
      <w:r w:rsidRPr="008A2891">
        <w:rPr>
          <w:rStyle w:val="FootnoteReference"/>
        </w:rPr>
        <w:footnoteRef/>
      </w:r>
      <w:r>
        <w:t xml:space="preserve"> </w:t>
      </w:r>
      <w:r>
        <w:tab/>
        <w:t>Paras 6.82 to 6.87 of the Report.</w:t>
      </w:r>
    </w:p>
  </w:footnote>
  <w:footnote w:id="70">
    <w:p w14:paraId="6ED63467" w14:textId="66475714" w:rsidR="000848F5" w:rsidRPr="005C3B40" w:rsidRDefault="000848F5" w:rsidP="00F83688">
      <w:pPr>
        <w:pStyle w:val="FootnoteText"/>
        <w:rPr>
          <w:lang w:val="en-US"/>
        </w:rPr>
      </w:pPr>
      <w:r>
        <w:rPr>
          <w:rStyle w:val="FootnoteReference"/>
        </w:rPr>
        <w:footnoteRef/>
      </w:r>
      <w:r>
        <w:t xml:space="preserve"> </w:t>
      </w:r>
      <w:r>
        <w:rPr>
          <w:lang w:val="en-US"/>
        </w:rPr>
        <w:tab/>
        <w:t xml:space="preserve">Section 65A(2) of the Copyright Ordinance (Cap 528) provides that a “service provider” is </w:t>
      </w:r>
      <w:r>
        <w:t>“</w:t>
      </w:r>
      <w:r w:rsidRPr="001725AD">
        <w:rPr>
          <w:i/>
        </w:rPr>
        <w:t>a</w:t>
      </w:r>
      <w:r w:rsidR="00AC3A68">
        <w:rPr>
          <w:i/>
        </w:rPr>
        <w:t xml:space="preserve"> </w:t>
      </w:r>
      <w:r w:rsidRPr="001725AD">
        <w:rPr>
          <w:i/>
        </w:rPr>
        <w:t xml:space="preserve">person who, by means of electronic equipment or a network, or both, provides, or operates facilities for, any online services”.  </w:t>
      </w:r>
      <w:r w:rsidRPr="005C3B40">
        <w:t>Under s 65A(2)(a) to (c), an “online service” includes</w:t>
      </w:r>
      <w:r w:rsidRPr="005C3B40">
        <w:rPr>
          <w:lang w:val="en-US"/>
        </w:rPr>
        <w:t>:</w:t>
      </w:r>
    </w:p>
    <w:p w14:paraId="080F1D13" w14:textId="39962474" w:rsidR="000848F5" w:rsidRPr="001725AD" w:rsidRDefault="000848F5" w:rsidP="001725AD">
      <w:pPr>
        <w:pStyle w:val="FootnoteText"/>
        <w:ind w:left="714"/>
        <w:rPr>
          <w:i/>
        </w:rPr>
      </w:pPr>
      <w:r w:rsidRPr="001725AD">
        <w:rPr>
          <w:i/>
          <w:lang w:val="en-US"/>
        </w:rPr>
        <w:t>“(a)</w:t>
      </w:r>
      <w:r w:rsidRPr="001725AD">
        <w:rPr>
          <w:i/>
          <w:lang w:val="en-US"/>
        </w:rPr>
        <w:tab/>
      </w:r>
      <w:r w:rsidRPr="001725AD">
        <w:rPr>
          <w:i/>
        </w:rPr>
        <w:t>the transmission, routing, or provision of connections for digital online communications, between or among points specified by a user, of information or material of the user’s choosing;</w:t>
      </w:r>
    </w:p>
    <w:p w14:paraId="5001C077" w14:textId="1108266C" w:rsidR="000848F5" w:rsidRPr="001725AD" w:rsidRDefault="000848F5" w:rsidP="001725AD">
      <w:pPr>
        <w:pStyle w:val="FootnoteText"/>
        <w:ind w:left="714"/>
        <w:rPr>
          <w:i/>
        </w:rPr>
      </w:pPr>
      <w:r w:rsidRPr="001725AD">
        <w:rPr>
          <w:i/>
        </w:rPr>
        <w:t>(b)</w:t>
      </w:r>
      <w:r w:rsidRPr="001725AD">
        <w:rPr>
          <w:i/>
        </w:rPr>
        <w:tab/>
        <w:t>the hosting of information or material that can be accessed by a user; and</w:t>
      </w:r>
    </w:p>
    <w:p w14:paraId="1789BF13" w14:textId="6F5C556A" w:rsidR="000848F5" w:rsidRPr="00DD1278" w:rsidRDefault="000848F5" w:rsidP="001725AD">
      <w:pPr>
        <w:pStyle w:val="FootnoteText"/>
        <w:ind w:left="714"/>
        <w:rPr>
          <w:lang w:val="en-US"/>
        </w:rPr>
      </w:pPr>
      <w:r w:rsidRPr="001725AD">
        <w:rPr>
          <w:i/>
        </w:rPr>
        <w:t>(c)</w:t>
      </w:r>
      <w:r w:rsidRPr="001725AD">
        <w:rPr>
          <w:i/>
        </w:rPr>
        <w:tab/>
        <w:t>the storing of information or material on a system or network that can be accessed by a user</w:t>
      </w:r>
      <w:r w:rsidRPr="00F01EBA">
        <w:rPr>
          <w:i/>
        </w:rPr>
        <w:t>.</w:t>
      </w:r>
      <w:r w:rsidRPr="00DD1278">
        <w:t>”</w:t>
      </w:r>
    </w:p>
  </w:footnote>
  <w:footnote w:id="71">
    <w:p w14:paraId="5BBA9F42" w14:textId="03F5F4BC" w:rsidR="000848F5" w:rsidRPr="00ED58B5" w:rsidRDefault="000848F5" w:rsidP="00F83688">
      <w:pPr>
        <w:pStyle w:val="FootnoteText"/>
        <w:rPr>
          <w:color w:val="00B050"/>
        </w:rPr>
      </w:pPr>
      <w:r w:rsidRPr="008A2891">
        <w:rPr>
          <w:rStyle w:val="FootnoteReference"/>
        </w:rPr>
        <w:footnoteRef/>
      </w:r>
      <w:r>
        <w:t xml:space="preserve"> </w:t>
      </w:r>
      <w:r>
        <w:tab/>
        <w:t>Paras 6.88 to 6.92 of the Report.</w:t>
      </w:r>
    </w:p>
  </w:footnote>
  <w:footnote w:id="72">
    <w:p w14:paraId="1DFF4BD8" w14:textId="77777777" w:rsidR="000848F5" w:rsidRDefault="000848F5" w:rsidP="00F83688">
      <w:pPr>
        <w:pStyle w:val="FootnoteText"/>
      </w:pPr>
      <w:r w:rsidRPr="00B2233C">
        <w:rPr>
          <w:rStyle w:val="FootnoteReference"/>
        </w:rPr>
        <w:footnoteRef/>
      </w:r>
      <w:r w:rsidRPr="00B2233C">
        <w:t xml:space="preserve"> </w:t>
      </w:r>
      <w:r w:rsidRPr="00B2233C">
        <w:tab/>
      </w:r>
      <w:r>
        <w:t>Article 6(1) of the DSA reads:</w:t>
      </w:r>
    </w:p>
    <w:p w14:paraId="660D7150" w14:textId="536ACCF3" w:rsidR="000848F5" w:rsidRPr="00F01EBA" w:rsidRDefault="000848F5" w:rsidP="001725AD">
      <w:pPr>
        <w:pStyle w:val="FootnoteText"/>
        <w:ind w:firstLine="0"/>
        <w:rPr>
          <w:i/>
        </w:rPr>
      </w:pPr>
      <w:r w:rsidRPr="007E5D67">
        <w:rPr>
          <w:lang w:val="en-HK"/>
        </w:rPr>
        <w:t>“</w:t>
      </w:r>
      <w:r w:rsidRPr="00F01EBA">
        <w:rPr>
          <w:i/>
        </w:rPr>
        <w:t>Where an information society service is provided that consists of the storage of information provided by a recipient of the service, the service provider shall not be liable for the information stored at the request of a recipient of the service, on condition that the provider:</w:t>
      </w:r>
    </w:p>
    <w:p w14:paraId="2CC0EDB8" w14:textId="77777777" w:rsidR="000848F5" w:rsidRPr="00F01EBA" w:rsidRDefault="000848F5" w:rsidP="001725AD">
      <w:pPr>
        <w:pStyle w:val="FootnoteText"/>
        <w:numPr>
          <w:ilvl w:val="0"/>
          <w:numId w:val="42"/>
        </w:numPr>
        <w:ind w:left="714" w:hanging="357"/>
        <w:rPr>
          <w:i/>
        </w:rPr>
      </w:pPr>
      <w:r w:rsidRPr="00F01EBA">
        <w:rPr>
          <w:i/>
        </w:rPr>
        <w:t>does not have actual knowledge of illegal activity or illegal content and, as regards claims for damages, is not aware of facts or circumstances from which the illegal activity or illegal content is apparent; or</w:t>
      </w:r>
    </w:p>
    <w:p w14:paraId="006C75A7" w14:textId="77777777" w:rsidR="000848F5" w:rsidRPr="007E5D67" w:rsidRDefault="000848F5" w:rsidP="001725AD">
      <w:pPr>
        <w:pStyle w:val="FootnoteText"/>
        <w:numPr>
          <w:ilvl w:val="0"/>
          <w:numId w:val="42"/>
        </w:numPr>
        <w:ind w:left="714" w:hanging="357"/>
        <w:rPr>
          <w:lang w:val="en-HK"/>
        </w:rPr>
      </w:pPr>
      <w:r w:rsidRPr="00F01EBA">
        <w:rPr>
          <w:i/>
        </w:rPr>
        <w:t>upon obtaining such knowledge or awareness, acts expeditiously to remove or to disable access to the illegal content.</w:t>
      </w:r>
      <w:r w:rsidRPr="007E5D67">
        <w:t>”</w:t>
      </w:r>
    </w:p>
  </w:footnote>
  <w:footnote w:id="73">
    <w:p w14:paraId="4D6D7F87" w14:textId="1FC28FE8" w:rsidR="000848F5" w:rsidRPr="00ED58B5" w:rsidRDefault="000848F5" w:rsidP="00F83688">
      <w:pPr>
        <w:pStyle w:val="FootnoteText"/>
        <w:rPr>
          <w:color w:val="00B050"/>
        </w:rPr>
      </w:pPr>
      <w:r w:rsidRPr="008A2891">
        <w:rPr>
          <w:rStyle w:val="FootnoteReference"/>
        </w:rPr>
        <w:footnoteRef/>
      </w:r>
      <w:r>
        <w:t xml:space="preserve"> </w:t>
      </w:r>
      <w:r>
        <w:tab/>
        <w:t>Paras 6.93 to 6.96 of the Report.</w:t>
      </w:r>
    </w:p>
  </w:footnote>
  <w:footnote w:id="74">
    <w:p w14:paraId="0407AE48" w14:textId="69F54718" w:rsidR="000848F5" w:rsidRPr="00C13250" w:rsidRDefault="000848F5" w:rsidP="00F83688">
      <w:pPr>
        <w:pStyle w:val="FootnoteText"/>
      </w:pPr>
      <w:r w:rsidRPr="00C13250">
        <w:rPr>
          <w:rStyle w:val="FootnoteReference"/>
        </w:rPr>
        <w:footnoteRef/>
      </w:r>
      <w:r>
        <w:t xml:space="preserve"> </w:t>
      </w:r>
      <w:r>
        <w:tab/>
        <w:t>We recommend adopting a definition of “service provider” as broad as that in s</w:t>
      </w:r>
      <w:r w:rsidR="00AC3A68">
        <w:t> </w:t>
      </w:r>
      <w:r>
        <w:t xml:space="preserve">65A(2) </w:t>
      </w:r>
      <w:r w:rsidR="00AC3A68">
        <w:t xml:space="preserve">of the Copyright Ordinance (Cap </w:t>
      </w:r>
      <w:r>
        <w:t xml:space="preserve">528) so as to cover service providers </w:t>
      </w:r>
      <w:r>
        <w:rPr>
          <w:rFonts w:eastAsia="DengXian"/>
        </w:rPr>
        <w:t>of all sizes, as well as individuals who create an online space (such as a forum or website) for hosting or storing program or data</w:t>
      </w:r>
      <w:r w:rsidRPr="00C7123D">
        <w:t>.</w:t>
      </w:r>
      <w:r>
        <w:t xml:space="preserve">  See para </w:t>
      </w:r>
      <w:r w:rsidRPr="000B0CEF">
        <w:t>8</w:t>
      </w:r>
      <w:r>
        <w:t>8 of this Summary.</w:t>
      </w:r>
    </w:p>
  </w:footnote>
  <w:footnote w:id="75">
    <w:p w14:paraId="7772FD69" w14:textId="552641B0" w:rsidR="000848F5" w:rsidRPr="00C13250" w:rsidRDefault="000848F5" w:rsidP="00F83688">
      <w:pPr>
        <w:pStyle w:val="FootnoteText"/>
      </w:pPr>
      <w:r w:rsidRPr="00C13250">
        <w:rPr>
          <w:rStyle w:val="FootnoteReference"/>
        </w:rPr>
        <w:footnoteRef/>
      </w:r>
      <w:r>
        <w:t xml:space="preserve"> </w:t>
      </w:r>
      <w:r>
        <w:tab/>
        <w:t>Same as above</w:t>
      </w:r>
      <w:r w:rsidRPr="00C13250">
        <w:t>.</w:t>
      </w:r>
    </w:p>
  </w:footnote>
  <w:footnote w:id="76">
    <w:p w14:paraId="72118779" w14:textId="5F56E9F7" w:rsidR="000848F5" w:rsidRPr="00ED58B5" w:rsidRDefault="000848F5" w:rsidP="00F83688">
      <w:pPr>
        <w:pStyle w:val="FootnoteText"/>
        <w:rPr>
          <w:color w:val="00B050"/>
        </w:rPr>
      </w:pPr>
      <w:r w:rsidRPr="008A2891">
        <w:rPr>
          <w:rStyle w:val="FootnoteReference"/>
        </w:rPr>
        <w:footnoteRef/>
      </w:r>
      <w:r>
        <w:t xml:space="preserve"> </w:t>
      </w:r>
      <w:r>
        <w:tab/>
        <w:t>Paras 7.2 to 7.6 of the Report.</w:t>
      </w:r>
    </w:p>
  </w:footnote>
  <w:footnote w:id="77">
    <w:p w14:paraId="3716D64C" w14:textId="4B3C09BF" w:rsidR="000848F5" w:rsidRPr="00916AD4" w:rsidRDefault="000848F5" w:rsidP="00F83688">
      <w:pPr>
        <w:pStyle w:val="FootnoteText"/>
      </w:pPr>
      <w:r w:rsidRPr="00B2233C">
        <w:rPr>
          <w:rStyle w:val="FootnoteReference"/>
        </w:rPr>
        <w:footnoteRef/>
      </w:r>
      <w:r w:rsidRPr="00B2233C">
        <w:t xml:space="preserve"> </w:t>
      </w:r>
      <w:r w:rsidRPr="00B2233C">
        <w:tab/>
      </w:r>
      <w:r w:rsidRPr="007113FB">
        <w:t>In technical terms, any “</w:t>
      </w:r>
      <w:r w:rsidRPr="00922BF7">
        <w:rPr>
          <w:i/>
        </w:rPr>
        <w:t>act or omission or other event (including any result of one or more acts or omissions) proof of which is required for conviction of the offence</w:t>
      </w:r>
      <w:r w:rsidRPr="007113FB">
        <w:t>” as stated in s</w:t>
      </w:r>
      <w:r w:rsidR="00AC3A68">
        <w:t> </w:t>
      </w:r>
      <w:r w:rsidRPr="007113FB">
        <w:t>3(1) of the C</w:t>
      </w:r>
      <w:r>
        <w:t xml:space="preserve">riminal Jurisdiction </w:t>
      </w:r>
      <w:r w:rsidRPr="007113FB">
        <w:t>O</w:t>
      </w:r>
      <w:r>
        <w:t>rdinance (Cap 461).</w:t>
      </w:r>
    </w:p>
  </w:footnote>
  <w:footnote w:id="78">
    <w:p w14:paraId="3C0385F7" w14:textId="1DE09099" w:rsidR="000848F5" w:rsidRPr="00ED58B5" w:rsidRDefault="000848F5" w:rsidP="00F83688">
      <w:pPr>
        <w:pStyle w:val="FootnoteText"/>
        <w:rPr>
          <w:color w:val="00B050"/>
        </w:rPr>
      </w:pPr>
      <w:r w:rsidRPr="008A2891">
        <w:rPr>
          <w:rStyle w:val="FootnoteReference"/>
        </w:rPr>
        <w:footnoteRef/>
      </w:r>
      <w:r>
        <w:t xml:space="preserve"> </w:t>
      </w:r>
      <w:r>
        <w:tab/>
        <w:t>Paras 7.25 to 7.28 of the Report.</w:t>
      </w:r>
    </w:p>
  </w:footnote>
  <w:footnote w:id="79">
    <w:p w14:paraId="350D98EB" w14:textId="55BD5935" w:rsidR="000848F5" w:rsidRPr="00ED58B5" w:rsidRDefault="000848F5" w:rsidP="00F83688">
      <w:pPr>
        <w:pStyle w:val="FootnoteText"/>
        <w:rPr>
          <w:color w:val="00B050"/>
        </w:rPr>
      </w:pPr>
      <w:r w:rsidRPr="008A2891">
        <w:rPr>
          <w:rStyle w:val="FootnoteReference"/>
        </w:rPr>
        <w:footnoteRef/>
      </w:r>
      <w:r>
        <w:t xml:space="preserve"> </w:t>
      </w:r>
      <w:r>
        <w:tab/>
        <w:t>Paras 7.33 to 7.40 of the Report.</w:t>
      </w:r>
    </w:p>
  </w:footnote>
  <w:footnote w:id="80">
    <w:p w14:paraId="03065A46" w14:textId="2E1162AB" w:rsidR="000848F5" w:rsidRPr="007113FB" w:rsidRDefault="000848F5" w:rsidP="00F83688">
      <w:pPr>
        <w:pStyle w:val="FootnoteText"/>
      </w:pPr>
      <w:r w:rsidRPr="00165DD0">
        <w:rPr>
          <w:rStyle w:val="FootnoteReference"/>
        </w:rPr>
        <w:footnoteRef/>
      </w:r>
      <w:r w:rsidRPr="00165DD0">
        <w:t xml:space="preserve"> </w:t>
      </w:r>
      <w:r w:rsidRPr="00165DD0">
        <w:tab/>
      </w:r>
      <w:r>
        <w:t>Section 8(2)</w:t>
      </w:r>
      <w:r w:rsidRPr="00165DD0">
        <w:t>.</w:t>
      </w:r>
    </w:p>
  </w:footnote>
  <w:footnote w:id="81">
    <w:p w14:paraId="1EC8CF53" w14:textId="6784E691" w:rsidR="000848F5" w:rsidRPr="007113FB" w:rsidRDefault="000848F5" w:rsidP="00F83688">
      <w:pPr>
        <w:pStyle w:val="FootnoteText"/>
      </w:pPr>
      <w:r w:rsidRPr="00165DD0">
        <w:rPr>
          <w:rStyle w:val="FootnoteReference"/>
        </w:rPr>
        <w:footnoteRef/>
      </w:r>
      <w:r w:rsidRPr="00165DD0">
        <w:t xml:space="preserve"> </w:t>
      </w:r>
      <w:r w:rsidRPr="00165DD0">
        <w:tab/>
      </w:r>
      <w:r>
        <w:t>Section 4</w:t>
      </w:r>
      <w:r w:rsidRPr="00165DD0">
        <w:t>.</w:t>
      </w:r>
    </w:p>
  </w:footnote>
  <w:footnote w:id="82">
    <w:p w14:paraId="4829E6D7" w14:textId="18E1E419" w:rsidR="000848F5" w:rsidRPr="001725AD" w:rsidRDefault="000848F5" w:rsidP="00F83688">
      <w:pPr>
        <w:pStyle w:val="FootnoteText"/>
        <w:rPr>
          <w:i/>
        </w:rPr>
      </w:pPr>
      <w:r w:rsidRPr="00B2233C">
        <w:rPr>
          <w:rStyle w:val="FootnoteReference"/>
        </w:rPr>
        <w:footnoteRef/>
      </w:r>
      <w:r w:rsidRPr="00B2233C">
        <w:t xml:space="preserve"> </w:t>
      </w:r>
      <w:r w:rsidRPr="00B2233C">
        <w:tab/>
      </w:r>
      <w:r>
        <w:t xml:space="preserve">Article 40 provides that </w:t>
      </w:r>
      <w:r w:rsidRPr="00F9266F">
        <w:t>“</w:t>
      </w:r>
      <w:r w:rsidRPr="001725AD">
        <w:rPr>
          <w:i/>
        </w:rPr>
        <w:t>The Hong Kong Special Administrative Region shall have jurisdiction over cases concerning offences under [the NSL], except under the circumstances specified in Article 55 of [the NSL].”</w:t>
      </w:r>
    </w:p>
  </w:footnote>
  <w:footnote w:id="83">
    <w:p w14:paraId="05D42008" w14:textId="4FAB5F6A" w:rsidR="000848F5" w:rsidRPr="001725AD" w:rsidRDefault="000848F5" w:rsidP="00F83688">
      <w:pPr>
        <w:pStyle w:val="FootnoteText"/>
        <w:rPr>
          <w:i/>
        </w:rPr>
      </w:pPr>
      <w:r w:rsidRPr="00951426">
        <w:rPr>
          <w:rStyle w:val="FootnoteReference"/>
        </w:rPr>
        <w:footnoteRef/>
      </w:r>
      <w:r w:rsidRPr="001725AD">
        <w:rPr>
          <w:i/>
        </w:rPr>
        <w:t xml:space="preserve"> </w:t>
      </w:r>
      <w:r w:rsidRPr="001725AD">
        <w:rPr>
          <w:i/>
        </w:rPr>
        <w:tab/>
      </w:r>
      <w:r w:rsidRPr="001725AD">
        <w:t>Article 55 provides that</w:t>
      </w:r>
      <w:r w:rsidRPr="001725AD">
        <w:rPr>
          <w:i/>
        </w:rPr>
        <w:t xml:space="preserve"> “The Office for Safeguarding National Security of the Central People’s Government in the Hong Kong Special Administrative Region shall, upon approval by the Central People’s Government of a request made by the Government of the Hong Kong Special Administrative Region or by the Office itself, exercise jurisdiction over a case concerning offence endangering national security under [the NSL], if:</w:t>
      </w:r>
    </w:p>
    <w:p w14:paraId="2A132C27" w14:textId="791DE891" w:rsidR="000848F5" w:rsidRPr="001725AD" w:rsidRDefault="000848F5" w:rsidP="00D86F6E">
      <w:pPr>
        <w:pStyle w:val="FootnoteText"/>
        <w:numPr>
          <w:ilvl w:val="0"/>
          <w:numId w:val="61"/>
        </w:numPr>
        <w:ind w:left="714" w:hanging="357"/>
        <w:rPr>
          <w:i/>
        </w:rPr>
      </w:pPr>
      <w:r w:rsidRPr="001725AD">
        <w:rPr>
          <w:i/>
        </w:rPr>
        <w:t>the case is complex due to the involvement of a foreign country or external elements, thus making it difficult for the Region to exercise jurisdiction over the case;</w:t>
      </w:r>
    </w:p>
    <w:p w14:paraId="2758CEF8" w14:textId="7AD4616E" w:rsidR="000848F5" w:rsidRPr="001725AD" w:rsidRDefault="000848F5" w:rsidP="001725AD">
      <w:pPr>
        <w:pStyle w:val="FootnoteText"/>
        <w:numPr>
          <w:ilvl w:val="0"/>
          <w:numId w:val="61"/>
        </w:numPr>
        <w:ind w:left="714" w:hanging="357"/>
        <w:rPr>
          <w:i/>
        </w:rPr>
      </w:pPr>
      <w:r w:rsidRPr="001725AD">
        <w:rPr>
          <w:i/>
        </w:rPr>
        <w:t>a serious situation occurs where the Government of the Region is unable to effectively enforce [the NSL]; or</w:t>
      </w:r>
    </w:p>
    <w:p w14:paraId="40AAA070" w14:textId="21653EEC" w:rsidR="000848F5" w:rsidRPr="00916AD4" w:rsidRDefault="000848F5" w:rsidP="001725AD">
      <w:pPr>
        <w:pStyle w:val="FootnoteText"/>
        <w:numPr>
          <w:ilvl w:val="0"/>
          <w:numId w:val="61"/>
        </w:numPr>
        <w:ind w:left="714" w:hanging="357"/>
      </w:pPr>
      <w:r w:rsidRPr="001725AD">
        <w:rPr>
          <w:i/>
        </w:rPr>
        <w:t>a major and imminent threat to national security has occurred</w:t>
      </w:r>
      <w:r w:rsidRPr="00F01EBA">
        <w:rPr>
          <w:i/>
        </w:rPr>
        <w:t>.</w:t>
      </w:r>
      <w:r w:rsidRPr="00F9266F">
        <w:t>”</w:t>
      </w:r>
    </w:p>
  </w:footnote>
  <w:footnote w:id="84">
    <w:p w14:paraId="780647DD" w14:textId="4FA98FE4" w:rsidR="000848F5" w:rsidRPr="00916AD4" w:rsidRDefault="000848F5" w:rsidP="00F83688">
      <w:pPr>
        <w:pStyle w:val="FootnoteText"/>
      </w:pPr>
      <w:r w:rsidRPr="00B2233C">
        <w:rPr>
          <w:rStyle w:val="FootnoteReference"/>
        </w:rPr>
        <w:footnoteRef/>
      </w:r>
      <w:r w:rsidRPr="00B2233C">
        <w:t xml:space="preserve"> </w:t>
      </w:r>
      <w:r w:rsidRPr="00B2233C">
        <w:tab/>
      </w:r>
      <w:r>
        <w:t xml:space="preserve">Article 56 provides that </w:t>
      </w:r>
      <w:r w:rsidRPr="00F9266F">
        <w:t>“</w:t>
      </w:r>
      <w:r w:rsidRPr="00F01EBA">
        <w:rPr>
          <w:i/>
        </w:rPr>
        <w:t>In exercising jurisdiction over a case concerning offence endangering national security pursuant to Article 55 of [the NSL], the Office for Safeguarding National Security of the Central People’s Government in the Hong Kong Special Administrative Region shall initiate investigation into the case, while the Supreme People’s Procuratorate shall designate a prosecuting body to prosecute the case and the Supreme People’s Court shall designate a court to adjudicate it.</w:t>
      </w:r>
      <w:r w:rsidRPr="00F9266F">
        <w:t>”</w:t>
      </w:r>
    </w:p>
  </w:footnote>
  <w:footnote w:id="85">
    <w:p w14:paraId="308175FB" w14:textId="1FF3745D" w:rsidR="000848F5" w:rsidRPr="00E870B5" w:rsidRDefault="000848F5" w:rsidP="00F83688">
      <w:pPr>
        <w:pStyle w:val="FootnoteText"/>
        <w:rPr>
          <w:color w:val="00B050"/>
          <w:lang w:val="en-US"/>
        </w:rPr>
      </w:pPr>
      <w:r w:rsidRPr="008A2891">
        <w:rPr>
          <w:rStyle w:val="FootnoteReference"/>
        </w:rPr>
        <w:footnoteRef/>
      </w:r>
      <w:r>
        <w:t xml:space="preserve"> </w:t>
      </w:r>
      <w:r>
        <w:tab/>
        <w:t>Paras 7.20 to 7.22, 7.31 and 7.32 of the Report.</w:t>
      </w:r>
    </w:p>
  </w:footnote>
  <w:footnote w:id="86">
    <w:p w14:paraId="1122F3D6" w14:textId="0EC20CA0" w:rsidR="000848F5" w:rsidRPr="00ED58B5" w:rsidRDefault="000848F5" w:rsidP="00F83688">
      <w:pPr>
        <w:pStyle w:val="FootnoteText"/>
        <w:rPr>
          <w:color w:val="00B050"/>
        </w:rPr>
      </w:pPr>
      <w:r w:rsidRPr="008A2891">
        <w:rPr>
          <w:rStyle w:val="FootnoteReference"/>
        </w:rPr>
        <w:footnoteRef/>
      </w:r>
      <w:r>
        <w:t xml:space="preserve"> </w:t>
      </w:r>
      <w:r>
        <w:tab/>
        <w:t>Paras 8.9 to 8.13 of the Report.</w:t>
      </w:r>
    </w:p>
  </w:footnote>
  <w:footnote w:id="87">
    <w:p w14:paraId="75D1259E" w14:textId="63AB9896" w:rsidR="000848F5" w:rsidRPr="00ED58B5" w:rsidRDefault="000848F5" w:rsidP="00F83688">
      <w:pPr>
        <w:pStyle w:val="FootnoteText"/>
        <w:rPr>
          <w:color w:val="00B050"/>
        </w:rPr>
      </w:pPr>
      <w:r w:rsidRPr="008A2891">
        <w:rPr>
          <w:rStyle w:val="FootnoteReference"/>
        </w:rPr>
        <w:footnoteRef/>
      </w:r>
      <w:r>
        <w:t xml:space="preserve"> </w:t>
      </w:r>
      <w:r>
        <w:tab/>
        <w:t>Paras 8.14 to 8.18 of the Report.</w:t>
      </w:r>
    </w:p>
  </w:footnote>
  <w:footnote w:id="88">
    <w:p w14:paraId="5719833F" w14:textId="4418C2C5" w:rsidR="000848F5" w:rsidRPr="00420D0E" w:rsidRDefault="000848F5" w:rsidP="00F83688">
      <w:pPr>
        <w:pStyle w:val="FootnoteText"/>
        <w:rPr>
          <w:i/>
        </w:rPr>
      </w:pPr>
      <w:r w:rsidRPr="003367C0">
        <w:rPr>
          <w:rStyle w:val="FootnoteReference"/>
        </w:rPr>
        <w:footnoteRef/>
      </w:r>
      <w:r w:rsidRPr="00420D0E">
        <w:t xml:space="preserve"> </w:t>
      </w:r>
      <w:r w:rsidRPr="00420D0E">
        <w:tab/>
        <w:t>S</w:t>
      </w:r>
      <w:r>
        <w:t>ection</w:t>
      </w:r>
      <w:r w:rsidRPr="00420D0E">
        <w:t xml:space="preserve"> 60(2) of the CO provides that:</w:t>
      </w:r>
    </w:p>
    <w:p w14:paraId="08CCE3FA" w14:textId="3A78112A" w:rsidR="000848F5" w:rsidRPr="00F01EBA" w:rsidRDefault="000848F5" w:rsidP="001725AD">
      <w:pPr>
        <w:pStyle w:val="FootnoteText"/>
        <w:ind w:firstLine="0"/>
        <w:rPr>
          <w:i/>
        </w:rPr>
      </w:pPr>
      <w:r w:rsidRPr="00810C0F">
        <w:t>“</w:t>
      </w:r>
      <w:r w:rsidRPr="00F01EBA">
        <w:rPr>
          <w:i/>
        </w:rPr>
        <w:t>A person who without lawful excuse destroys or damages any property, whether belonging to himself or another—</w:t>
      </w:r>
    </w:p>
    <w:p w14:paraId="3752AA5D" w14:textId="77777777" w:rsidR="000848F5" w:rsidRPr="00F01EBA" w:rsidRDefault="000848F5" w:rsidP="001725AD">
      <w:pPr>
        <w:pStyle w:val="FootnoteText"/>
        <w:numPr>
          <w:ilvl w:val="0"/>
          <w:numId w:val="58"/>
        </w:numPr>
        <w:ind w:left="714" w:hanging="357"/>
        <w:rPr>
          <w:i/>
        </w:rPr>
      </w:pPr>
      <w:r w:rsidRPr="00F01EBA">
        <w:rPr>
          <w:i/>
        </w:rPr>
        <w:t>intending to destroy or damage any property or being reckless as to whether any property would be destroyed or damaged; and</w:t>
      </w:r>
    </w:p>
    <w:p w14:paraId="795E82A1" w14:textId="77777777" w:rsidR="000848F5" w:rsidRPr="00F01EBA" w:rsidRDefault="000848F5" w:rsidP="001725AD">
      <w:pPr>
        <w:pStyle w:val="FootnoteText"/>
        <w:numPr>
          <w:ilvl w:val="0"/>
          <w:numId w:val="58"/>
        </w:numPr>
        <w:ind w:left="714" w:hanging="357"/>
        <w:rPr>
          <w:i/>
        </w:rPr>
      </w:pPr>
      <w:r w:rsidRPr="00F01EBA">
        <w:rPr>
          <w:i/>
          <w:u w:val="single"/>
        </w:rPr>
        <w:t>intending</w:t>
      </w:r>
      <w:r w:rsidRPr="00F01EBA">
        <w:rPr>
          <w:i/>
        </w:rPr>
        <w:t xml:space="preserve"> by the destruction or damage </w:t>
      </w:r>
      <w:r w:rsidRPr="00F01EBA">
        <w:rPr>
          <w:i/>
          <w:u w:val="single"/>
        </w:rPr>
        <w:t>to endanger the lif</w:t>
      </w:r>
      <w:r w:rsidRPr="00151466">
        <w:rPr>
          <w:i/>
          <w:u w:val="single"/>
        </w:rPr>
        <w:t>e o</w:t>
      </w:r>
      <w:r w:rsidRPr="00F01EBA">
        <w:rPr>
          <w:i/>
          <w:u w:val="single"/>
        </w:rPr>
        <w:t>f another</w:t>
      </w:r>
      <w:r w:rsidRPr="00F01EBA">
        <w:rPr>
          <w:i/>
        </w:rPr>
        <w:t xml:space="preserve"> or being </w:t>
      </w:r>
      <w:r w:rsidRPr="00F01EBA">
        <w:rPr>
          <w:i/>
          <w:u w:val="single"/>
        </w:rPr>
        <w:t>reckless</w:t>
      </w:r>
      <w:r w:rsidRPr="00F01EBA">
        <w:rPr>
          <w:i/>
        </w:rPr>
        <w:t xml:space="preserve"> as to </w:t>
      </w:r>
      <w:r w:rsidRPr="00F01EBA">
        <w:rPr>
          <w:i/>
          <w:u w:val="single"/>
        </w:rPr>
        <w:t>whether</w:t>
      </w:r>
      <w:r w:rsidRPr="00F01EBA">
        <w:rPr>
          <w:i/>
        </w:rPr>
        <w:t xml:space="preserve"> the </w:t>
      </w:r>
      <w:r w:rsidRPr="00F01EBA">
        <w:rPr>
          <w:i/>
          <w:u w:val="single"/>
        </w:rPr>
        <w:t>life</w:t>
      </w:r>
      <w:r w:rsidRPr="00F01EBA">
        <w:rPr>
          <w:i/>
        </w:rPr>
        <w:t xml:space="preserve"> of another would be thereby </w:t>
      </w:r>
      <w:r w:rsidRPr="00F01EBA">
        <w:rPr>
          <w:i/>
          <w:u w:val="single"/>
        </w:rPr>
        <w:t>endangered</w:t>
      </w:r>
      <w:r w:rsidRPr="00F01EBA">
        <w:rPr>
          <w:i/>
        </w:rPr>
        <w:t>,</w:t>
      </w:r>
    </w:p>
    <w:p w14:paraId="39C65A51" w14:textId="77777777" w:rsidR="000848F5" w:rsidRPr="00FC1826" w:rsidRDefault="000848F5" w:rsidP="001725AD">
      <w:pPr>
        <w:pStyle w:val="FootnoteText"/>
        <w:ind w:left="714"/>
      </w:pPr>
      <w:r w:rsidRPr="00F01EBA">
        <w:rPr>
          <w:i/>
        </w:rPr>
        <w:t>shall be guilty of an offence.</w:t>
      </w:r>
      <w:r w:rsidRPr="00810C0F">
        <w:t>”</w:t>
      </w:r>
      <w:r w:rsidRPr="00FC1826">
        <w:t xml:space="preserve"> </w:t>
      </w:r>
      <w:r w:rsidRPr="00420D0E">
        <w:t>(emphasis added)</w:t>
      </w:r>
    </w:p>
  </w:footnote>
  <w:footnote w:id="89">
    <w:p w14:paraId="100A5087" w14:textId="4EA8379E" w:rsidR="000848F5" w:rsidRPr="00F26FCE" w:rsidRDefault="000848F5" w:rsidP="00F83688">
      <w:pPr>
        <w:pStyle w:val="FootnoteText"/>
      </w:pPr>
      <w:r w:rsidRPr="008A2891">
        <w:rPr>
          <w:rStyle w:val="FootnoteReference"/>
        </w:rPr>
        <w:footnoteRef/>
      </w:r>
      <w:r>
        <w:t xml:space="preserve"> </w:t>
      </w:r>
      <w:r>
        <w:tab/>
        <w:t>E</w:t>
      </w:r>
      <w:r w:rsidRPr="00F26FCE">
        <w:t>g interference with computer data processed by the system of an airport’s control tower, a railway si</w:t>
      </w:r>
      <w:r>
        <w:t>gnal system, a power plant, etc.</w:t>
      </w:r>
    </w:p>
  </w:footnote>
  <w:footnote w:id="90">
    <w:p w14:paraId="6CCD9B37" w14:textId="65560ED9" w:rsidR="000848F5" w:rsidRPr="003367C0" w:rsidRDefault="000848F5" w:rsidP="00F83688">
      <w:pPr>
        <w:pStyle w:val="FootnoteText"/>
        <w:rPr>
          <w:i/>
        </w:rPr>
      </w:pPr>
      <w:r w:rsidRPr="003367C0">
        <w:rPr>
          <w:rStyle w:val="FootnoteReference"/>
        </w:rPr>
        <w:footnoteRef/>
      </w:r>
      <w:r>
        <w:tab/>
        <w:t>The representative types of crimes used as references are the offences of theft, fraud, blackmail, burglary, aggravated burglary</w:t>
      </w:r>
      <w:r w:rsidRPr="003367C0">
        <w:t xml:space="preserve"> </w:t>
      </w:r>
      <w:r>
        <w:t>and robbery under the Theft Ordinance (Cap 210)</w:t>
      </w:r>
      <w:r w:rsidRPr="003367C0">
        <w:t>.</w:t>
      </w:r>
    </w:p>
  </w:footnote>
  <w:footnote w:id="91">
    <w:p w14:paraId="26C89115" w14:textId="56D80E38" w:rsidR="000848F5" w:rsidRPr="007B1941" w:rsidRDefault="000848F5" w:rsidP="00F83688">
      <w:pPr>
        <w:pStyle w:val="FootnoteText"/>
        <w:rPr>
          <w:i/>
        </w:rPr>
      </w:pPr>
      <w:r w:rsidRPr="003367C0">
        <w:rPr>
          <w:rStyle w:val="FootnoteReference"/>
        </w:rPr>
        <w:footnoteRef/>
      </w:r>
      <w:r>
        <w:tab/>
      </w:r>
      <w:r w:rsidRPr="00420D0E">
        <w:t>See the Appendix to the C</w:t>
      </w:r>
      <w:r>
        <w:t>P</w:t>
      </w:r>
      <w:r w:rsidRPr="00420D0E">
        <w:t xml:space="preserve">, which summarises the maximum sentences for the five </w:t>
      </w:r>
      <w:r w:rsidRPr="007B1941">
        <w:t>proposed cyber-dependent offences under the current laws in Hong Kong and other jurisdictions.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66F2A"/>
    <w:lvl w:ilvl="0">
      <w:start w:val="1"/>
      <w:numFmt w:val="bullet"/>
      <w:pStyle w:val="ListBullet"/>
      <w:lvlText w:val=""/>
      <w:lvlJc w:val="left"/>
      <w:pPr>
        <w:tabs>
          <w:tab w:val="num" w:pos="1440"/>
        </w:tabs>
        <w:ind w:left="1440" w:hanging="720"/>
      </w:pPr>
      <w:rPr>
        <w:rFonts w:ascii="Symbol" w:hAnsi="Symbol" w:hint="default"/>
      </w:rPr>
    </w:lvl>
  </w:abstractNum>
  <w:abstractNum w:abstractNumId="1" w15:restartNumberingAfterBreak="0">
    <w:nsid w:val="FFFFFFFB"/>
    <w:multiLevelType w:val="multilevel"/>
    <w:tmpl w:val="CC742432"/>
    <w:lvl w:ilvl="0">
      <w:start w:val="1"/>
      <w:numFmt w:val="decimal"/>
      <w:suff w:val="nothing"/>
      <w:lvlText w:val="CHAPTER %1"/>
      <w:lvlJc w:val="left"/>
      <w:pPr>
        <w:ind w:left="4253" w:firstLine="0"/>
      </w:pPr>
      <w:rPr>
        <w:rFonts w:hint="eastAsia"/>
        <w:b/>
        <w:i w:val="0"/>
        <w:sz w:val="28"/>
      </w:rPr>
    </w:lvl>
    <w:lvl w:ilvl="1">
      <w:start w:val="1"/>
      <w:numFmt w:val="decimal"/>
      <w:lvlText w:val="%1.%2"/>
      <w:lvlJc w:val="left"/>
      <w:pPr>
        <w:tabs>
          <w:tab w:val="num" w:pos="709"/>
        </w:tabs>
        <w:ind w:left="709" w:hanging="709"/>
      </w:pPr>
      <w:rPr>
        <w:rFonts w:hint="default"/>
        <w:b w:val="0"/>
        <w:i w:val="0"/>
        <w:color w:val="000000"/>
      </w:rPr>
    </w:lvl>
    <w:lvl w:ilvl="2">
      <w:start w:val="1"/>
      <w:numFmt w:val="decimal"/>
      <w:lvlText w:val="%1.%2.%3"/>
      <w:lvlJc w:val="left"/>
      <w:pPr>
        <w:tabs>
          <w:tab w:val="num" w:pos="1417"/>
        </w:tabs>
        <w:ind w:left="1417"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04D38DB"/>
    <w:multiLevelType w:val="hybridMultilevel"/>
    <w:tmpl w:val="174E6412"/>
    <w:lvl w:ilvl="0" w:tplc="8BD872FE">
      <w:start w:val="1"/>
      <w:numFmt w:val="decimal"/>
      <w:lvlText w:val="(%1)"/>
      <w:lvlJc w:val="left"/>
      <w:pPr>
        <w:ind w:left="720" w:hanging="360"/>
      </w:pPr>
      <w:rPr>
        <w:rFonts w:hint="eastAsia"/>
        <w:b w:val="0"/>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683C"/>
    <w:multiLevelType w:val="hybridMultilevel"/>
    <w:tmpl w:val="1186B960"/>
    <w:lvl w:ilvl="0" w:tplc="04160338">
      <w:start w:val="1"/>
      <w:numFmt w:val="lowerRoman"/>
      <w:lvlText w:val="(%1)"/>
      <w:lvlJc w:val="left"/>
      <w:pPr>
        <w:ind w:left="6654" w:hanging="480"/>
      </w:pPr>
      <w:rPr>
        <w:rFonts w:hint="default"/>
      </w:rPr>
    </w:lvl>
    <w:lvl w:ilvl="1" w:tplc="04090019" w:tentative="1">
      <w:start w:val="1"/>
      <w:numFmt w:val="ideographTraditional"/>
      <w:lvlText w:val="%2、"/>
      <w:lvlJc w:val="left"/>
      <w:pPr>
        <w:ind w:left="7134" w:hanging="480"/>
      </w:pPr>
    </w:lvl>
    <w:lvl w:ilvl="2" w:tplc="0409001B" w:tentative="1">
      <w:start w:val="1"/>
      <w:numFmt w:val="lowerRoman"/>
      <w:lvlText w:val="%3."/>
      <w:lvlJc w:val="right"/>
      <w:pPr>
        <w:ind w:left="7614" w:hanging="480"/>
      </w:pPr>
    </w:lvl>
    <w:lvl w:ilvl="3" w:tplc="0409000F" w:tentative="1">
      <w:start w:val="1"/>
      <w:numFmt w:val="decimal"/>
      <w:lvlText w:val="%4."/>
      <w:lvlJc w:val="left"/>
      <w:pPr>
        <w:ind w:left="8094" w:hanging="480"/>
      </w:pPr>
    </w:lvl>
    <w:lvl w:ilvl="4" w:tplc="04090019" w:tentative="1">
      <w:start w:val="1"/>
      <w:numFmt w:val="ideographTraditional"/>
      <w:lvlText w:val="%5、"/>
      <w:lvlJc w:val="left"/>
      <w:pPr>
        <w:ind w:left="8574" w:hanging="480"/>
      </w:pPr>
    </w:lvl>
    <w:lvl w:ilvl="5" w:tplc="0409001B" w:tentative="1">
      <w:start w:val="1"/>
      <w:numFmt w:val="lowerRoman"/>
      <w:lvlText w:val="%6."/>
      <w:lvlJc w:val="right"/>
      <w:pPr>
        <w:ind w:left="9054" w:hanging="480"/>
      </w:pPr>
    </w:lvl>
    <w:lvl w:ilvl="6" w:tplc="0409000F" w:tentative="1">
      <w:start w:val="1"/>
      <w:numFmt w:val="decimal"/>
      <w:lvlText w:val="%7."/>
      <w:lvlJc w:val="left"/>
      <w:pPr>
        <w:ind w:left="9534" w:hanging="480"/>
      </w:pPr>
    </w:lvl>
    <w:lvl w:ilvl="7" w:tplc="04090019" w:tentative="1">
      <w:start w:val="1"/>
      <w:numFmt w:val="ideographTraditional"/>
      <w:lvlText w:val="%8、"/>
      <w:lvlJc w:val="left"/>
      <w:pPr>
        <w:ind w:left="10014" w:hanging="480"/>
      </w:pPr>
    </w:lvl>
    <w:lvl w:ilvl="8" w:tplc="0409001B" w:tentative="1">
      <w:start w:val="1"/>
      <w:numFmt w:val="lowerRoman"/>
      <w:lvlText w:val="%9."/>
      <w:lvlJc w:val="right"/>
      <w:pPr>
        <w:ind w:left="10494" w:hanging="480"/>
      </w:pPr>
    </w:lvl>
  </w:abstractNum>
  <w:abstractNum w:abstractNumId="4" w15:restartNumberingAfterBreak="0">
    <w:nsid w:val="04F555DC"/>
    <w:multiLevelType w:val="hybridMultilevel"/>
    <w:tmpl w:val="7CBEF74A"/>
    <w:lvl w:ilvl="0" w:tplc="56849898">
      <w:start w:val="1"/>
      <w:numFmt w:val="lowerLetter"/>
      <w:lvlText w:val="(%1)"/>
      <w:lvlJc w:val="left"/>
      <w:pPr>
        <w:ind w:left="360" w:hanging="360"/>
      </w:pPr>
      <w:rPr>
        <w:rFonts w:cs="Times New Roman" w:hint="default"/>
        <w:i/>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EB760F"/>
    <w:multiLevelType w:val="hybridMultilevel"/>
    <w:tmpl w:val="C21661AC"/>
    <w:lvl w:ilvl="0" w:tplc="5D2024A8">
      <w:start w:val="1"/>
      <w:numFmt w:val="lowerLetter"/>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007DCE"/>
    <w:multiLevelType w:val="hybridMultilevel"/>
    <w:tmpl w:val="31FE23F2"/>
    <w:lvl w:ilvl="0" w:tplc="4BDA671C">
      <w:start w:val="1"/>
      <w:numFmt w:val="lowerRoman"/>
      <w:lvlText w:val="(%1)"/>
      <w:lvlJc w:val="left"/>
      <w:pPr>
        <w:ind w:left="1080" w:hanging="720"/>
      </w:pPr>
      <w:rPr>
        <w:rFonts w:eastAsia="MS PGothic" w:hint="default"/>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0B42117E"/>
    <w:multiLevelType w:val="hybridMultilevel"/>
    <w:tmpl w:val="A97C8E76"/>
    <w:lvl w:ilvl="0" w:tplc="2BD05A5A">
      <w:start w:val="1"/>
      <w:numFmt w:val="decimal"/>
      <w:lvlText w:val="%1."/>
      <w:lvlJc w:val="left"/>
      <w:pPr>
        <w:ind w:left="7119" w:hanging="1425"/>
      </w:pPr>
      <w:rPr>
        <w:rFonts w:hint="default"/>
        <w:i w:val="0"/>
        <w:sz w:val="24"/>
        <w:szCs w:val="24"/>
      </w:rPr>
    </w:lvl>
    <w:lvl w:ilvl="1" w:tplc="6E82EF2C">
      <w:start w:val="1"/>
      <w:numFmt w:val="lowerLetter"/>
      <w:lvlText w:val="(%2)"/>
      <w:lvlJc w:val="left"/>
      <w:pPr>
        <w:ind w:left="6654" w:hanging="480"/>
      </w:pPr>
      <w:rPr>
        <w:rFonts w:hint="default"/>
        <w:sz w:val="24"/>
        <w:szCs w:val="24"/>
      </w:rPr>
    </w:lvl>
    <w:lvl w:ilvl="2" w:tplc="550AF9AE">
      <w:start w:val="1"/>
      <w:numFmt w:val="lowerLetter"/>
      <w:lvlText w:val="(%3)"/>
      <w:lvlJc w:val="left"/>
      <w:pPr>
        <w:ind w:left="7014" w:hanging="360"/>
      </w:pPr>
      <w:rPr>
        <w:rFonts w:hint="default"/>
      </w:rPr>
    </w:lvl>
    <w:lvl w:ilvl="3" w:tplc="02B2D4D8">
      <w:start w:val="1"/>
      <w:numFmt w:val="decimal"/>
      <w:lvlText w:val="(%4)"/>
      <w:lvlJc w:val="left"/>
      <w:pPr>
        <w:ind w:left="7494" w:hanging="360"/>
      </w:pPr>
      <w:rPr>
        <w:rFonts w:eastAsia="MS PGothic" w:hint="default"/>
        <w:sz w:val="24"/>
        <w:szCs w:val="24"/>
      </w:rPr>
    </w:lvl>
    <w:lvl w:ilvl="4" w:tplc="04090019" w:tentative="1">
      <w:start w:val="1"/>
      <w:numFmt w:val="ideographTraditional"/>
      <w:lvlText w:val="%5、"/>
      <w:lvlJc w:val="left"/>
      <w:pPr>
        <w:ind w:left="8094" w:hanging="480"/>
      </w:pPr>
    </w:lvl>
    <w:lvl w:ilvl="5" w:tplc="0409001B" w:tentative="1">
      <w:start w:val="1"/>
      <w:numFmt w:val="lowerRoman"/>
      <w:lvlText w:val="%6."/>
      <w:lvlJc w:val="right"/>
      <w:pPr>
        <w:ind w:left="8574" w:hanging="480"/>
      </w:pPr>
    </w:lvl>
    <w:lvl w:ilvl="6" w:tplc="0409000F" w:tentative="1">
      <w:start w:val="1"/>
      <w:numFmt w:val="decimal"/>
      <w:lvlText w:val="%7."/>
      <w:lvlJc w:val="left"/>
      <w:pPr>
        <w:ind w:left="9054" w:hanging="480"/>
      </w:pPr>
    </w:lvl>
    <w:lvl w:ilvl="7" w:tplc="04090019" w:tentative="1">
      <w:start w:val="1"/>
      <w:numFmt w:val="ideographTraditional"/>
      <w:lvlText w:val="%8、"/>
      <w:lvlJc w:val="left"/>
      <w:pPr>
        <w:ind w:left="9534" w:hanging="480"/>
      </w:pPr>
    </w:lvl>
    <w:lvl w:ilvl="8" w:tplc="0409001B" w:tentative="1">
      <w:start w:val="1"/>
      <w:numFmt w:val="lowerRoman"/>
      <w:lvlText w:val="%9."/>
      <w:lvlJc w:val="right"/>
      <w:pPr>
        <w:ind w:left="10014" w:hanging="480"/>
      </w:pPr>
    </w:lvl>
  </w:abstractNum>
  <w:abstractNum w:abstractNumId="8" w15:restartNumberingAfterBreak="0">
    <w:nsid w:val="0DF3621E"/>
    <w:multiLevelType w:val="hybridMultilevel"/>
    <w:tmpl w:val="CA746AF2"/>
    <w:lvl w:ilvl="0" w:tplc="F2E24A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661DF2"/>
    <w:multiLevelType w:val="hybridMultilevel"/>
    <w:tmpl w:val="FBF211C8"/>
    <w:lvl w:ilvl="0" w:tplc="2BD05A5A">
      <w:start w:val="1"/>
      <w:numFmt w:val="decimal"/>
      <w:lvlText w:val="%1."/>
      <w:lvlJc w:val="left"/>
      <w:pPr>
        <w:ind w:left="7119" w:hanging="1425"/>
      </w:pPr>
      <w:rPr>
        <w:rFonts w:hint="default"/>
        <w:i w:val="0"/>
        <w:sz w:val="24"/>
        <w:szCs w:val="24"/>
      </w:rPr>
    </w:lvl>
    <w:lvl w:ilvl="1" w:tplc="9708B836">
      <w:start w:val="1"/>
      <w:numFmt w:val="lowerLetter"/>
      <w:lvlText w:val="(%2)"/>
      <w:lvlJc w:val="left"/>
      <w:pPr>
        <w:ind w:left="6654" w:hanging="480"/>
      </w:pPr>
      <w:rPr>
        <w:rFonts w:hint="eastAsia"/>
      </w:rPr>
    </w:lvl>
    <w:lvl w:ilvl="2" w:tplc="0409001B" w:tentative="1">
      <w:start w:val="1"/>
      <w:numFmt w:val="lowerRoman"/>
      <w:lvlText w:val="%3."/>
      <w:lvlJc w:val="right"/>
      <w:pPr>
        <w:ind w:left="7134" w:hanging="480"/>
      </w:pPr>
    </w:lvl>
    <w:lvl w:ilvl="3" w:tplc="0409000F" w:tentative="1">
      <w:start w:val="1"/>
      <w:numFmt w:val="decimal"/>
      <w:lvlText w:val="%4."/>
      <w:lvlJc w:val="left"/>
      <w:pPr>
        <w:ind w:left="7614" w:hanging="480"/>
      </w:pPr>
    </w:lvl>
    <w:lvl w:ilvl="4" w:tplc="04090019" w:tentative="1">
      <w:start w:val="1"/>
      <w:numFmt w:val="ideographTraditional"/>
      <w:lvlText w:val="%5、"/>
      <w:lvlJc w:val="left"/>
      <w:pPr>
        <w:ind w:left="8094" w:hanging="480"/>
      </w:pPr>
    </w:lvl>
    <w:lvl w:ilvl="5" w:tplc="0409001B" w:tentative="1">
      <w:start w:val="1"/>
      <w:numFmt w:val="lowerRoman"/>
      <w:lvlText w:val="%6."/>
      <w:lvlJc w:val="right"/>
      <w:pPr>
        <w:ind w:left="8574" w:hanging="480"/>
      </w:pPr>
    </w:lvl>
    <w:lvl w:ilvl="6" w:tplc="0409000F" w:tentative="1">
      <w:start w:val="1"/>
      <w:numFmt w:val="decimal"/>
      <w:lvlText w:val="%7."/>
      <w:lvlJc w:val="left"/>
      <w:pPr>
        <w:ind w:left="9054" w:hanging="480"/>
      </w:pPr>
    </w:lvl>
    <w:lvl w:ilvl="7" w:tplc="04090019" w:tentative="1">
      <w:start w:val="1"/>
      <w:numFmt w:val="ideographTraditional"/>
      <w:lvlText w:val="%8、"/>
      <w:lvlJc w:val="left"/>
      <w:pPr>
        <w:ind w:left="9534" w:hanging="480"/>
      </w:pPr>
    </w:lvl>
    <w:lvl w:ilvl="8" w:tplc="0409001B" w:tentative="1">
      <w:start w:val="1"/>
      <w:numFmt w:val="lowerRoman"/>
      <w:lvlText w:val="%9."/>
      <w:lvlJc w:val="right"/>
      <w:pPr>
        <w:ind w:left="10014" w:hanging="480"/>
      </w:pPr>
    </w:lvl>
  </w:abstractNum>
  <w:abstractNum w:abstractNumId="10" w15:restartNumberingAfterBreak="0">
    <w:nsid w:val="0F3F0C5C"/>
    <w:multiLevelType w:val="hybridMultilevel"/>
    <w:tmpl w:val="AE2EB08A"/>
    <w:lvl w:ilvl="0" w:tplc="1018B394">
      <w:start w:val="1"/>
      <w:numFmt w:val="lowerRoman"/>
      <w:lvlText w:val="(%1)"/>
      <w:lvlJc w:val="left"/>
      <w:pPr>
        <w:ind w:left="1080" w:hanging="720"/>
      </w:pPr>
      <w:rPr>
        <w:rFonts w:eastAsia="MS PGothic" w:hint="default"/>
        <w:i/>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0F530B3B"/>
    <w:multiLevelType w:val="hybridMultilevel"/>
    <w:tmpl w:val="231AEAFC"/>
    <w:lvl w:ilvl="0" w:tplc="04521AB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32095E"/>
    <w:multiLevelType w:val="hybridMultilevel"/>
    <w:tmpl w:val="F8DCB33E"/>
    <w:lvl w:ilvl="0" w:tplc="2BD05A5A">
      <w:start w:val="1"/>
      <w:numFmt w:val="decimal"/>
      <w:lvlText w:val="%1."/>
      <w:lvlJc w:val="left"/>
      <w:pPr>
        <w:ind w:left="7119" w:hanging="1425"/>
      </w:pPr>
      <w:rPr>
        <w:rFonts w:hint="default"/>
        <w:i w:val="0"/>
        <w:sz w:val="24"/>
        <w:szCs w:val="24"/>
      </w:rPr>
    </w:lvl>
    <w:lvl w:ilvl="1" w:tplc="D6C01380">
      <w:start w:val="1"/>
      <w:numFmt w:val="lowerRoman"/>
      <w:lvlText w:val="(%2)"/>
      <w:lvlJc w:val="left"/>
      <w:pPr>
        <w:ind w:left="622" w:hanging="480"/>
      </w:pPr>
      <w:rPr>
        <w:rFonts w:cs="Arial" w:hint="default"/>
        <w:b w:val="0"/>
        <w:i/>
        <w:sz w:val="24"/>
        <w:szCs w:val="24"/>
        <w:lang w:val="en-US"/>
      </w:rPr>
    </w:lvl>
    <w:lvl w:ilvl="2" w:tplc="0409001B" w:tentative="1">
      <w:start w:val="1"/>
      <w:numFmt w:val="lowerRoman"/>
      <w:lvlText w:val="%3."/>
      <w:lvlJc w:val="right"/>
      <w:pPr>
        <w:ind w:left="7134" w:hanging="480"/>
      </w:pPr>
    </w:lvl>
    <w:lvl w:ilvl="3" w:tplc="0409000F" w:tentative="1">
      <w:start w:val="1"/>
      <w:numFmt w:val="decimal"/>
      <w:lvlText w:val="%4."/>
      <w:lvlJc w:val="left"/>
      <w:pPr>
        <w:ind w:left="7614" w:hanging="480"/>
      </w:pPr>
    </w:lvl>
    <w:lvl w:ilvl="4" w:tplc="04090019" w:tentative="1">
      <w:start w:val="1"/>
      <w:numFmt w:val="ideographTraditional"/>
      <w:lvlText w:val="%5、"/>
      <w:lvlJc w:val="left"/>
      <w:pPr>
        <w:ind w:left="8094" w:hanging="480"/>
      </w:pPr>
    </w:lvl>
    <w:lvl w:ilvl="5" w:tplc="0409001B" w:tentative="1">
      <w:start w:val="1"/>
      <w:numFmt w:val="lowerRoman"/>
      <w:lvlText w:val="%6."/>
      <w:lvlJc w:val="right"/>
      <w:pPr>
        <w:ind w:left="8574" w:hanging="480"/>
      </w:pPr>
    </w:lvl>
    <w:lvl w:ilvl="6" w:tplc="0409000F" w:tentative="1">
      <w:start w:val="1"/>
      <w:numFmt w:val="decimal"/>
      <w:lvlText w:val="%7."/>
      <w:lvlJc w:val="left"/>
      <w:pPr>
        <w:ind w:left="9054" w:hanging="480"/>
      </w:pPr>
    </w:lvl>
    <w:lvl w:ilvl="7" w:tplc="04090019" w:tentative="1">
      <w:start w:val="1"/>
      <w:numFmt w:val="ideographTraditional"/>
      <w:lvlText w:val="%8、"/>
      <w:lvlJc w:val="left"/>
      <w:pPr>
        <w:ind w:left="9534" w:hanging="480"/>
      </w:pPr>
    </w:lvl>
    <w:lvl w:ilvl="8" w:tplc="0409001B" w:tentative="1">
      <w:start w:val="1"/>
      <w:numFmt w:val="lowerRoman"/>
      <w:lvlText w:val="%9."/>
      <w:lvlJc w:val="right"/>
      <w:pPr>
        <w:ind w:left="10014" w:hanging="480"/>
      </w:pPr>
    </w:lvl>
  </w:abstractNum>
  <w:abstractNum w:abstractNumId="13" w15:restartNumberingAfterBreak="0">
    <w:nsid w:val="16A60874"/>
    <w:multiLevelType w:val="hybridMultilevel"/>
    <w:tmpl w:val="9E5EFC22"/>
    <w:lvl w:ilvl="0" w:tplc="649A08DE">
      <w:start w:val="1"/>
      <w:numFmt w:val="lowerLetter"/>
      <w:lvlText w:val="(%1)"/>
      <w:lvlJc w:val="left"/>
      <w:pPr>
        <w:ind w:left="360" w:hanging="360"/>
      </w:pPr>
      <w:rPr>
        <w:rFonts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6A416D"/>
    <w:multiLevelType w:val="hybridMultilevel"/>
    <w:tmpl w:val="5F8E2A60"/>
    <w:lvl w:ilvl="0" w:tplc="339AE69A">
      <w:start w:val="1"/>
      <w:numFmt w:val="lowerRoman"/>
      <w:lvlText w:val="(%1)"/>
      <w:lvlJc w:val="left"/>
      <w:pPr>
        <w:ind w:left="1342" w:hanging="720"/>
      </w:pPr>
      <w:rPr>
        <w:rFonts w:eastAsiaTheme="minorEastAsia"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5" w15:restartNumberingAfterBreak="0">
    <w:nsid w:val="198128FE"/>
    <w:multiLevelType w:val="hybridMultilevel"/>
    <w:tmpl w:val="E41489FE"/>
    <w:lvl w:ilvl="0" w:tplc="543CD970">
      <w:start w:val="1"/>
      <w:numFmt w:val="lowerLetter"/>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D03EF9"/>
    <w:multiLevelType w:val="hybridMultilevel"/>
    <w:tmpl w:val="53A8B83C"/>
    <w:lvl w:ilvl="0" w:tplc="611E296C">
      <w:start w:val="1"/>
      <w:numFmt w:val="lowerRoman"/>
      <w:lvlText w:val="(%1)"/>
      <w:lvlJc w:val="left"/>
      <w:pPr>
        <w:ind w:left="1080" w:hanging="720"/>
      </w:pPr>
      <w:rPr>
        <w:rFonts w:hint="default"/>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1CCD13F9"/>
    <w:multiLevelType w:val="hybridMultilevel"/>
    <w:tmpl w:val="B73865BC"/>
    <w:lvl w:ilvl="0" w:tplc="5E1CBF4E">
      <w:start w:val="1"/>
      <w:numFmt w:val="lowerRoman"/>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1DE74E2A"/>
    <w:multiLevelType w:val="hybridMultilevel"/>
    <w:tmpl w:val="2B82763A"/>
    <w:lvl w:ilvl="0" w:tplc="375C416C">
      <w:start w:val="1"/>
      <w:numFmt w:val="lowerLetter"/>
      <w:lvlText w:val="(%1)"/>
      <w:lvlJc w:val="left"/>
      <w:pPr>
        <w:ind w:left="630" w:hanging="36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9" w15:restartNumberingAfterBreak="0">
    <w:nsid w:val="1E7E06BB"/>
    <w:multiLevelType w:val="hybridMultilevel"/>
    <w:tmpl w:val="F996AC16"/>
    <w:lvl w:ilvl="0" w:tplc="3CF61B3C">
      <w:start w:val="1"/>
      <w:numFmt w:val="lowerRoman"/>
      <w:lvlText w:val="(%1)"/>
      <w:lvlJc w:val="left"/>
      <w:pPr>
        <w:ind w:left="1287" w:hanging="720"/>
      </w:pPr>
      <w:rPr>
        <w:rFonts w:hint="default"/>
        <w:i/>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1C958D7"/>
    <w:multiLevelType w:val="hybridMultilevel"/>
    <w:tmpl w:val="EBA483C4"/>
    <w:lvl w:ilvl="0" w:tplc="66042EEE">
      <w:start w:val="2"/>
      <w:numFmt w:val="lowerLetter"/>
      <w:lvlText w:val="(%1)"/>
      <w:lvlJc w:val="left"/>
      <w:pPr>
        <w:ind w:left="7014" w:hanging="360"/>
      </w:pPr>
      <w:rPr>
        <w:rFonts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E20CE2"/>
    <w:multiLevelType w:val="hybridMultilevel"/>
    <w:tmpl w:val="B75CD5CC"/>
    <w:lvl w:ilvl="0" w:tplc="04160338">
      <w:start w:val="1"/>
      <w:numFmt w:val="lowerRoman"/>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229020F2"/>
    <w:multiLevelType w:val="hybridMultilevel"/>
    <w:tmpl w:val="4A586992"/>
    <w:lvl w:ilvl="0" w:tplc="67546D30">
      <w:start w:val="2"/>
      <w:numFmt w:val="lowerLetter"/>
      <w:lvlText w:val="(%1)"/>
      <w:lvlJc w:val="left"/>
      <w:pPr>
        <w:ind w:left="6654" w:hanging="480"/>
      </w:pPr>
      <w:rPr>
        <w:rFonts w:hint="eastAsia"/>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6EE3D0F"/>
    <w:multiLevelType w:val="hybridMultilevel"/>
    <w:tmpl w:val="77BCD9E2"/>
    <w:lvl w:ilvl="0" w:tplc="CB8E84F0">
      <w:start w:val="1"/>
      <w:numFmt w:val="lowerRoman"/>
      <w:lvlText w:val="(%1)"/>
      <w:lvlJc w:val="left"/>
      <w:pPr>
        <w:ind w:left="1350" w:hanging="720"/>
      </w:pPr>
      <w:rPr>
        <w:rFonts w:eastAsia="DengXian" w:cs="Arial"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5" w15:restartNumberingAfterBreak="0">
    <w:nsid w:val="28C41A6B"/>
    <w:multiLevelType w:val="hybridMultilevel"/>
    <w:tmpl w:val="3F7A8A62"/>
    <w:lvl w:ilvl="0" w:tplc="78A838C4">
      <w:start w:val="1"/>
      <w:numFmt w:val="lowerRoman"/>
      <w:lvlText w:val="(%1)"/>
      <w:lvlJc w:val="left"/>
      <w:pPr>
        <w:ind w:left="1800" w:hanging="360"/>
      </w:pPr>
      <w:rPr>
        <w:rFonts w:cs="Arial" w:hint="default"/>
        <w:b w:val="0"/>
        <w:i w:val="0"/>
        <w:sz w:val="24"/>
        <w:szCs w:val="24"/>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2C7073F8"/>
    <w:multiLevelType w:val="hybridMultilevel"/>
    <w:tmpl w:val="DBC0DAC2"/>
    <w:lvl w:ilvl="0" w:tplc="C2305FEA">
      <w:start w:val="1"/>
      <w:numFmt w:val="lowerRoman"/>
      <w:lvlText w:val="(%1)"/>
      <w:lvlJc w:val="left"/>
      <w:pPr>
        <w:ind w:left="1080" w:hanging="720"/>
      </w:pPr>
      <w:rPr>
        <w:rFonts w:hint="default"/>
        <w:i/>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9"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A21523F"/>
    <w:multiLevelType w:val="hybridMultilevel"/>
    <w:tmpl w:val="683E7D4E"/>
    <w:lvl w:ilvl="0" w:tplc="F03A785C">
      <w:start w:val="1"/>
      <w:numFmt w:val="lowerRoman"/>
      <w:lvlText w:val="(%1)"/>
      <w:lvlJc w:val="left"/>
      <w:pPr>
        <w:ind w:left="1069" w:hanging="360"/>
      </w:pPr>
      <w:rPr>
        <w:rFonts w:hint="default"/>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3B7C3573"/>
    <w:multiLevelType w:val="hybridMultilevel"/>
    <w:tmpl w:val="BD20E3EE"/>
    <w:lvl w:ilvl="0" w:tplc="0518A3A0">
      <w:start w:val="1"/>
      <w:numFmt w:val="lowerRoman"/>
      <w:lvlText w:val="(%1)"/>
      <w:lvlJc w:val="left"/>
      <w:pPr>
        <w:ind w:left="1287" w:hanging="720"/>
      </w:pPr>
      <w:rPr>
        <w:rFonts w:eastAsiaTheme="minorEastAsia"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3C665787"/>
    <w:multiLevelType w:val="hybridMultilevel"/>
    <w:tmpl w:val="683E7D4E"/>
    <w:lvl w:ilvl="0" w:tplc="F03A785C">
      <w:start w:val="1"/>
      <w:numFmt w:val="lowerRoman"/>
      <w:lvlText w:val="(%1)"/>
      <w:lvlJc w:val="left"/>
      <w:pPr>
        <w:ind w:left="1069" w:hanging="360"/>
      </w:pPr>
      <w:rPr>
        <w:rFonts w:hint="default"/>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3"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06F1157"/>
    <w:multiLevelType w:val="singleLevel"/>
    <w:tmpl w:val="9214A48E"/>
    <w:lvl w:ilvl="0">
      <w:start w:val="1"/>
      <w:numFmt w:val="decimal"/>
      <w:pStyle w:val="List"/>
      <w:lvlText w:val="%1."/>
      <w:lvlJc w:val="left"/>
      <w:pPr>
        <w:tabs>
          <w:tab w:val="num" w:pos="1440"/>
        </w:tabs>
        <w:ind w:left="1440" w:hanging="720"/>
      </w:pPr>
      <w:rPr>
        <w:rFonts w:ascii="Arial" w:hAnsi="Arial" w:hint="default"/>
        <w:sz w:val="24"/>
      </w:rPr>
    </w:lvl>
  </w:abstractNum>
  <w:abstractNum w:abstractNumId="35" w15:restartNumberingAfterBreak="0">
    <w:nsid w:val="45DD66CD"/>
    <w:multiLevelType w:val="hybridMultilevel"/>
    <w:tmpl w:val="128CFFBC"/>
    <w:lvl w:ilvl="0" w:tplc="6E82EF2C">
      <w:start w:val="1"/>
      <w:numFmt w:val="lowerLetter"/>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5E22D80"/>
    <w:multiLevelType w:val="hybridMultilevel"/>
    <w:tmpl w:val="A5E270EA"/>
    <w:lvl w:ilvl="0" w:tplc="47D65BEA">
      <w:start w:val="2"/>
      <w:numFmt w:val="lowerLetter"/>
      <w:lvlText w:val="(%1)"/>
      <w:lvlJc w:val="left"/>
      <w:pPr>
        <w:ind w:left="66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76370A0"/>
    <w:multiLevelType w:val="hybridMultilevel"/>
    <w:tmpl w:val="D7B25E78"/>
    <w:lvl w:ilvl="0" w:tplc="4706095E">
      <w:start w:val="1"/>
      <w:numFmt w:val="lowerLetter"/>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7E2608F"/>
    <w:multiLevelType w:val="hybridMultilevel"/>
    <w:tmpl w:val="62CC9510"/>
    <w:lvl w:ilvl="0" w:tplc="21B216C8">
      <w:start w:val="1"/>
      <w:numFmt w:val="lowerLetter"/>
      <w:lvlText w:val="(%1)"/>
      <w:lvlJc w:val="left"/>
      <w:pPr>
        <w:ind w:left="360" w:hanging="360"/>
      </w:pPr>
      <w:rPr>
        <w:rFonts w:eastAsia="MS PGothic"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2C73D4"/>
    <w:multiLevelType w:val="multilevel"/>
    <w:tmpl w:val="8626F5A0"/>
    <w:styleLink w:val="Style1"/>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1"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42" w15:restartNumberingAfterBreak="0">
    <w:nsid w:val="4B262C98"/>
    <w:multiLevelType w:val="hybridMultilevel"/>
    <w:tmpl w:val="DFDC7E0A"/>
    <w:lvl w:ilvl="0" w:tplc="55344740">
      <w:start w:val="1"/>
      <w:numFmt w:val="lowerRoman"/>
      <w:lvlText w:val="(%1)"/>
      <w:lvlJc w:val="left"/>
      <w:pPr>
        <w:ind w:left="1080" w:hanging="720"/>
      </w:pPr>
      <w:rPr>
        <w:rFonts w:eastAsiaTheme="minorEastAsia"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4CFB7C70"/>
    <w:multiLevelType w:val="hybridMultilevel"/>
    <w:tmpl w:val="C07AA866"/>
    <w:lvl w:ilvl="0" w:tplc="E4AE7430">
      <w:start w:val="1"/>
      <w:numFmt w:val="lowerLetter"/>
      <w:lvlText w:val="(%1)"/>
      <w:lvlJc w:val="left"/>
      <w:pPr>
        <w:ind w:left="786" w:hanging="360"/>
      </w:pPr>
      <w:rPr>
        <w:rFonts w:hint="default"/>
        <w: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51A85649"/>
    <w:multiLevelType w:val="hybridMultilevel"/>
    <w:tmpl w:val="EBF4A054"/>
    <w:lvl w:ilvl="0" w:tplc="E1121424">
      <w:start w:val="1"/>
      <w:numFmt w:val="lowerLetter"/>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5" w15:restartNumberingAfterBreak="0">
    <w:nsid w:val="534E21DE"/>
    <w:multiLevelType w:val="hybridMultilevel"/>
    <w:tmpl w:val="A394D4A6"/>
    <w:lvl w:ilvl="0" w:tplc="96C6C7E2">
      <w:start w:val="1"/>
      <w:numFmt w:val="lowerLetter"/>
      <w:lvlText w:val="(%1)"/>
      <w:lvlJc w:val="left"/>
      <w:pPr>
        <w:ind w:left="360" w:hanging="360"/>
      </w:pPr>
      <w:rPr>
        <w:rFonts w:hint="default"/>
        <w:i/>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57AD4B06"/>
    <w:multiLevelType w:val="hybridMultilevel"/>
    <w:tmpl w:val="C8283A3C"/>
    <w:lvl w:ilvl="0" w:tplc="678838B2">
      <w:start w:val="1"/>
      <w:numFmt w:val="lowerRoman"/>
      <w:lvlText w:val="(%1)"/>
      <w:lvlJc w:val="left"/>
      <w:pPr>
        <w:ind w:left="1080" w:hanging="720"/>
      </w:pPr>
      <w:rPr>
        <w:rFonts w:eastAsia="MS PGothic" w:hint="default"/>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8"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49" w15:restartNumberingAfterBreak="0">
    <w:nsid w:val="598A4DDA"/>
    <w:multiLevelType w:val="hybridMultilevel"/>
    <w:tmpl w:val="7DC42AA6"/>
    <w:lvl w:ilvl="0" w:tplc="AA12EB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A757403"/>
    <w:multiLevelType w:val="hybridMultilevel"/>
    <w:tmpl w:val="2D26621A"/>
    <w:lvl w:ilvl="0" w:tplc="0172B420">
      <w:start w:val="1"/>
      <w:numFmt w:val="lowerLetter"/>
      <w:lvlText w:val="(%1)"/>
      <w:lvlJc w:val="left"/>
      <w:pPr>
        <w:ind w:left="360" w:hanging="360"/>
      </w:pPr>
      <w:rPr>
        <w:rFonts w:cs="Vrinda" w:hint="default"/>
        <w:i/>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C613495"/>
    <w:multiLevelType w:val="hybridMultilevel"/>
    <w:tmpl w:val="ECFAD3AE"/>
    <w:lvl w:ilvl="0" w:tplc="2BD05A5A">
      <w:start w:val="1"/>
      <w:numFmt w:val="decimal"/>
      <w:lvlText w:val="%1."/>
      <w:lvlJc w:val="left"/>
      <w:pPr>
        <w:ind w:left="7119" w:hanging="1425"/>
      </w:pPr>
      <w:rPr>
        <w:rFonts w:hint="default"/>
        <w:i w:val="0"/>
        <w:sz w:val="24"/>
        <w:szCs w:val="24"/>
      </w:rPr>
    </w:lvl>
    <w:lvl w:ilvl="1" w:tplc="9708B836">
      <w:start w:val="1"/>
      <w:numFmt w:val="lowerLetter"/>
      <w:lvlText w:val="(%2)"/>
      <w:lvlJc w:val="left"/>
      <w:pPr>
        <w:ind w:left="6654" w:hanging="480"/>
      </w:pPr>
      <w:rPr>
        <w:rFonts w:hint="eastAsia"/>
      </w:rPr>
    </w:lvl>
    <w:lvl w:ilvl="2" w:tplc="54B63072">
      <w:start w:val="1"/>
      <w:numFmt w:val="decimal"/>
      <w:lvlText w:val="(%3)"/>
      <w:lvlJc w:val="left"/>
      <w:pPr>
        <w:ind w:left="7014" w:hanging="360"/>
      </w:pPr>
      <w:rPr>
        <w:rFonts w:hint="default"/>
        <w:sz w:val="22"/>
      </w:rPr>
    </w:lvl>
    <w:lvl w:ilvl="3" w:tplc="0409000F" w:tentative="1">
      <w:start w:val="1"/>
      <w:numFmt w:val="decimal"/>
      <w:lvlText w:val="%4."/>
      <w:lvlJc w:val="left"/>
      <w:pPr>
        <w:ind w:left="7614" w:hanging="480"/>
      </w:pPr>
    </w:lvl>
    <w:lvl w:ilvl="4" w:tplc="04090019" w:tentative="1">
      <w:start w:val="1"/>
      <w:numFmt w:val="ideographTraditional"/>
      <w:lvlText w:val="%5、"/>
      <w:lvlJc w:val="left"/>
      <w:pPr>
        <w:ind w:left="8094" w:hanging="480"/>
      </w:pPr>
    </w:lvl>
    <w:lvl w:ilvl="5" w:tplc="0409001B" w:tentative="1">
      <w:start w:val="1"/>
      <w:numFmt w:val="lowerRoman"/>
      <w:lvlText w:val="%6."/>
      <w:lvlJc w:val="right"/>
      <w:pPr>
        <w:ind w:left="8574" w:hanging="480"/>
      </w:pPr>
    </w:lvl>
    <w:lvl w:ilvl="6" w:tplc="0409000F" w:tentative="1">
      <w:start w:val="1"/>
      <w:numFmt w:val="decimal"/>
      <w:lvlText w:val="%7."/>
      <w:lvlJc w:val="left"/>
      <w:pPr>
        <w:ind w:left="9054" w:hanging="480"/>
      </w:pPr>
    </w:lvl>
    <w:lvl w:ilvl="7" w:tplc="04090019" w:tentative="1">
      <w:start w:val="1"/>
      <w:numFmt w:val="ideographTraditional"/>
      <w:lvlText w:val="%8、"/>
      <w:lvlJc w:val="left"/>
      <w:pPr>
        <w:ind w:left="9534" w:hanging="480"/>
      </w:pPr>
    </w:lvl>
    <w:lvl w:ilvl="8" w:tplc="0409001B" w:tentative="1">
      <w:start w:val="1"/>
      <w:numFmt w:val="lowerRoman"/>
      <w:lvlText w:val="%9."/>
      <w:lvlJc w:val="right"/>
      <w:pPr>
        <w:ind w:left="10014" w:hanging="480"/>
      </w:pPr>
    </w:lvl>
  </w:abstractNum>
  <w:abstractNum w:abstractNumId="52" w15:restartNumberingAfterBreak="0">
    <w:nsid w:val="5D51348D"/>
    <w:multiLevelType w:val="hybridMultilevel"/>
    <w:tmpl w:val="8CB68620"/>
    <w:lvl w:ilvl="0" w:tplc="9388722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DEC6610"/>
    <w:multiLevelType w:val="hybridMultilevel"/>
    <w:tmpl w:val="F7507DCE"/>
    <w:lvl w:ilvl="0" w:tplc="F03A785C">
      <w:start w:val="1"/>
      <w:numFmt w:val="lowerRoman"/>
      <w:lvlText w:val="(%1)"/>
      <w:lvlJc w:val="left"/>
      <w:pPr>
        <w:ind w:left="1080" w:hanging="720"/>
      </w:pPr>
      <w:rPr>
        <w:rFonts w:hint="default"/>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15:restartNumberingAfterBreak="0">
    <w:nsid w:val="615A139A"/>
    <w:multiLevelType w:val="hybridMultilevel"/>
    <w:tmpl w:val="56905456"/>
    <w:lvl w:ilvl="0" w:tplc="D58E3EA4">
      <w:start w:val="1"/>
      <w:numFmt w:val="lowerRoman"/>
      <w:lvlText w:val="(%1)"/>
      <w:lvlJc w:val="left"/>
      <w:pPr>
        <w:ind w:left="1080" w:hanging="720"/>
      </w:pPr>
      <w:rPr>
        <w:rFonts w:eastAsia="DengXian" w:hint="default"/>
        <w:i/>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5" w15:restartNumberingAfterBreak="0">
    <w:nsid w:val="62687838"/>
    <w:multiLevelType w:val="hybridMultilevel"/>
    <w:tmpl w:val="DBC0DAC2"/>
    <w:lvl w:ilvl="0" w:tplc="C2305FEA">
      <w:start w:val="1"/>
      <w:numFmt w:val="lowerRoman"/>
      <w:lvlText w:val="(%1)"/>
      <w:lvlJc w:val="left"/>
      <w:pPr>
        <w:ind w:left="1080" w:hanging="720"/>
      </w:pPr>
      <w:rPr>
        <w:rFonts w:hint="default"/>
        <w:i/>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6" w15:restartNumberingAfterBreak="0">
    <w:nsid w:val="62B87DB6"/>
    <w:multiLevelType w:val="hybridMultilevel"/>
    <w:tmpl w:val="7C705ADC"/>
    <w:lvl w:ilvl="0" w:tplc="ADE24506">
      <w:start w:val="1"/>
      <w:numFmt w:val="lowerRoman"/>
      <w:lvlText w:val="(%1)"/>
      <w:lvlJc w:val="left"/>
      <w:pPr>
        <w:ind w:left="1080" w:hanging="720"/>
      </w:pPr>
      <w:rPr>
        <w:rFonts w:eastAsia="DengXian" w:hint="default"/>
        <w: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7" w15:restartNumberingAfterBreak="0">
    <w:nsid w:val="64D32C10"/>
    <w:multiLevelType w:val="hybridMultilevel"/>
    <w:tmpl w:val="EF702A58"/>
    <w:lvl w:ilvl="0" w:tplc="4D227A9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6C011AB"/>
    <w:multiLevelType w:val="hybridMultilevel"/>
    <w:tmpl w:val="C50A879E"/>
    <w:lvl w:ilvl="0" w:tplc="6568D960">
      <w:start w:val="1"/>
      <w:numFmt w:val="lowerLetter"/>
      <w:lvlText w:val="(%1)"/>
      <w:lvlJc w:val="left"/>
      <w:pPr>
        <w:ind w:left="360" w:hanging="360"/>
      </w:pPr>
      <w:rPr>
        <w:rFonts w:cs="Vrind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BBD7885"/>
    <w:multiLevelType w:val="hybridMultilevel"/>
    <w:tmpl w:val="33247B02"/>
    <w:lvl w:ilvl="0" w:tplc="9C329262">
      <w:start w:val="1"/>
      <w:numFmt w:val="lowerRoman"/>
      <w:lvlText w:val="(%1)"/>
      <w:lvlJc w:val="left"/>
      <w:pPr>
        <w:ind w:left="720" w:hanging="720"/>
      </w:pPr>
      <w:rPr>
        <w:rFonts w:hint="default"/>
        <w:i/>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C745D43"/>
    <w:multiLevelType w:val="hybridMultilevel"/>
    <w:tmpl w:val="33C6BB74"/>
    <w:lvl w:ilvl="0" w:tplc="F1B406B4">
      <w:start w:val="1"/>
      <w:numFmt w:val="lowerRoman"/>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DB46717"/>
    <w:multiLevelType w:val="hybridMultilevel"/>
    <w:tmpl w:val="683E7D4E"/>
    <w:lvl w:ilvl="0" w:tplc="F03A785C">
      <w:start w:val="1"/>
      <w:numFmt w:val="lowerRoman"/>
      <w:lvlText w:val="(%1)"/>
      <w:lvlJc w:val="left"/>
      <w:pPr>
        <w:ind w:left="1069" w:hanging="360"/>
      </w:pPr>
      <w:rPr>
        <w:rFonts w:hint="default"/>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2" w15:restartNumberingAfterBreak="0">
    <w:nsid w:val="71D005DC"/>
    <w:multiLevelType w:val="hybridMultilevel"/>
    <w:tmpl w:val="16DEC3EC"/>
    <w:lvl w:ilvl="0" w:tplc="ECAC3854">
      <w:start w:val="1"/>
      <w:numFmt w:val="decimal"/>
      <w:lvlText w:val="(%1)"/>
      <w:lvlJc w:val="left"/>
      <w:pPr>
        <w:ind w:left="630" w:hanging="360"/>
      </w:pPr>
      <w:rPr>
        <w:rFonts w:ascii="Arial" w:eastAsia="新細明體" w:hAnsi="Arial" w:cs="Times New Roman"/>
        <w:i/>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3" w15:restartNumberingAfterBreak="0">
    <w:nsid w:val="71F350E1"/>
    <w:multiLevelType w:val="hybridMultilevel"/>
    <w:tmpl w:val="6D666ADE"/>
    <w:lvl w:ilvl="0" w:tplc="5208693E">
      <w:start w:val="1"/>
      <w:numFmt w:val="lowerRoman"/>
      <w:lvlText w:val="(%1)"/>
      <w:lvlJc w:val="left"/>
      <w:pPr>
        <w:ind w:left="1080" w:hanging="720"/>
      </w:pPr>
      <w:rPr>
        <w:rFonts w:eastAsia="MS PGothic" w:hint="default"/>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4" w15:restartNumberingAfterBreak="0">
    <w:nsid w:val="72AC7AFD"/>
    <w:multiLevelType w:val="hybridMultilevel"/>
    <w:tmpl w:val="CE4827AA"/>
    <w:lvl w:ilvl="0" w:tplc="04B84A5E">
      <w:start w:val="1"/>
      <w:numFmt w:val="lowerLetter"/>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9B14162"/>
    <w:multiLevelType w:val="hybridMultilevel"/>
    <w:tmpl w:val="CE4827AA"/>
    <w:lvl w:ilvl="0" w:tplc="04B84A5E">
      <w:start w:val="1"/>
      <w:numFmt w:val="lowerLetter"/>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CC60BDD"/>
    <w:multiLevelType w:val="hybridMultilevel"/>
    <w:tmpl w:val="47667006"/>
    <w:lvl w:ilvl="0" w:tplc="08C0FEF2">
      <w:start w:val="1"/>
      <w:numFmt w:val="decimal"/>
      <w:lvlText w:val="%1."/>
      <w:lvlJc w:val="left"/>
      <w:pPr>
        <w:ind w:left="6104" w:hanging="1425"/>
      </w:pPr>
      <w:rPr>
        <w:rFonts w:hint="default"/>
        <w:b w:val="0"/>
        <w:i w:val="0"/>
        <w:color w:val="auto"/>
        <w:sz w:val="24"/>
        <w:szCs w:val="24"/>
      </w:rPr>
    </w:lvl>
    <w:lvl w:ilvl="1" w:tplc="04090019">
      <w:start w:val="1"/>
      <w:numFmt w:val="ideographTraditional"/>
      <w:lvlText w:val="%2、"/>
      <w:lvlJc w:val="left"/>
      <w:pPr>
        <w:ind w:left="6654" w:hanging="480"/>
      </w:pPr>
    </w:lvl>
    <w:lvl w:ilvl="2" w:tplc="0409001B" w:tentative="1">
      <w:start w:val="1"/>
      <w:numFmt w:val="lowerRoman"/>
      <w:lvlText w:val="%3."/>
      <w:lvlJc w:val="right"/>
      <w:pPr>
        <w:ind w:left="7134" w:hanging="480"/>
      </w:pPr>
    </w:lvl>
    <w:lvl w:ilvl="3" w:tplc="0409000F" w:tentative="1">
      <w:start w:val="1"/>
      <w:numFmt w:val="decimal"/>
      <w:lvlText w:val="%4."/>
      <w:lvlJc w:val="left"/>
      <w:pPr>
        <w:ind w:left="7614" w:hanging="480"/>
      </w:pPr>
    </w:lvl>
    <w:lvl w:ilvl="4" w:tplc="04090019" w:tentative="1">
      <w:start w:val="1"/>
      <w:numFmt w:val="ideographTraditional"/>
      <w:lvlText w:val="%5、"/>
      <w:lvlJc w:val="left"/>
      <w:pPr>
        <w:ind w:left="8094" w:hanging="480"/>
      </w:pPr>
    </w:lvl>
    <w:lvl w:ilvl="5" w:tplc="0409001B" w:tentative="1">
      <w:start w:val="1"/>
      <w:numFmt w:val="lowerRoman"/>
      <w:lvlText w:val="%6."/>
      <w:lvlJc w:val="right"/>
      <w:pPr>
        <w:ind w:left="8574" w:hanging="480"/>
      </w:pPr>
    </w:lvl>
    <w:lvl w:ilvl="6" w:tplc="0409000F" w:tentative="1">
      <w:start w:val="1"/>
      <w:numFmt w:val="decimal"/>
      <w:lvlText w:val="%7."/>
      <w:lvlJc w:val="left"/>
      <w:pPr>
        <w:ind w:left="9054" w:hanging="480"/>
      </w:pPr>
    </w:lvl>
    <w:lvl w:ilvl="7" w:tplc="04090019" w:tentative="1">
      <w:start w:val="1"/>
      <w:numFmt w:val="ideographTraditional"/>
      <w:lvlText w:val="%8、"/>
      <w:lvlJc w:val="left"/>
      <w:pPr>
        <w:ind w:left="9534" w:hanging="480"/>
      </w:pPr>
    </w:lvl>
    <w:lvl w:ilvl="8" w:tplc="0409001B" w:tentative="1">
      <w:start w:val="1"/>
      <w:numFmt w:val="lowerRoman"/>
      <w:lvlText w:val="%9."/>
      <w:lvlJc w:val="right"/>
      <w:pPr>
        <w:ind w:left="10014" w:hanging="480"/>
      </w:pPr>
    </w:lvl>
  </w:abstractNum>
  <w:num w:numId="1">
    <w:abstractNumId w:val="41"/>
  </w:num>
  <w:num w:numId="2">
    <w:abstractNumId w:val="20"/>
  </w:num>
  <w:num w:numId="3">
    <w:abstractNumId w:val="27"/>
  </w:num>
  <w:num w:numId="4">
    <w:abstractNumId w:val="29"/>
  </w:num>
  <w:num w:numId="5">
    <w:abstractNumId w:val="33"/>
  </w:num>
  <w:num w:numId="6">
    <w:abstractNumId w:val="48"/>
  </w:num>
  <w:num w:numId="7">
    <w:abstractNumId w:val="46"/>
  </w:num>
  <w:num w:numId="8">
    <w:abstractNumId w:val="37"/>
  </w:num>
  <w:num w:numId="9">
    <w:abstractNumId w:val="28"/>
  </w:num>
  <w:num w:numId="10">
    <w:abstractNumId w:val="40"/>
  </w:num>
  <w:num w:numId="11">
    <w:abstractNumId w:val="1"/>
  </w:num>
  <w:num w:numId="12">
    <w:abstractNumId w:val="34"/>
  </w:num>
  <w:num w:numId="13">
    <w:abstractNumId w:val="0"/>
  </w:num>
  <w:num w:numId="14">
    <w:abstractNumId w:val="66"/>
  </w:num>
  <w:num w:numId="15">
    <w:abstractNumId w:val="7"/>
  </w:num>
  <w:num w:numId="16">
    <w:abstractNumId w:val="12"/>
  </w:num>
  <w:num w:numId="17">
    <w:abstractNumId w:val="51"/>
  </w:num>
  <w:num w:numId="18">
    <w:abstractNumId w:val="9"/>
  </w:num>
  <w:num w:numId="19">
    <w:abstractNumId w:val="45"/>
  </w:num>
  <w:num w:numId="20">
    <w:abstractNumId w:val="3"/>
  </w:num>
  <w:num w:numId="21">
    <w:abstractNumId w:val="59"/>
  </w:num>
  <w:num w:numId="22">
    <w:abstractNumId w:val="35"/>
  </w:num>
  <w:num w:numId="23">
    <w:abstractNumId w:val="39"/>
  </w:num>
  <w:num w:numId="24">
    <w:abstractNumId w:val="63"/>
  </w:num>
  <w:num w:numId="25">
    <w:abstractNumId w:val="6"/>
  </w:num>
  <w:num w:numId="26">
    <w:abstractNumId w:val="10"/>
  </w:num>
  <w:num w:numId="27">
    <w:abstractNumId w:val="13"/>
  </w:num>
  <w:num w:numId="28">
    <w:abstractNumId w:val="47"/>
  </w:num>
  <w:num w:numId="29">
    <w:abstractNumId w:val="21"/>
  </w:num>
  <w:num w:numId="30">
    <w:abstractNumId w:val="64"/>
  </w:num>
  <w:num w:numId="31">
    <w:abstractNumId w:val="53"/>
  </w:num>
  <w:num w:numId="32">
    <w:abstractNumId w:val="16"/>
  </w:num>
  <w:num w:numId="33">
    <w:abstractNumId w:val="26"/>
  </w:num>
  <w:num w:numId="34">
    <w:abstractNumId w:val="65"/>
  </w:num>
  <w:num w:numId="35">
    <w:abstractNumId w:val="55"/>
  </w:num>
  <w:num w:numId="36">
    <w:abstractNumId w:val="60"/>
  </w:num>
  <w:num w:numId="37">
    <w:abstractNumId w:val="23"/>
  </w:num>
  <w:num w:numId="38">
    <w:abstractNumId w:val="11"/>
  </w:num>
  <w:num w:numId="39">
    <w:abstractNumId w:val="61"/>
  </w:num>
  <w:num w:numId="40">
    <w:abstractNumId w:val="32"/>
  </w:num>
  <w:num w:numId="41">
    <w:abstractNumId w:val="30"/>
  </w:num>
  <w:num w:numId="42">
    <w:abstractNumId w:val="43"/>
  </w:num>
  <w:num w:numId="43">
    <w:abstractNumId w:val="5"/>
  </w:num>
  <w:num w:numId="44">
    <w:abstractNumId w:val="14"/>
  </w:num>
  <w:num w:numId="45">
    <w:abstractNumId w:val="36"/>
  </w:num>
  <w:num w:numId="46">
    <w:abstractNumId w:val="31"/>
  </w:num>
  <w:num w:numId="47">
    <w:abstractNumId w:val="17"/>
  </w:num>
  <w:num w:numId="48">
    <w:abstractNumId w:val="19"/>
  </w:num>
  <w:num w:numId="49">
    <w:abstractNumId w:val="15"/>
  </w:num>
  <w:num w:numId="50">
    <w:abstractNumId w:val="52"/>
  </w:num>
  <w:num w:numId="51">
    <w:abstractNumId w:val="57"/>
  </w:num>
  <w:num w:numId="52">
    <w:abstractNumId w:val="49"/>
  </w:num>
  <w:num w:numId="53">
    <w:abstractNumId w:val="4"/>
  </w:num>
  <w:num w:numId="54">
    <w:abstractNumId w:val="50"/>
  </w:num>
  <w:num w:numId="55">
    <w:abstractNumId w:val="54"/>
  </w:num>
  <w:num w:numId="56">
    <w:abstractNumId w:val="42"/>
  </w:num>
  <w:num w:numId="57">
    <w:abstractNumId w:val="56"/>
  </w:num>
  <w:num w:numId="58">
    <w:abstractNumId w:val="44"/>
  </w:num>
  <w:num w:numId="59">
    <w:abstractNumId w:val="38"/>
  </w:num>
  <w:num w:numId="60">
    <w:abstractNumId w:val="58"/>
  </w:num>
  <w:num w:numId="61">
    <w:abstractNumId w:val="62"/>
  </w:num>
  <w:num w:numId="62">
    <w:abstractNumId w:val="18"/>
  </w:num>
  <w:num w:numId="63">
    <w:abstractNumId w:val="24"/>
  </w:num>
  <w:num w:numId="64">
    <w:abstractNumId w:val="2"/>
  </w:num>
  <w:num w:numId="65">
    <w:abstractNumId w:val="8"/>
  </w:num>
  <w:num w:numId="66">
    <w:abstractNumId w:val="22"/>
  </w:num>
  <w:num w:numId="67">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HK" w:vendorID="64" w:dllVersion="0" w:nlCheck="1" w:checkStyle="0"/>
  <w:activeWritingStyle w:appName="MSWord" w:lang="en-US" w:vendorID="64" w:dllVersion="0" w:nlCheck="1" w:checkStyle="0"/>
  <w:activeWritingStyle w:appName="MSWord" w:lang="en-HK" w:vendorID="64" w:dllVersion="6" w:nlCheck="1" w:checkStyle="0"/>
  <w:activeWritingStyle w:appName="MSWord" w:lang="zh-TW" w:vendorID="64" w:dllVersion="5" w:nlCheck="1" w:checkStyle="1"/>
  <w:activeWritingStyle w:appName="MSWord" w:lang="zh-CN" w:vendorID="64" w:dllVersion="5" w:nlCheck="1" w:checkStyle="1"/>
  <w:activeWritingStyle w:appName="MSWord" w:lang="zh-HK"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HK"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5809">
      <o:colormenu v:ext="edit" fillcolor="none [3212]"/>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C50"/>
    <w:rsid w:val="000008D4"/>
    <w:rsid w:val="000012A6"/>
    <w:rsid w:val="00001D3A"/>
    <w:rsid w:val="0000371B"/>
    <w:rsid w:val="00003C58"/>
    <w:rsid w:val="000046C7"/>
    <w:rsid w:val="00004AA7"/>
    <w:rsid w:val="00005803"/>
    <w:rsid w:val="0000739E"/>
    <w:rsid w:val="00010257"/>
    <w:rsid w:val="00010E7D"/>
    <w:rsid w:val="00011128"/>
    <w:rsid w:val="0001128E"/>
    <w:rsid w:val="0001146E"/>
    <w:rsid w:val="0001264D"/>
    <w:rsid w:val="00012966"/>
    <w:rsid w:val="0001354C"/>
    <w:rsid w:val="00013CB0"/>
    <w:rsid w:val="00014F3F"/>
    <w:rsid w:val="000154BE"/>
    <w:rsid w:val="00015904"/>
    <w:rsid w:val="00015BFD"/>
    <w:rsid w:val="00015D8F"/>
    <w:rsid w:val="00016486"/>
    <w:rsid w:val="00017055"/>
    <w:rsid w:val="000177C3"/>
    <w:rsid w:val="00017BFA"/>
    <w:rsid w:val="000212D9"/>
    <w:rsid w:val="000217AF"/>
    <w:rsid w:val="00022234"/>
    <w:rsid w:val="00022E10"/>
    <w:rsid w:val="000234A5"/>
    <w:rsid w:val="000238DA"/>
    <w:rsid w:val="00023E5D"/>
    <w:rsid w:val="000245F0"/>
    <w:rsid w:val="000246B6"/>
    <w:rsid w:val="00024B2F"/>
    <w:rsid w:val="00025DC8"/>
    <w:rsid w:val="00025EDF"/>
    <w:rsid w:val="00026652"/>
    <w:rsid w:val="00026681"/>
    <w:rsid w:val="000269DA"/>
    <w:rsid w:val="00026EF6"/>
    <w:rsid w:val="00027085"/>
    <w:rsid w:val="0002778F"/>
    <w:rsid w:val="0002792F"/>
    <w:rsid w:val="000301F2"/>
    <w:rsid w:val="00030239"/>
    <w:rsid w:val="00030BE8"/>
    <w:rsid w:val="000313C8"/>
    <w:rsid w:val="00031697"/>
    <w:rsid w:val="000322E1"/>
    <w:rsid w:val="00032B16"/>
    <w:rsid w:val="00032B2D"/>
    <w:rsid w:val="00033056"/>
    <w:rsid w:val="00033335"/>
    <w:rsid w:val="00033C09"/>
    <w:rsid w:val="00035ACA"/>
    <w:rsid w:val="000376BA"/>
    <w:rsid w:val="00037873"/>
    <w:rsid w:val="000379ED"/>
    <w:rsid w:val="00037B57"/>
    <w:rsid w:val="00037E80"/>
    <w:rsid w:val="00040550"/>
    <w:rsid w:val="000409E0"/>
    <w:rsid w:val="0004231C"/>
    <w:rsid w:val="00042550"/>
    <w:rsid w:val="0004306D"/>
    <w:rsid w:val="000431E2"/>
    <w:rsid w:val="00043358"/>
    <w:rsid w:val="00043D1F"/>
    <w:rsid w:val="00044954"/>
    <w:rsid w:val="000456E4"/>
    <w:rsid w:val="00045A04"/>
    <w:rsid w:val="0004641C"/>
    <w:rsid w:val="0004647B"/>
    <w:rsid w:val="00046641"/>
    <w:rsid w:val="00046703"/>
    <w:rsid w:val="0004784E"/>
    <w:rsid w:val="00047A9F"/>
    <w:rsid w:val="00047C9F"/>
    <w:rsid w:val="000505D8"/>
    <w:rsid w:val="00051F63"/>
    <w:rsid w:val="000529B4"/>
    <w:rsid w:val="00054173"/>
    <w:rsid w:val="00056942"/>
    <w:rsid w:val="00056FFA"/>
    <w:rsid w:val="000579C2"/>
    <w:rsid w:val="0006000F"/>
    <w:rsid w:val="00060B5B"/>
    <w:rsid w:val="00060C77"/>
    <w:rsid w:val="00061BE9"/>
    <w:rsid w:val="00062426"/>
    <w:rsid w:val="0006271D"/>
    <w:rsid w:val="00062B72"/>
    <w:rsid w:val="00062E44"/>
    <w:rsid w:val="0006362C"/>
    <w:rsid w:val="00063DD0"/>
    <w:rsid w:val="000646F4"/>
    <w:rsid w:val="00065213"/>
    <w:rsid w:val="0006541C"/>
    <w:rsid w:val="00065543"/>
    <w:rsid w:val="00065725"/>
    <w:rsid w:val="000657B4"/>
    <w:rsid w:val="000668E8"/>
    <w:rsid w:val="00066B5D"/>
    <w:rsid w:val="00067560"/>
    <w:rsid w:val="00067B36"/>
    <w:rsid w:val="000703D4"/>
    <w:rsid w:val="0007200A"/>
    <w:rsid w:val="00072C4E"/>
    <w:rsid w:val="000734C0"/>
    <w:rsid w:val="000734E9"/>
    <w:rsid w:val="00074F5A"/>
    <w:rsid w:val="00075238"/>
    <w:rsid w:val="00075540"/>
    <w:rsid w:val="00075701"/>
    <w:rsid w:val="00075DB8"/>
    <w:rsid w:val="00076411"/>
    <w:rsid w:val="00076A59"/>
    <w:rsid w:val="00076F15"/>
    <w:rsid w:val="0007793A"/>
    <w:rsid w:val="00080712"/>
    <w:rsid w:val="000807F3"/>
    <w:rsid w:val="00080A7B"/>
    <w:rsid w:val="00080C87"/>
    <w:rsid w:val="00081134"/>
    <w:rsid w:val="0008166E"/>
    <w:rsid w:val="00081733"/>
    <w:rsid w:val="000817A8"/>
    <w:rsid w:val="00081C8C"/>
    <w:rsid w:val="0008257D"/>
    <w:rsid w:val="00082AE7"/>
    <w:rsid w:val="00082F4F"/>
    <w:rsid w:val="00082FBD"/>
    <w:rsid w:val="0008358E"/>
    <w:rsid w:val="0008388B"/>
    <w:rsid w:val="00083ED9"/>
    <w:rsid w:val="00084114"/>
    <w:rsid w:val="000848F5"/>
    <w:rsid w:val="000852DD"/>
    <w:rsid w:val="00085443"/>
    <w:rsid w:val="000857C9"/>
    <w:rsid w:val="000859FA"/>
    <w:rsid w:val="00086319"/>
    <w:rsid w:val="0008655B"/>
    <w:rsid w:val="00086768"/>
    <w:rsid w:val="00086BD3"/>
    <w:rsid w:val="00086F7C"/>
    <w:rsid w:val="00090749"/>
    <w:rsid w:val="00090C42"/>
    <w:rsid w:val="000910DE"/>
    <w:rsid w:val="0009126C"/>
    <w:rsid w:val="000918DA"/>
    <w:rsid w:val="00091B2C"/>
    <w:rsid w:val="00091ED2"/>
    <w:rsid w:val="00092260"/>
    <w:rsid w:val="00092FD6"/>
    <w:rsid w:val="0009329D"/>
    <w:rsid w:val="00093775"/>
    <w:rsid w:val="000937DD"/>
    <w:rsid w:val="00093D95"/>
    <w:rsid w:val="00094BE7"/>
    <w:rsid w:val="00094F10"/>
    <w:rsid w:val="00094F2E"/>
    <w:rsid w:val="00096320"/>
    <w:rsid w:val="00096C57"/>
    <w:rsid w:val="00096EAE"/>
    <w:rsid w:val="000A049B"/>
    <w:rsid w:val="000A1938"/>
    <w:rsid w:val="000A2861"/>
    <w:rsid w:val="000A3084"/>
    <w:rsid w:val="000A3813"/>
    <w:rsid w:val="000A54F6"/>
    <w:rsid w:val="000A565F"/>
    <w:rsid w:val="000A5B97"/>
    <w:rsid w:val="000A74E3"/>
    <w:rsid w:val="000A76EA"/>
    <w:rsid w:val="000B0024"/>
    <w:rsid w:val="000B019B"/>
    <w:rsid w:val="000B0573"/>
    <w:rsid w:val="000B0717"/>
    <w:rsid w:val="000B0CEF"/>
    <w:rsid w:val="000B20A9"/>
    <w:rsid w:val="000B3042"/>
    <w:rsid w:val="000B3557"/>
    <w:rsid w:val="000B35A2"/>
    <w:rsid w:val="000B3ACE"/>
    <w:rsid w:val="000B4975"/>
    <w:rsid w:val="000B523F"/>
    <w:rsid w:val="000B59B2"/>
    <w:rsid w:val="000B5CAF"/>
    <w:rsid w:val="000B738F"/>
    <w:rsid w:val="000C0193"/>
    <w:rsid w:val="000C02F9"/>
    <w:rsid w:val="000C03EA"/>
    <w:rsid w:val="000C0426"/>
    <w:rsid w:val="000C18BB"/>
    <w:rsid w:val="000C1F21"/>
    <w:rsid w:val="000C2785"/>
    <w:rsid w:val="000C347D"/>
    <w:rsid w:val="000C466B"/>
    <w:rsid w:val="000C4E3B"/>
    <w:rsid w:val="000C4FAF"/>
    <w:rsid w:val="000C57FF"/>
    <w:rsid w:val="000C58D9"/>
    <w:rsid w:val="000C62BD"/>
    <w:rsid w:val="000C69D0"/>
    <w:rsid w:val="000C6C6A"/>
    <w:rsid w:val="000C760B"/>
    <w:rsid w:val="000C76A2"/>
    <w:rsid w:val="000C7A2B"/>
    <w:rsid w:val="000C7C77"/>
    <w:rsid w:val="000D0005"/>
    <w:rsid w:val="000D0995"/>
    <w:rsid w:val="000D0FE1"/>
    <w:rsid w:val="000D11BE"/>
    <w:rsid w:val="000D1792"/>
    <w:rsid w:val="000D18C6"/>
    <w:rsid w:val="000D18D9"/>
    <w:rsid w:val="000D1CFE"/>
    <w:rsid w:val="000D24F7"/>
    <w:rsid w:val="000D2628"/>
    <w:rsid w:val="000D2870"/>
    <w:rsid w:val="000D2D94"/>
    <w:rsid w:val="000D306F"/>
    <w:rsid w:val="000D31A3"/>
    <w:rsid w:val="000D4626"/>
    <w:rsid w:val="000D4C79"/>
    <w:rsid w:val="000D4F64"/>
    <w:rsid w:val="000D53D2"/>
    <w:rsid w:val="000D57D8"/>
    <w:rsid w:val="000D5870"/>
    <w:rsid w:val="000D6174"/>
    <w:rsid w:val="000D7767"/>
    <w:rsid w:val="000D7B5C"/>
    <w:rsid w:val="000E00BE"/>
    <w:rsid w:val="000E0C65"/>
    <w:rsid w:val="000E1648"/>
    <w:rsid w:val="000E3048"/>
    <w:rsid w:val="000E33B8"/>
    <w:rsid w:val="000E3827"/>
    <w:rsid w:val="000E3F9D"/>
    <w:rsid w:val="000E4BA0"/>
    <w:rsid w:val="000E4D35"/>
    <w:rsid w:val="000E5AD4"/>
    <w:rsid w:val="000E610E"/>
    <w:rsid w:val="000F0104"/>
    <w:rsid w:val="000F19AD"/>
    <w:rsid w:val="000F1BB9"/>
    <w:rsid w:val="000F1F8E"/>
    <w:rsid w:val="000F20AC"/>
    <w:rsid w:val="000F3464"/>
    <w:rsid w:val="000F3673"/>
    <w:rsid w:val="000F39EC"/>
    <w:rsid w:val="000F5D86"/>
    <w:rsid w:val="000F6F94"/>
    <w:rsid w:val="000F7534"/>
    <w:rsid w:val="000F772B"/>
    <w:rsid w:val="00101505"/>
    <w:rsid w:val="00101809"/>
    <w:rsid w:val="00101C25"/>
    <w:rsid w:val="00101C6F"/>
    <w:rsid w:val="00102958"/>
    <w:rsid w:val="001033F9"/>
    <w:rsid w:val="0010455D"/>
    <w:rsid w:val="001059F3"/>
    <w:rsid w:val="00105DE4"/>
    <w:rsid w:val="00110183"/>
    <w:rsid w:val="0011103F"/>
    <w:rsid w:val="001113D8"/>
    <w:rsid w:val="0011155C"/>
    <w:rsid w:val="00111FD1"/>
    <w:rsid w:val="00112C95"/>
    <w:rsid w:val="00112E09"/>
    <w:rsid w:val="00113294"/>
    <w:rsid w:val="00113FB9"/>
    <w:rsid w:val="001140B3"/>
    <w:rsid w:val="0011415F"/>
    <w:rsid w:val="00114781"/>
    <w:rsid w:val="001154AE"/>
    <w:rsid w:val="00115CA6"/>
    <w:rsid w:val="001179F7"/>
    <w:rsid w:val="001200ED"/>
    <w:rsid w:val="0012070B"/>
    <w:rsid w:val="00120B35"/>
    <w:rsid w:val="00121319"/>
    <w:rsid w:val="00121A47"/>
    <w:rsid w:val="00121D0B"/>
    <w:rsid w:val="00121F6A"/>
    <w:rsid w:val="001226CC"/>
    <w:rsid w:val="001229D4"/>
    <w:rsid w:val="00122A59"/>
    <w:rsid w:val="00124422"/>
    <w:rsid w:val="001245F3"/>
    <w:rsid w:val="00124634"/>
    <w:rsid w:val="001248EB"/>
    <w:rsid w:val="00124C83"/>
    <w:rsid w:val="00124E64"/>
    <w:rsid w:val="001258E2"/>
    <w:rsid w:val="00125E96"/>
    <w:rsid w:val="00126A0C"/>
    <w:rsid w:val="00127A17"/>
    <w:rsid w:val="00127D97"/>
    <w:rsid w:val="00130738"/>
    <w:rsid w:val="001312E7"/>
    <w:rsid w:val="001316C0"/>
    <w:rsid w:val="00132D7A"/>
    <w:rsid w:val="00132DB8"/>
    <w:rsid w:val="0013304E"/>
    <w:rsid w:val="00133574"/>
    <w:rsid w:val="00134358"/>
    <w:rsid w:val="0013448A"/>
    <w:rsid w:val="00134DD5"/>
    <w:rsid w:val="0013536B"/>
    <w:rsid w:val="00135DB7"/>
    <w:rsid w:val="001361E0"/>
    <w:rsid w:val="001363E0"/>
    <w:rsid w:val="00136426"/>
    <w:rsid w:val="001366AE"/>
    <w:rsid w:val="0013674F"/>
    <w:rsid w:val="00136ACA"/>
    <w:rsid w:val="001371AD"/>
    <w:rsid w:val="0013739D"/>
    <w:rsid w:val="00137BF9"/>
    <w:rsid w:val="00137C1C"/>
    <w:rsid w:val="001413A1"/>
    <w:rsid w:val="001422A1"/>
    <w:rsid w:val="001427E1"/>
    <w:rsid w:val="00143450"/>
    <w:rsid w:val="001436ED"/>
    <w:rsid w:val="00143814"/>
    <w:rsid w:val="001441E3"/>
    <w:rsid w:val="00145C0E"/>
    <w:rsid w:val="001462B7"/>
    <w:rsid w:val="00146565"/>
    <w:rsid w:val="0014656C"/>
    <w:rsid w:val="00146CCD"/>
    <w:rsid w:val="00146DA0"/>
    <w:rsid w:val="0014745D"/>
    <w:rsid w:val="00150622"/>
    <w:rsid w:val="001511D0"/>
    <w:rsid w:val="00151466"/>
    <w:rsid w:val="00151C09"/>
    <w:rsid w:val="00152AAD"/>
    <w:rsid w:val="00153D75"/>
    <w:rsid w:val="00153FBF"/>
    <w:rsid w:val="00157612"/>
    <w:rsid w:val="00157AE5"/>
    <w:rsid w:val="00157B14"/>
    <w:rsid w:val="00157EED"/>
    <w:rsid w:val="0016080F"/>
    <w:rsid w:val="001612E2"/>
    <w:rsid w:val="00161747"/>
    <w:rsid w:val="001617D7"/>
    <w:rsid w:val="00161D46"/>
    <w:rsid w:val="0016200F"/>
    <w:rsid w:val="00162490"/>
    <w:rsid w:val="001624C1"/>
    <w:rsid w:val="00164406"/>
    <w:rsid w:val="00164436"/>
    <w:rsid w:val="00165A55"/>
    <w:rsid w:val="00165D5D"/>
    <w:rsid w:val="001671FC"/>
    <w:rsid w:val="00167E8C"/>
    <w:rsid w:val="00170853"/>
    <w:rsid w:val="0017171F"/>
    <w:rsid w:val="00171BC1"/>
    <w:rsid w:val="00172154"/>
    <w:rsid w:val="00172188"/>
    <w:rsid w:val="001725AD"/>
    <w:rsid w:val="00173201"/>
    <w:rsid w:val="001732C4"/>
    <w:rsid w:val="00173E9B"/>
    <w:rsid w:val="00173EC5"/>
    <w:rsid w:val="0017409A"/>
    <w:rsid w:val="0017425F"/>
    <w:rsid w:val="0017513A"/>
    <w:rsid w:val="00176393"/>
    <w:rsid w:val="00176764"/>
    <w:rsid w:val="00176809"/>
    <w:rsid w:val="00177BB0"/>
    <w:rsid w:val="00180336"/>
    <w:rsid w:val="00180961"/>
    <w:rsid w:val="0018104A"/>
    <w:rsid w:val="0018182E"/>
    <w:rsid w:val="00182264"/>
    <w:rsid w:val="00182AFC"/>
    <w:rsid w:val="00183023"/>
    <w:rsid w:val="0018318F"/>
    <w:rsid w:val="00183E5B"/>
    <w:rsid w:val="00184C31"/>
    <w:rsid w:val="001857CC"/>
    <w:rsid w:val="0018586D"/>
    <w:rsid w:val="00186018"/>
    <w:rsid w:val="00186706"/>
    <w:rsid w:val="001875BD"/>
    <w:rsid w:val="00187772"/>
    <w:rsid w:val="0019133F"/>
    <w:rsid w:val="001913D7"/>
    <w:rsid w:val="00192A8C"/>
    <w:rsid w:val="0019302F"/>
    <w:rsid w:val="00193129"/>
    <w:rsid w:val="0019315A"/>
    <w:rsid w:val="0019335E"/>
    <w:rsid w:val="001934CD"/>
    <w:rsid w:val="00193564"/>
    <w:rsid w:val="00195278"/>
    <w:rsid w:val="00196A1F"/>
    <w:rsid w:val="00197549"/>
    <w:rsid w:val="00197795"/>
    <w:rsid w:val="001A2878"/>
    <w:rsid w:val="001A3774"/>
    <w:rsid w:val="001A3FF3"/>
    <w:rsid w:val="001A43CC"/>
    <w:rsid w:val="001A4754"/>
    <w:rsid w:val="001A4773"/>
    <w:rsid w:val="001A4AA3"/>
    <w:rsid w:val="001A4AFB"/>
    <w:rsid w:val="001A52F1"/>
    <w:rsid w:val="001B0EE5"/>
    <w:rsid w:val="001B1926"/>
    <w:rsid w:val="001B19F0"/>
    <w:rsid w:val="001B1B29"/>
    <w:rsid w:val="001B32FD"/>
    <w:rsid w:val="001B389B"/>
    <w:rsid w:val="001B42B5"/>
    <w:rsid w:val="001B4824"/>
    <w:rsid w:val="001B487F"/>
    <w:rsid w:val="001B61F3"/>
    <w:rsid w:val="001B6B13"/>
    <w:rsid w:val="001B6D8A"/>
    <w:rsid w:val="001B77B9"/>
    <w:rsid w:val="001C07A4"/>
    <w:rsid w:val="001C0E47"/>
    <w:rsid w:val="001C1584"/>
    <w:rsid w:val="001C1815"/>
    <w:rsid w:val="001C1F09"/>
    <w:rsid w:val="001C204F"/>
    <w:rsid w:val="001C231D"/>
    <w:rsid w:val="001C3499"/>
    <w:rsid w:val="001C3604"/>
    <w:rsid w:val="001C49DE"/>
    <w:rsid w:val="001C5505"/>
    <w:rsid w:val="001C5966"/>
    <w:rsid w:val="001C6CCB"/>
    <w:rsid w:val="001C75EA"/>
    <w:rsid w:val="001C7911"/>
    <w:rsid w:val="001C7D07"/>
    <w:rsid w:val="001D03BE"/>
    <w:rsid w:val="001D03FB"/>
    <w:rsid w:val="001D0A42"/>
    <w:rsid w:val="001D1068"/>
    <w:rsid w:val="001D14AD"/>
    <w:rsid w:val="001D1852"/>
    <w:rsid w:val="001D19E2"/>
    <w:rsid w:val="001D1F64"/>
    <w:rsid w:val="001D217E"/>
    <w:rsid w:val="001D24D2"/>
    <w:rsid w:val="001D3459"/>
    <w:rsid w:val="001D3B9C"/>
    <w:rsid w:val="001D47A1"/>
    <w:rsid w:val="001D531A"/>
    <w:rsid w:val="001D5A7B"/>
    <w:rsid w:val="001D6298"/>
    <w:rsid w:val="001D6403"/>
    <w:rsid w:val="001D759F"/>
    <w:rsid w:val="001D7DB1"/>
    <w:rsid w:val="001D7F56"/>
    <w:rsid w:val="001E001F"/>
    <w:rsid w:val="001E0820"/>
    <w:rsid w:val="001E1017"/>
    <w:rsid w:val="001E1348"/>
    <w:rsid w:val="001E167D"/>
    <w:rsid w:val="001E1742"/>
    <w:rsid w:val="001E2270"/>
    <w:rsid w:val="001E2B97"/>
    <w:rsid w:val="001E2C87"/>
    <w:rsid w:val="001E3E6A"/>
    <w:rsid w:val="001E4196"/>
    <w:rsid w:val="001E57C2"/>
    <w:rsid w:val="001E58B1"/>
    <w:rsid w:val="001E5CB9"/>
    <w:rsid w:val="001E63ED"/>
    <w:rsid w:val="001E6DC3"/>
    <w:rsid w:val="001E734E"/>
    <w:rsid w:val="001E73C7"/>
    <w:rsid w:val="001E77AB"/>
    <w:rsid w:val="001E79BB"/>
    <w:rsid w:val="001E7C2E"/>
    <w:rsid w:val="001F0436"/>
    <w:rsid w:val="001F0588"/>
    <w:rsid w:val="001F0D62"/>
    <w:rsid w:val="001F12F8"/>
    <w:rsid w:val="001F1573"/>
    <w:rsid w:val="001F1719"/>
    <w:rsid w:val="001F1758"/>
    <w:rsid w:val="001F19BF"/>
    <w:rsid w:val="001F1CE3"/>
    <w:rsid w:val="001F2142"/>
    <w:rsid w:val="001F2AEA"/>
    <w:rsid w:val="001F36E8"/>
    <w:rsid w:val="001F3B5E"/>
    <w:rsid w:val="001F4DE3"/>
    <w:rsid w:val="001F59B4"/>
    <w:rsid w:val="001F6456"/>
    <w:rsid w:val="001F7FE2"/>
    <w:rsid w:val="002001B7"/>
    <w:rsid w:val="00201676"/>
    <w:rsid w:val="00201943"/>
    <w:rsid w:val="002019F9"/>
    <w:rsid w:val="00201BB9"/>
    <w:rsid w:val="00201D6D"/>
    <w:rsid w:val="0020202D"/>
    <w:rsid w:val="00202340"/>
    <w:rsid w:val="00202479"/>
    <w:rsid w:val="0020261F"/>
    <w:rsid w:val="00202792"/>
    <w:rsid w:val="00202C60"/>
    <w:rsid w:val="00202CE3"/>
    <w:rsid w:val="002036DE"/>
    <w:rsid w:val="00203E8A"/>
    <w:rsid w:val="00204347"/>
    <w:rsid w:val="00204DB5"/>
    <w:rsid w:val="00205BCB"/>
    <w:rsid w:val="0020616B"/>
    <w:rsid w:val="00206B17"/>
    <w:rsid w:val="00207A3A"/>
    <w:rsid w:val="00210B16"/>
    <w:rsid w:val="00210D9E"/>
    <w:rsid w:val="002113D3"/>
    <w:rsid w:val="00212C42"/>
    <w:rsid w:val="0021402C"/>
    <w:rsid w:val="002143AF"/>
    <w:rsid w:val="00215115"/>
    <w:rsid w:val="00216153"/>
    <w:rsid w:val="002167BD"/>
    <w:rsid w:val="00216D3E"/>
    <w:rsid w:val="00216EB5"/>
    <w:rsid w:val="00217354"/>
    <w:rsid w:val="00217743"/>
    <w:rsid w:val="00217762"/>
    <w:rsid w:val="00220524"/>
    <w:rsid w:val="00220573"/>
    <w:rsid w:val="00220D59"/>
    <w:rsid w:val="00221613"/>
    <w:rsid w:val="00221AC5"/>
    <w:rsid w:val="002224AD"/>
    <w:rsid w:val="0022431A"/>
    <w:rsid w:val="002245AB"/>
    <w:rsid w:val="00224EF6"/>
    <w:rsid w:val="0022537D"/>
    <w:rsid w:val="002253C6"/>
    <w:rsid w:val="002267AE"/>
    <w:rsid w:val="00226E13"/>
    <w:rsid w:val="00226F14"/>
    <w:rsid w:val="0022732B"/>
    <w:rsid w:val="0022759A"/>
    <w:rsid w:val="0022763B"/>
    <w:rsid w:val="002304BB"/>
    <w:rsid w:val="00231A48"/>
    <w:rsid w:val="002320E3"/>
    <w:rsid w:val="002321EF"/>
    <w:rsid w:val="00232A1E"/>
    <w:rsid w:val="00232E53"/>
    <w:rsid w:val="00232FEA"/>
    <w:rsid w:val="002334B8"/>
    <w:rsid w:val="00233AF7"/>
    <w:rsid w:val="00233C2C"/>
    <w:rsid w:val="0023412A"/>
    <w:rsid w:val="002345F0"/>
    <w:rsid w:val="0023480A"/>
    <w:rsid w:val="002349D3"/>
    <w:rsid w:val="00234E90"/>
    <w:rsid w:val="00235868"/>
    <w:rsid w:val="00235B2B"/>
    <w:rsid w:val="00236960"/>
    <w:rsid w:val="00236CC6"/>
    <w:rsid w:val="00236F97"/>
    <w:rsid w:val="002403A1"/>
    <w:rsid w:val="00240416"/>
    <w:rsid w:val="0024052F"/>
    <w:rsid w:val="0024094B"/>
    <w:rsid w:val="002416B6"/>
    <w:rsid w:val="0024184E"/>
    <w:rsid w:val="0024188E"/>
    <w:rsid w:val="00241FD8"/>
    <w:rsid w:val="0024297C"/>
    <w:rsid w:val="00242E77"/>
    <w:rsid w:val="002432CA"/>
    <w:rsid w:val="00243B5D"/>
    <w:rsid w:val="0024442E"/>
    <w:rsid w:val="00244664"/>
    <w:rsid w:val="00244E9F"/>
    <w:rsid w:val="00244EBF"/>
    <w:rsid w:val="002458A0"/>
    <w:rsid w:val="00245C6C"/>
    <w:rsid w:val="00246762"/>
    <w:rsid w:val="00247085"/>
    <w:rsid w:val="00247763"/>
    <w:rsid w:val="002478D6"/>
    <w:rsid w:val="00247BD5"/>
    <w:rsid w:val="00247DE8"/>
    <w:rsid w:val="00247E31"/>
    <w:rsid w:val="00247F4E"/>
    <w:rsid w:val="00251AFC"/>
    <w:rsid w:val="00252274"/>
    <w:rsid w:val="00252281"/>
    <w:rsid w:val="002530AC"/>
    <w:rsid w:val="00255400"/>
    <w:rsid w:val="002559B7"/>
    <w:rsid w:val="002559D3"/>
    <w:rsid w:val="00255E8F"/>
    <w:rsid w:val="002562CE"/>
    <w:rsid w:val="002563EA"/>
    <w:rsid w:val="00256CF9"/>
    <w:rsid w:val="002574BC"/>
    <w:rsid w:val="00257C06"/>
    <w:rsid w:val="00257F2A"/>
    <w:rsid w:val="00260871"/>
    <w:rsid w:val="00261A29"/>
    <w:rsid w:val="00261BC1"/>
    <w:rsid w:val="00261DAC"/>
    <w:rsid w:val="00261FDD"/>
    <w:rsid w:val="00262E08"/>
    <w:rsid w:val="00263A37"/>
    <w:rsid w:val="00263B9F"/>
    <w:rsid w:val="00263FA2"/>
    <w:rsid w:val="0026567C"/>
    <w:rsid w:val="0026604B"/>
    <w:rsid w:val="00267A43"/>
    <w:rsid w:val="002701C3"/>
    <w:rsid w:val="00270A8B"/>
    <w:rsid w:val="00271CC4"/>
    <w:rsid w:val="0027231A"/>
    <w:rsid w:val="00272FD4"/>
    <w:rsid w:val="00273CCC"/>
    <w:rsid w:val="002744CC"/>
    <w:rsid w:val="00274870"/>
    <w:rsid w:val="00274F47"/>
    <w:rsid w:val="00275DB0"/>
    <w:rsid w:val="002763C6"/>
    <w:rsid w:val="00276B42"/>
    <w:rsid w:val="00276C77"/>
    <w:rsid w:val="00277003"/>
    <w:rsid w:val="00277D90"/>
    <w:rsid w:val="00280002"/>
    <w:rsid w:val="0028116B"/>
    <w:rsid w:val="00281713"/>
    <w:rsid w:val="00281801"/>
    <w:rsid w:val="00281B23"/>
    <w:rsid w:val="002822C4"/>
    <w:rsid w:val="00282CF6"/>
    <w:rsid w:val="00282DE5"/>
    <w:rsid w:val="002836C3"/>
    <w:rsid w:val="002840FC"/>
    <w:rsid w:val="002849FF"/>
    <w:rsid w:val="00285CAD"/>
    <w:rsid w:val="002860E2"/>
    <w:rsid w:val="00286C25"/>
    <w:rsid w:val="00286C85"/>
    <w:rsid w:val="00287061"/>
    <w:rsid w:val="00290AD5"/>
    <w:rsid w:val="00290CB8"/>
    <w:rsid w:val="00291097"/>
    <w:rsid w:val="00291568"/>
    <w:rsid w:val="002917D2"/>
    <w:rsid w:val="002931E6"/>
    <w:rsid w:val="00294EB3"/>
    <w:rsid w:val="00295221"/>
    <w:rsid w:val="002952D7"/>
    <w:rsid w:val="002964DE"/>
    <w:rsid w:val="0029654B"/>
    <w:rsid w:val="002968EA"/>
    <w:rsid w:val="00297484"/>
    <w:rsid w:val="00297A1A"/>
    <w:rsid w:val="002A00A0"/>
    <w:rsid w:val="002A1C2F"/>
    <w:rsid w:val="002A25BC"/>
    <w:rsid w:val="002A28D9"/>
    <w:rsid w:val="002A4FAB"/>
    <w:rsid w:val="002A5010"/>
    <w:rsid w:val="002A55A1"/>
    <w:rsid w:val="002A5DFC"/>
    <w:rsid w:val="002A6179"/>
    <w:rsid w:val="002A7985"/>
    <w:rsid w:val="002B008F"/>
    <w:rsid w:val="002B0362"/>
    <w:rsid w:val="002B03E0"/>
    <w:rsid w:val="002B05B1"/>
    <w:rsid w:val="002B09F9"/>
    <w:rsid w:val="002B184A"/>
    <w:rsid w:val="002B19B4"/>
    <w:rsid w:val="002B1FE7"/>
    <w:rsid w:val="002B3241"/>
    <w:rsid w:val="002B4B1F"/>
    <w:rsid w:val="002B5489"/>
    <w:rsid w:val="002B5749"/>
    <w:rsid w:val="002B5E4C"/>
    <w:rsid w:val="002B651B"/>
    <w:rsid w:val="002B6759"/>
    <w:rsid w:val="002B7D8E"/>
    <w:rsid w:val="002C191D"/>
    <w:rsid w:val="002C3AE7"/>
    <w:rsid w:val="002C3AEC"/>
    <w:rsid w:val="002C54B3"/>
    <w:rsid w:val="002C57FF"/>
    <w:rsid w:val="002C6B93"/>
    <w:rsid w:val="002C6E88"/>
    <w:rsid w:val="002C7102"/>
    <w:rsid w:val="002C769E"/>
    <w:rsid w:val="002C7EBA"/>
    <w:rsid w:val="002D0873"/>
    <w:rsid w:val="002D0FBD"/>
    <w:rsid w:val="002D200C"/>
    <w:rsid w:val="002D20A3"/>
    <w:rsid w:val="002D2C5E"/>
    <w:rsid w:val="002D3375"/>
    <w:rsid w:val="002D3A36"/>
    <w:rsid w:val="002D4795"/>
    <w:rsid w:val="002D5309"/>
    <w:rsid w:val="002D5A4C"/>
    <w:rsid w:val="002D643A"/>
    <w:rsid w:val="002D64AB"/>
    <w:rsid w:val="002D678D"/>
    <w:rsid w:val="002D790F"/>
    <w:rsid w:val="002D7D2A"/>
    <w:rsid w:val="002E0AEF"/>
    <w:rsid w:val="002E0F54"/>
    <w:rsid w:val="002E1580"/>
    <w:rsid w:val="002E15F7"/>
    <w:rsid w:val="002E182D"/>
    <w:rsid w:val="002E213A"/>
    <w:rsid w:val="002E22DA"/>
    <w:rsid w:val="002E253B"/>
    <w:rsid w:val="002E2CDB"/>
    <w:rsid w:val="002E2DE2"/>
    <w:rsid w:val="002E3060"/>
    <w:rsid w:val="002E3A86"/>
    <w:rsid w:val="002E4822"/>
    <w:rsid w:val="002E4FCE"/>
    <w:rsid w:val="002E6142"/>
    <w:rsid w:val="002E6253"/>
    <w:rsid w:val="002E6305"/>
    <w:rsid w:val="002E63F8"/>
    <w:rsid w:val="002E68FC"/>
    <w:rsid w:val="002E7862"/>
    <w:rsid w:val="002E7AFE"/>
    <w:rsid w:val="002E7C97"/>
    <w:rsid w:val="002F0ED1"/>
    <w:rsid w:val="002F1D8F"/>
    <w:rsid w:val="002F23E5"/>
    <w:rsid w:val="002F2FAF"/>
    <w:rsid w:val="002F327D"/>
    <w:rsid w:val="002F35A7"/>
    <w:rsid w:val="002F3C20"/>
    <w:rsid w:val="002F3E4D"/>
    <w:rsid w:val="002F486E"/>
    <w:rsid w:val="002F488B"/>
    <w:rsid w:val="002F7A29"/>
    <w:rsid w:val="00300B69"/>
    <w:rsid w:val="003010B9"/>
    <w:rsid w:val="00301C68"/>
    <w:rsid w:val="0030217F"/>
    <w:rsid w:val="003025B3"/>
    <w:rsid w:val="00302B10"/>
    <w:rsid w:val="00303024"/>
    <w:rsid w:val="00303269"/>
    <w:rsid w:val="00303B25"/>
    <w:rsid w:val="00304041"/>
    <w:rsid w:val="0030579D"/>
    <w:rsid w:val="00305853"/>
    <w:rsid w:val="00305E09"/>
    <w:rsid w:val="00306252"/>
    <w:rsid w:val="0030648B"/>
    <w:rsid w:val="00307F39"/>
    <w:rsid w:val="0031088A"/>
    <w:rsid w:val="003109C0"/>
    <w:rsid w:val="00310B71"/>
    <w:rsid w:val="00310C12"/>
    <w:rsid w:val="00310C47"/>
    <w:rsid w:val="00310CD8"/>
    <w:rsid w:val="00311AE2"/>
    <w:rsid w:val="00312982"/>
    <w:rsid w:val="00315F6A"/>
    <w:rsid w:val="003167E4"/>
    <w:rsid w:val="00317AC6"/>
    <w:rsid w:val="00317E3E"/>
    <w:rsid w:val="00317E98"/>
    <w:rsid w:val="00321841"/>
    <w:rsid w:val="003222AE"/>
    <w:rsid w:val="00322570"/>
    <w:rsid w:val="00322DA3"/>
    <w:rsid w:val="0032350E"/>
    <w:rsid w:val="003241E7"/>
    <w:rsid w:val="00324517"/>
    <w:rsid w:val="00325516"/>
    <w:rsid w:val="0032594F"/>
    <w:rsid w:val="00326368"/>
    <w:rsid w:val="003301B5"/>
    <w:rsid w:val="00330387"/>
    <w:rsid w:val="003303BA"/>
    <w:rsid w:val="00330489"/>
    <w:rsid w:val="003304CF"/>
    <w:rsid w:val="00331207"/>
    <w:rsid w:val="00331570"/>
    <w:rsid w:val="00332BE3"/>
    <w:rsid w:val="0033319D"/>
    <w:rsid w:val="00333E00"/>
    <w:rsid w:val="003361E1"/>
    <w:rsid w:val="00336311"/>
    <w:rsid w:val="003364A0"/>
    <w:rsid w:val="00336928"/>
    <w:rsid w:val="0033769A"/>
    <w:rsid w:val="003376A0"/>
    <w:rsid w:val="00337E97"/>
    <w:rsid w:val="003400B8"/>
    <w:rsid w:val="00340100"/>
    <w:rsid w:val="00340508"/>
    <w:rsid w:val="00341BE4"/>
    <w:rsid w:val="003426AA"/>
    <w:rsid w:val="003437CC"/>
    <w:rsid w:val="00343990"/>
    <w:rsid w:val="00344714"/>
    <w:rsid w:val="00345223"/>
    <w:rsid w:val="0034681D"/>
    <w:rsid w:val="003468E3"/>
    <w:rsid w:val="003473A6"/>
    <w:rsid w:val="00347563"/>
    <w:rsid w:val="003477E8"/>
    <w:rsid w:val="00350853"/>
    <w:rsid w:val="0035086E"/>
    <w:rsid w:val="00350F48"/>
    <w:rsid w:val="003514A6"/>
    <w:rsid w:val="00351915"/>
    <w:rsid w:val="003526E6"/>
    <w:rsid w:val="00352722"/>
    <w:rsid w:val="00352826"/>
    <w:rsid w:val="00352FDD"/>
    <w:rsid w:val="00353CD3"/>
    <w:rsid w:val="00353E1D"/>
    <w:rsid w:val="00353F30"/>
    <w:rsid w:val="00354329"/>
    <w:rsid w:val="00354708"/>
    <w:rsid w:val="003548A2"/>
    <w:rsid w:val="00355606"/>
    <w:rsid w:val="003556A7"/>
    <w:rsid w:val="00355AEC"/>
    <w:rsid w:val="00355DF7"/>
    <w:rsid w:val="003562D7"/>
    <w:rsid w:val="003562FA"/>
    <w:rsid w:val="00356342"/>
    <w:rsid w:val="00356735"/>
    <w:rsid w:val="00356C8B"/>
    <w:rsid w:val="003573C1"/>
    <w:rsid w:val="00357E96"/>
    <w:rsid w:val="003614FF"/>
    <w:rsid w:val="0036184C"/>
    <w:rsid w:val="00361AB1"/>
    <w:rsid w:val="00361CD5"/>
    <w:rsid w:val="00364386"/>
    <w:rsid w:val="0036523E"/>
    <w:rsid w:val="00365262"/>
    <w:rsid w:val="00365C25"/>
    <w:rsid w:val="0036677B"/>
    <w:rsid w:val="00367117"/>
    <w:rsid w:val="00367B81"/>
    <w:rsid w:val="00367FF3"/>
    <w:rsid w:val="0037006A"/>
    <w:rsid w:val="003707AA"/>
    <w:rsid w:val="003716DF"/>
    <w:rsid w:val="003716F6"/>
    <w:rsid w:val="00372576"/>
    <w:rsid w:val="00372704"/>
    <w:rsid w:val="00372E28"/>
    <w:rsid w:val="00374E74"/>
    <w:rsid w:val="003759B7"/>
    <w:rsid w:val="003764A2"/>
    <w:rsid w:val="003778A2"/>
    <w:rsid w:val="00380270"/>
    <w:rsid w:val="00380807"/>
    <w:rsid w:val="00380E15"/>
    <w:rsid w:val="00381523"/>
    <w:rsid w:val="00381789"/>
    <w:rsid w:val="0038196E"/>
    <w:rsid w:val="00381B23"/>
    <w:rsid w:val="0038296C"/>
    <w:rsid w:val="00382BE6"/>
    <w:rsid w:val="00382C99"/>
    <w:rsid w:val="003830C2"/>
    <w:rsid w:val="00383196"/>
    <w:rsid w:val="003832D9"/>
    <w:rsid w:val="0038333C"/>
    <w:rsid w:val="00384459"/>
    <w:rsid w:val="00384B61"/>
    <w:rsid w:val="00385119"/>
    <w:rsid w:val="00386974"/>
    <w:rsid w:val="00387A0D"/>
    <w:rsid w:val="00387A72"/>
    <w:rsid w:val="0039038A"/>
    <w:rsid w:val="00391144"/>
    <w:rsid w:val="003913B3"/>
    <w:rsid w:val="0039265F"/>
    <w:rsid w:val="0039274B"/>
    <w:rsid w:val="00392BD0"/>
    <w:rsid w:val="0039326E"/>
    <w:rsid w:val="003942B5"/>
    <w:rsid w:val="0039570D"/>
    <w:rsid w:val="00395997"/>
    <w:rsid w:val="00395A8E"/>
    <w:rsid w:val="00395AD8"/>
    <w:rsid w:val="003960CF"/>
    <w:rsid w:val="003962EA"/>
    <w:rsid w:val="00396723"/>
    <w:rsid w:val="00396CCC"/>
    <w:rsid w:val="00396F78"/>
    <w:rsid w:val="00397095"/>
    <w:rsid w:val="003A1015"/>
    <w:rsid w:val="003A1B5E"/>
    <w:rsid w:val="003A1C96"/>
    <w:rsid w:val="003A261E"/>
    <w:rsid w:val="003A2FC1"/>
    <w:rsid w:val="003A33FF"/>
    <w:rsid w:val="003A39F5"/>
    <w:rsid w:val="003A3A2A"/>
    <w:rsid w:val="003A4259"/>
    <w:rsid w:val="003A432B"/>
    <w:rsid w:val="003A43DA"/>
    <w:rsid w:val="003A5538"/>
    <w:rsid w:val="003A592E"/>
    <w:rsid w:val="003A61EA"/>
    <w:rsid w:val="003A65EF"/>
    <w:rsid w:val="003A7099"/>
    <w:rsid w:val="003A7392"/>
    <w:rsid w:val="003B06B3"/>
    <w:rsid w:val="003B0AC9"/>
    <w:rsid w:val="003B1069"/>
    <w:rsid w:val="003B33DB"/>
    <w:rsid w:val="003B3E87"/>
    <w:rsid w:val="003B412D"/>
    <w:rsid w:val="003B419F"/>
    <w:rsid w:val="003B47EF"/>
    <w:rsid w:val="003B51C9"/>
    <w:rsid w:val="003B73DD"/>
    <w:rsid w:val="003C0076"/>
    <w:rsid w:val="003C02A0"/>
    <w:rsid w:val="003C0E04"/>
    <w:rsid w:val="003C0ECF"/>
    <w:rsid w:val="003C1210"/>
    <w:rsid w:val="003C1B77"/>
    <w:rsid w:val="003C23DB"/>
    <w:rsid w:val="003C2A1C"/>
    <w:rsid w:val="003C2F75"/>
    <w:rsid w:val="003C32CD"/>
    <w:rsid w:val="003C3AC5"/>
    <w:rsid w:val="003C4640"/>
    <w:rsid w:val="003C482A"/>
    <w:rsid w:val="003C6387"/>
    <w:rsid w:val="003C67E7"/>
    <w:rsid w:val="003C6E5B"/>
    <w:rsid w:val="003C7DF4"/>
    <w:rsid w:val="003D03F7"/>
    <w:rsid w:val="003D16BB"/>
    <w:rsid w:val="003D17F5"/>
    <w:rsid w:val="003D3973"/>
    <w:rsid w:val="003D3FCD"/>
    <w:rsid w:val="003D47CC"/>
    <w:rsid w:val="003D50E9"/>
    <w:rsid w:val="003D5417"/>
    <w:rsid w:val="003D54DF"/>
    <w:rsid w:val="003E04A1"/>
    <w:rsid w:val="003E0CAE"/>
    <w:rsid w:val="003E1C02"/>
    <w:rsid w:val="003E28BE"/>
    <w:rsid w:val="003E3810"/>
    <w:rsid w:val="003E3D14"/>
    <w:rsid w:val="003E407F"/>
    <w:rsid w:val="003E4FF0"/>
    <w:rsid w:val="003E52F3"/>
    <w:rsid w:val="003E573E"/>
    <w:rsid w:val="003E5747"/>
    <w:rsid w:val="003E683A"/>
    <w:rsid w:val="003E6881"/>
    <w:rsid w:val="003F13CE"/>
    <w:rsid w:val="003F1C90"/>
    <w:rsid w:val="003F1CAB"/>
    <w:rsid w:val="003F2D82"/>
    <w:rsid w:val="003F382E"/>
    <w:rsid w:val="003F4BB9"/>
    <w:rsid w:val="003F57A8"/>
    <w:rsid w:val="003F59CA"/>
    <w:rsid w:val="003F65E8"/>
    <w:rsid w:val="003F661D"/>
    <w:rsid w:val="003F6805"/>
    <w:rsid w:val="003F705A"/>
    <w:rsid w:val="003F7105"/>
    <w:rsid w:val="003F76EB"/>
    <w:rsid w:val="003F7874"/>
    <w:rsid w:val="003F7D85"/>
    <w:rsid w:val="004005C9"/>
    <w:rsid w:val="0040204E"/>
    <w:rsid w:val="004025A3"/>
    <w:rsid w:val="00403769"/>
    <w:rsid w:val="00403B71"/>
    <w:rsid w:val="00403B92"/>
    <w:rsid w:val="004043F8"/>
    <w:rsid w:val="004049D7"/>
    <w:rsid w:val="00405EF9"/>
    <w:rsid w:val="00406F17"/>
    <w:rsid w:val="00407490"/>
    <w:rsid w:val="0040759F"/>
    <w:rsid w:val="0040784F"/>
    <w:rsid w:val="004100B0"/>
    <w:rsid w:val="00410408"/>
    <w:rsid w:val="00410F9B"/>
    <w:rsid w:val="00411310"/>
    <w:rsid w:val="00411658"/>
    <w:rsid w:val="00413027"/>
    <w:rsid w:val="0041304A"/>
    <w:rsid w:val="00414455"/>
    <w:rsid w:val="00414D05"/>
    <w:rsid w:val="0041587B"/>
    <w:rsid w:val="00415D82"/>
    <w:rsid w:val="00415FDB"/>
    <w:rsid w:val="004161D3"/>
    <w:rsid w:val="00416473"/>
    <w:rsid w:val="00417445"/>
    <w:rsid w:val="00417644"/>
    <w:rsid w:val="00420296"/>
    <w:rsid w:val="00420DE5"/>
    <w:rsid w:val="00420DFE"/>
    <w:rsid w:val="00420F68"/>
    <w:rsid w:val="00421B31"/>
    <w:rsid w:val="00423209"/>
    <w:rsid w:val="0042382B"/>
    <w:rsid w:val="00423A63"/>
    <w:rsid w:val="00423DF2"/>
    <w:rsid w:val="004248D8"/>
    <w:rsid w:val="00424A25"/>
    <w:rsid w:val="00424CBC"/>
    <w:rsid w:val="00425016"/>
    <w:rsid w:val="00427BC0"/>
    <w:rsid w:val="0043045C"/>
    <w:rsid w:val="0043053C"/>
    <w:rsid w:val="0043237E"/>
    <w:rsid w:val="00434324"/>
    <w:rsid w:val="0043465E"/>
    <w:rsid w:val="00434A73"/>
    <w:rsid w:val="00434B7C"/>
    <w:rsid w:val="00435055"/>
    <w:rsid w:val="004351DB"/>
    <w:rsid w:val="00435DF3"/>
    <w:rsid w:val="0043631D"/>
    <w:rsid w:val="00436A38"/>
    <w:rsid w:val="00436A6B"/>
    <w:rsid w:val="00437F03"/>
    <w:rsid w:val="004409D4"/>
    <w:rsid w:val="00440D21"/>
    <w:rsid w:val="004420AB"/>
    <w:rsid w:val="004421F8"/>
    <w:rsid w:val="00442CC2"/>
    <w:rsid w:val="00443047"/>
    <w:rsid w:val="00443F66"/>
    <w:rsid w:val="00444897"/>
    <w:rsid w:val="00444F14"/>
    <w:rsid w:val="00445278"/>
    <w:rsid w:val="00445A51"/>
    <w:rsid w:val="004461ED"/>
    <w:rsid w:val="004469C1"/>
    <w:rsid w:val="0044719A"/>
    <w:rsid w:val="00447755"/>
    <w:rsid w:val="00447EF1"/>
    <w:rsid w:val="00450D92"/>
    <w:rsid w:val="00451557"/>
    <w:rsid w:val="00452646"/>
    <w:rsid w:val="004532DB"/>
    <w:rsid w:val="00453722"/>
    <w:rsid w:val="0045392D"/>
    <w:rsid w:val="00453D77"/>
    <w:rsid w:val="00454010"/>
    <w:rsid w:val="004543AB"/>
    <w:rsid w:val="004545E5"/>
    <w:rsid w:val="00454FFB"/>
    <w:rsid w:val="00455283"/>
    <w:rsid w:val="004555AF"/>
    <w:rsid w:val="00455825"/>
    <w:rsid w:val="00456317"/>
    <w:rsid w:val="00456B1A"/>
    <w:rsid w:val="00456CA5"/>
    <w:rsid w:val="00457051"/>
    <w:rsid w:val="004572AD"/>
    <w:rsid w:val="0045793A"/>
    <w:rsid w:val="00457AD9"/>
    <w:rsid w:val="00460020"/>
    <w:rsid w:val="0046095D"/>
    <w:rsid w:val="00460A90"/>
    <w:rsid w:val="00461FBE"/>
    <w:rsid w:val="00463930"/>
    <w:rsid w:val="00464F7C"/>
    <w:rsid w:val="004656AC"/>
    <w:rsid w:val="0046578A"/>
    <w:rsid w:val="00467895"/>
    <w:rsid w:val="004706D4"/>
    <w:rsid w:val="0047114F"/>
    <w:rsid w:val="00471BF2"/>
    <w:rsid w:val="00472CB5"/>
    <w:rsid w:val="004732AC"/>
    <w:rsid w:val="004734AE"/>
    <w:rsid w:val="00473CE1"/>
    <w:rsid w:val="00474C93"/>
    <w:rsid w:val="00475042"/>
    <w:rsid w:val="00476B2F"/>
    <w:rsid w:val="00476B47"/>
    <w:rsid w:val="00476B9C"/>
    <w:rsid w:val="00476DBF"/>
    <w:rsid w:val="00477546"/>
    <w:rsid w:val="004777CC"/>
    <w:rsid w:val="00481F64"/>
    <w:rsid w:val="00481F89"/>
    <w:rsid w:val="004823A0"/>
    <w:rsid w:val="0048368B"/>
    <w:rsid w:val="00483975"/>
    <w:rsid w:val="00483B89"/>
    <w:rsid w:val="0048463E"/>
    <w:rsid w:val="004848A8"/>
    <w:rsid w:val="00485D27"/>
    <w:rsid w:val="00486623"/>
    <w:rsid w:val="00486625"/>
    <w:rsid w:val="0048699F"/>
    <w:rsid w:val="00487610"/>
    <w:rsid w:val="0048790D"/>
    <w:rsid w:val="004879F9"/>
    <w:rsid w:val="00487DAA"/>
    <w:rsid w:val="00487F1E"/>
    <w:rsid w:val="00490AB9"/>
    <w:rsid w:val="004914F4"/>
    <w:rsid w:val="004918B7"/>
    <w:rsid w:val="004927A4"/>
    <w:rsid w:val="00492DBE"/>
    <w:rsid w:val="004932F9"/>
    <w:rsid w:val="004935BE"/>
    <w:rsid w:val="004942E2"/>
    <w:rsid w:val="00494A33"/>
    <w:rsid w:val="00495077"/>
    <w:rsid w:val="004952F9"/>
    <w:rsid w:val="00495860"/>
    <w:rsid w:val="0049590B"/>
    <w:rsid w:val="00495911"/>
    <w:rsid w:val="004967A1"/>
    <w:rsid w:val="004A00CC"/>
    <w:rsid w:val="004A01AC"/>
    <w:rsid w:val="004A15ED"/>
    <w:rsid w:val="004A1A54"/>
    <w:rsid w:val="004A235F"/>
    <w:rsid w:val="004A3422"/>
    <w:rsid w:val="004A3B29"/>
    <w:rsid w:val="004A3FEB"/>
    <w:rsid w:val="004A4035"/>
    <w:rsid w:val="004A509C"/>
    <w:rsid w:val="004A6382"/>
    <w:rsid w:val="004A6B7C"/>
    <w:rsid w:val="004A74F9"/>
    <w:rsid w:val="004A7B94"/>
    <w:rsid w:val="004B0164"/>
    <w:rsid w:val="004B186B"/>
    <w:rsid w:val="004B1F56"/>
    <w:rsid w:val="004B3F3E"/>
    <w:rsid w:val="004B42CF"/>
    <w:rsid w:val="004B449E"/>
    <w:rsid w:val="004B4E90"/>
    <w:rsid w:val="004B5CB6"/>
    <w:rsid w:val="004B64CB"/>
    <w:rsid w:val="004B6B22"/>
    <w:rsid w:val="004B6B2A"/>
    <w:rsid w:val="004B6F08"/>
    <w:rsid w:val="004B6F2A"/>
    <w:rsid w:val="004B7016"/>
    <w:rsid w:val="004B73DF"/>
    <w:rsid w:val="004B78D3"/>
    <w:rsid w:val="004B7C09"/>
    <w:rsid w:val="004B7EC6"/>
    <w:rsid w:val="004C0294"/>
    <w:rsid w:val="004C04AE"/>
    <w:rsid w:val="004C0CC5"/>
    <w:rsid w:val="004C18ED"/>
    <w:rsid w:val="004C2C82"/>
    <w:rsid w:val="004C2F97"/>
    <w:rsid w:val="004C34DC"/>
    <w:rsid w:val="004C3FAC"/>
    <w:rsid w:val="004C4AE6"/>
    <w:rsid w:val="004C5101"/>
    <w:rsid w:val="004C5D7D"/>
    <w:rsid w:val="004C6470"/>
    <w:rsid w:val="004C6B8D"/>
    <w:rsid w:val="004C6BB9"/>
    <w:rsid w:val="004C7876"/>
    <w:rsid w:val="004D0393"/>
    <w:rsid w:val="004D06EE"/>
    <w:rsid w:val="004D0BD2"/>
    <w:rsid w:val="004D28DD"/>
    <w:rsid w:val="004D33D9"/>
    <w:rsid w:val="004D4493"/>
    <w:rsid w:val="004D4970"/>
    <w:rsid w:val="004D4A16"/>
    <w:rsid w:val="004D5BD0"/>
    <w:rsid w:val="004D615A"/>
    <w:rsid w:val="004D6251"/>
    <w:rsid w:val="004D6516"/>
    <w:rsid w:val="004D6606"/>
    <w:rsid w:val="004D6B0C"/>
    <w:rsid w:val="004E1790"/>
    <w:rsid w:val="004E1B62"/>
    <w:rsid w:val="004E23C8"/>
    <w:rsid w:val="004E2B4D"/>
    <w:rsid w:val="004E300A"/>
    <w:rsid w:val="004E314C"/>
    <w:rsid w:val="004E3156"/>
    <w:rsid w:val="004E3A93"/>
    <w:rsid w:val="004E3FEB"/>
    <w:rsid w:val="004E4399"/>
    <w:rsid w:val="004E4892"/>
    <w:rsid w:val="004E4D10"/>
    <w:rsid w:val="004E4F97"/>
    <w:rsid w:val="004E52FB"/>
    <w:rsid w:val="004E5462"/>
    <w:rsid w:val="004E55D8"/>
    <w:rsid w:val="004E5E2B"/>
    <w:rsid w:val="004E66C0"/>
    <w:rsid w:val="004E66DC"/>
    <w:rsid w:val="004E74BF"/>
    <w:rsid w:val="004E7B2F"/>
    <w:rsid w:val="004E7BA8"/>
    <w:rsid w:val="004E7D3F"/>
    <w:rsid w:val="004F07F2"/>
    <w:rsid w:val="004F25EB"/>
    <w:rsid w:val="004F2EA8"/>
    <w:rsid w:val="004F3835"/>
    <w:rsid w:val="004F3EEF"/>
    <w:rsid w:val="004F434D"/>
    <w:rsid w:val="004F43BB"/>
    <w:rsid w:val="004F679B"/>
    <w:rsid w:val="004F69BD"/>
    <w:rsid w:val="004F6A7E"/>
    <w:rsid w:val="004F6AFC"/>
    <w:rsid w:val="004F744D"/>
    <w:rsid w:val="004F7798"/>
    <w:rsid w:val="004F7DFB"/>
    <w:rsid w:val="005005B7"/>
    <w:rsid w:val="00500AC0"/>
    <w:rsid w:val="00500E86"/>
    <w:rsid w:val="00500FA3"/>
    <w:rsid w:val="0050194C"/>
    <w:rsid w:val="005029AE"/>
    <w:rsid w:val="00503378"/>
    <w:rsid w:val="005038CF"/>
    <w:rsid w:val="00503B03"/>
    <w:rsid w:val="00503F3E"/>
    <w:rsid w:val="00504C20"/>
    <w:rsid w:val="00504CCD"/>
    <w:rsid w:val="00505491"/>
    <w:rsid w:val="0050612F"/>
    <w:rsid w:val="00507DEC"/>
    <w:rsid w:val="00510529"/>
    <w:rsid w:val="005105E1"/>
    <w:rsid w:val="00511B97"/>
    <w:rsid w:val="00511C50"/>
    <w:rsid w:val="00512223"/>
    <w:rsid w:val="00512887"/>
    <w:rsid w:val="005134EC"/>
    <w:rsid w:val="00513760"/>
    <w:rsid w:val="005137A8"/>
    <w:rsid w:val="00513CE8"/>
    <w:rsid w:val="00513E6D"/>
    <w:rsid w:val="00514083"/>
    <w:rsid w:val="00514943"/>
    <w:rsid w:val="0051510D"/>
    <w:rsid w:val="00515646"/>
    <w:rsid w:val="005163DE"/>
    <w:rsid w:val="00516759"/>
    <w:rsid w:val="005169C7"/>
    <w:rsid w:val="005170F5"/>
    <w:rsid w:val="0051795D"/>
    <w:rsid w:val="00517AEA"/>
    <w:rsid w:val="00520498"/>
    <w:rsid w:val="0052079E"/>
    <w:rsid w:val="005208EA"/>
    <w:rsid w:val="005214EB"/>
    <w:rsid w:val="00521709"/>
    <w:rsid w:val="00521830"/>
    <w:rsid w:val="00521898"/>
    <w:rsid w:val="00522063"/>
    <w:rsid w:val="00522496"/>
    <w:rsid w:val="00522D20"/>
    <w:rsid w:val="00522D9D"/>
    <w:rsid w:val="0052529D"/>
    <w:rsid w:val="0052547B"/>
    <w:rsid w:val="00525967"/>
    <w:rsid w:val="00525EAD"/>
    <w:rsid w:val="00525F11"/>
    <w:rsid w:val="0052616A"/>
    <w:rsid w:val="00527EC6"/>
    <w:rsid w:val="00530600"/>
    <w:rsid w:val="00530A07"/>
    <w:rsid w:val="00532E64"/>
    <w:rsid w:val="005340AD"/>
    <w:rsid w:val="00534D2E"/>
    <w:rsid w:val="00534FCD"/>
    <w:rsid w:val="005355C2"/>
    <w:rsid w:val="00535D40"/>
    <w:rsid w:val="00536748"/>
    <w:rsid w:val="005371B7"/>
    <w:rsid w:val="005376A8"/>
    <w:rsid w:val="00537B09"/>
    <w:rsid w:val="0054011A"/>
    <w:rsid w:val="00540639"/>
    <w:rsid w:val="005418C8"/>
    <w:rsid w:val="00541C9E"/>
    <w:rsid w:val="00541D26"/>
    <w:rsid w:val="00542129"/>
    <w:rsid w:val="00542A14"/>
    <w:rsid w:val="0054330D"/>
    <w:rsid w:val="0054445D"/>
    <w:rsid w:val="005451A3"/>
    <w:rsid w:val="00545293"/>
    <w:rsid w:val="00545392"/>
    <w:rsid w:val="00546DC5"/>
    <w:rsid w:val="00547624"/>
    <w:rsid w:val="00547C0B"/>
    <w:rsid w:val="00550279"/>
    <w:rsid w:val="00550CC9"/>
    <w:rsid w:val="00550F6B"/>
    <w:rsid w:val="0055143F"/>
    <w:rsid w:val="00552283"/>
    <w:rsid w:val="00553AA8"/>
    <w:rsid w:val="005541D6"/>
    <w:rsid w:val="00555897"/>
    <w:rsid w:val="00555C41"/>
    <w:rsid w:val="00555E51"/>
    <w:rsid w:val="0055630E"/>
    <w:rsid w:val="00556C21"/>
    <w:rsid w:val="00557A21"/>
    <w:rsid w:val="005600CF"/>
    <w:rsid w:val="00560E20"/>
    <w:rsid w:val="00561E7D"/>
    <w:rsid w:val="00561F7D"/>
    <w:rsid w:val="0056439C"/>
    <w:rsid w:val="005644B7"/>
    <w:rsid w:val="005645FF"/>
    <w:rsid w:val="00564F5E"/>
    <w:rsid w:val="005656BF"/>
    <w:rsid w:val="00565E66"/>
    <w:rsid w:val="005669CC"/>
    <w:rsid w:val="0056728E"/>
    <w:rsid w:val="005673DA"/>
    <w:rsid w:val="00570CE5"/>
    <w:rsid w:val="005710E8"/>
    <w:rsid w:val="00571773"/>
    <w:rsid w:val="00571F7B"/>
    <w:rsid w:val="00573460"/>
    <w:rsid w:val="00573563"/>
    <w:rsid w:val="00574AF3"/>
    <w:rsid w:val="00574BFD"/>
    <w:rsid w:val="00574E14"/>
    <w:rsid w:val="00575B86"/>
    <w:rsid w:val="00577187"/>
    <w:rsid w:val="00577C00"/>
    <w:rsid w:val="005801FE"/>
    <w:rsid w:val="00580705"/>
    <w:rsid w:val="005812C4"/>
    <w:rsid w:val="005816E3"/>
    <w:rsid w:val="005817ED"/>
    <w:rsid w:val="00581C3B"/>
    <w:rsid w:val="00582154"/>
    <w:rsid w:val="005829C5"/>
    <w:rsid w:val="00583FDD"/>
    <w:rsid w:val="0058450F"/>
    <w:rsid w:val="005849B8"/>
    <w:rsid w:val="00584ABF"/>
    <w:rsid w:val="00584DEF"/>
    <w:rsid w:val="0058591B"/>
    <w:rsid w:val="00586110"/>
    <w:rsid w:val="005861F8"/>
    <w:rsid w:val="00586AD6"/>
    <w:rsid w:val="00590487"/>
    <w:rsid w:val="005910DA"/>
    <w:rsid w:val="005913A3"/>
    <w:rsid w:val="00591B08"/>
    <w:rsid w:val="00591EE9"/>
    <w:rsid w:val="005923A6"/>
    <w:rsid w:val="00593004"/>
    <w:rsid w:val="005933A6"/>
    <w:rsid w:val="00593413"/>
    <w:rsid w:val="0059345F"/>
    <w:rsid w:val="0059381B"/>
    <w:rsid w:val="005944BA"/>
    <w:rsid w:val="0059482A"/>
    <w:rsid w:val="00594C21"/>
    <w:rsid w:val="00594D9C"/>
    <w:rsid w:val="005950D2"/>
    <w:rsid w:val="00595419"/>
    <w:rsid w:val="0059543E"/>
    <w:rsid w:val="00596AF1"/>
    <w:rsid w:val="00596EE7"/>
    <w:rsid w:val="00597ABD"/>
    <w:rsid w:val="00597E3D"/>
    <w:rsid w:val="005A0317"/>
    <w:rsid w:val="005A13A0"/>
    <w:rsid w:val="005A1660"/>
    <w:rsid w:val="005A1B74"/>
    <w:rsid w:val="005A1FF7"/>
    <w:rsid w:val="005A24AC"/>
    <w:rsid w:val="005A3D28"/>
    <w:rsid w:val="005A466E"/>
    <w:rsid w:val="005A484B"/>
    <w:rsid w:val="005A5A67"/>
    <w:rsid w:val="005A6085"/>
    <w:rsid w:val="005A690A"/>
    <w:rsid w:val="005A71B0"/>
    <w:rsid w:val="005A75BC"/>
    <w:rsid w:val="005A7938"/>
    <w:rsid w:val="005A7C5C"/>
    <w:rsid w:val="005B0078"/>
    <w:rsid w:val="005B04A1"/>
    <w:rsid w:val="005B16E3"/>
    <w:rsid w:val="005B194B"/>
    <w:rsid w:val="005B1DA9"/>
    <w:rsid w:val="005B3108"/>
    <w:rsid w:val="005B4388"/>
    <w:rsid w:val="005B54A9"/>
    <w:rsid w:val="005B5E3D"/>
    <w:rsid w:val="005B6492"/>
    <w:rsid w:val="005B6E1D"/>
    <w:rsid w:val="005B6EED"/>
    <w:rsid w:val="005B7535"/>
    <w:rsid w:val="005B7932"/>
    <w:rsid w:val="005B7D59"/>
    <w:rsid w:val="005C056C"/>
    <w:rsid w:val="005C0A2B"/>
    <w:rsid w:val="005C0E19"/>
    <w:rsid w:val="005C13FB"/>
    <w:rsid w:val="005C154E"/>
    <w:rsid w:val="005C19BC"/>
    <w:rsid w:val="005C1E41"/>
    <w:rsid w:val="005C229D"/>
    <w:rsid w:val="005C2708"/>
    <w:rsid w:val="005C32A1"/>
    <w:rsid w:val="005C32EE"/>
    <w:rsid w:val="005C3B40"/>
    <w:rsid w:val="005C40BC"/>
    <w:rsid w:val="005C48C8"/>
    <w:rsid w:val="005C4D27"/>
    <w:rsid w:val="005C5C60"/>
    <w:rsid w:val="005C60EE"/>
    <w:rsid w:val="005C6936"/>
    <w:rsid w:val="005C6AE9"/>
    <w:rsid w:val="005C73C6"/>
    <w:rsid w:val="005C7F2B"/>
    <w:rsid w:val="005D03F9"/>
    <w:rsid w:val="005D05D9"/>
    <w:rsid w:val="005D0D90"/>
    <w:rsid w:val="005D0FC0"/>
    <w:rsid w:val="005D1993"/>
    <w:rsid w:val="005D36A2"/>
    <w:rsid w:val="005D36F7"/>
    <w:rsid w:val="005D39D5"/>
    <w:rsid w:val="005D3A4C"/>
    <w:rsid w:val="005D3F2A"/>
    <w:rsid w:val="005D4B33"/>
    <w:rsid w:val="005D53D3"/>
    <w:rsid w:val="005D53ED"/>
    <w:rsid w:val="005D56E8"/>
    <w:rsid w:val="005D651C"/>
    <w:rsid w:val="005D6ED7"/>
    <w:rsid w:val="005D7A8C"/>
    <w:rsid w:val="005E07B8"/>
    <w:rsid w:val="005E0DFE"/>
    <w:rsid w:val="005E33CA"/>
    <w:rsid w:val="005E3A23"/>
    <w:rsid w:val="005E495D"/>
    <w:rsid w:val="005E4C07"/>
    <w:rsid w:val="005E4F5F"/>
    <w:rsid w:val="005E57EB"/>
    <w:rsid w:val="005E5826"/>
    <w:rsid w:val="005E6804"/>
    <w:rsid w:val="005E6885"/>
    <w:rsid w:val="005E6957"/>
    <w:rsid w:val="005F0391"/>
    <w:rsid w:val="005F12AA"/>
    <w:rsid w:val="005F17C7"/>
    <w:rsid w:val="005F1ADE"/>
    <w:rsid w:val="005F23E1"/>
    <w:rsid w:val="005F2A3D"/>
    <w:rsid w:val="005F37E5"/>
    <w:rsid w:val="005F3D81"/>
    <w:rsid w:val="005F4ABA"/>
    <w:rsid w:val="005F4AE2"/>
    <w:rsid w:val="005F4F86"/>
    <w:rsid w:val="005F5D68"/>
    <w:rsid w:val="005F60DA"/>
    <w:rsid w:val="005F6BE0"/>
    <w:rsid w:val="005F7594"/>
    <w:rsid w:val="005F7762"/>
    <w:rsid w:val="005F7801"/>
    <w:rsid w:val="0060055E"/>
    <w:rsid w:val="00600D2C"/>
    <w:rsid w:val="0060107C"/>
    <w:rsid w:val="006013BD"/>
    <w:rsid w:val="006023F6"/>
    <w:rsid w:val="006026FC"/>
    <w:rsid w:val="00602BC8"/>
    <w:rsid w:val="00602D08"/>
    <w:rsid w:val="00603C0A"/>
    <w:rsid w:val="00603EBA"/>
    <w:rsid w:val="00604C71"/>
    <w:rsid w:val="0060572C"/>
    <w:rsid w:val="006063C7"/>
    <w:rsid w:val="0060725E"/>
    <w:rsid w:val="0060746E"/>
    <w:rsid w:val="00607B8A"/>
    <w:rsid w:val="00607F03"/>
    <w:rsid w:val="0061102B"/>
    <w:rsid w:val="00611BF1"/>
    <w:rsid w:val="006125E8"/>
    <w:rsid w:val="00612ED5"/>
    <w:rsid w:val="00613064"/>
    <w:rsid w:val="00613D2C"/>
    <w:rsid w:val="00615AF8"/>
    <w:rsid w:val="00615C72"/>
    <w:rsid w:val="0061625B"/>
    <w:rsid w:val="006162BE"/>
    <w:rsid w:val="00620030"/>
    <w:rsid w:val="00620460"/>
    <w:rsid w:val="00622720"/>
    <w:rsid w:val="00622DC1"/>
    <w:rsid w:val="0062314A"/>
    <w:rsid w:val="00623F46"/>
    <w:rsid w:val="006241DC"/>
    <w:rsid w:val="0062453D"/>
    <w:rsid w:val="006246D4"/>
    <w:rsid w:val="0062624D"/>
    <w:rsid w:val="006267CE"/>
    <w:rsid w:val="00626D4C"/>
    <w:rsid w:val="00626FFC"/>
    <w:rsid w:val="0062726E"/>
    <w:rsid w:val="00627761"/>
    <w:rsid w:val="006279C6"/>
    <w:rsid w:val="00630549"/>
    <w:rsid w:val="00630882"/>
    <w:rsid w:val="00630E7A"/>
    <w:rsid w:val="0063165F"/>
    <w:rsid w:val="0063307A"/>
    <w:rsid w:val="00633222"/>
    <w:rsid w:val="00633738"/>
    <w:rsid w:val="00633B54"/>
    <w:rsid w:val="00634530"/>
    <w:rsid w:val="006348E4"/>
    <w:rsid w:val="00634C44"/>
    <w:rsid w:val="00634F1A"/>
    <w:rsid w:val="00634F5D"/>
    <w:rsid w:val="00635076"/>
    <w:rsid w:val="006354B5"/>
    <w:rsid w:val="00635A14"/>
    <w:rsid w:val="00635C42"/>
    <w:rsid w:val="00635E28"/>
    <w:rsid w:val="00636200"/>
    <w:rsid w:val="00636D49"/>
    <w:rsid w:val="00637B44"/>
    <w:rsid w:val="0064031F"/>
    <w:rsid w:val="006404A8"/>
    <w:rsid w:val="006404FE"/>
    <w:rsid w:val="00640719"/>
    <w:rsid w:val="006410A4"/>
    <w:rsid w:val="006417D5"/>
    <w:rsid w:val="00643845"/>
    <w:rsid w:val="00643E9A"/>
    <w:rsid w:val="006444F6"/>
    <w:rsid w:val="0064478B"/>
    <w:rsid w:val="006452DA"/>
    <w:rsid w:val="00645BA7"/>
    <w:rsid w:val="00645D58"/>
    <w:rsid w:val="00646F93"/>
    <w:rsid w:val="00650357"/>
    <w:rsid w:val="006505DC"/>
    <w:rsid w:val="00650EFA"/>
    <w:rsid w:val="00651AC0"/>
    <w:rsid w:val="00652F0C"/>
    <w:rsid w:val="00654AEC"/>
    <w:rsid w:val="00654FE9"/>
    <w:rsid w:val="0065602E"/>
    <w:rsid w:val="00657692"/>
    <w:rsid w:val="00657DCB"/>
    <w:rsid w:val="006600C1"/>
    <w:rsid w:val="00661829"/>
    <w:rsid w:val="006622CE"/>
    <w:rsid w:val="00662844"/>
    <w:rsid w:val="00662B28"/>
    <w:rsid w:val="006637FC"/>
    <w:rsid w:val="00663D28"/>
    <w:rsid w:val="0066467C"/>
    <w:rsid w:val="00665291"/>
    <w:rsid w:val="00665379"/>
    <w:rsid w:val="00665921"/>
    <w:rsid w:val="00665D90"/>
    <w:rsid w:val="00666034"/>
    <w:rsid w:val="0066689F"/>
    <w:rsid w:val="00667D0D"/>
    <w:rsid w:val="0067045C"/>
    <w:rsid w:val="00670505"/>
    <w:rsid w:val="006710B1"/>
    <w:rsid w:val="00672A30"/>
    <w:rsid w:val="00673152"/>
    <w:rsid w:val="0067332F"/>
    <w:rsid w:val="00674D0E"/>
    <w:rsid w:val="0067510F"/>
    <w:rsid w:val="00675DE3"/>
    <w:rsid w:val="00677B42"/>
    <w:rsid w:val="00680707"/>
    <w:rsid w:val="00681666"/>
    <w:rsid w:val="0068171D"/>
    <w:rsid w:val="00682E4A"/>
    <w:rsid w:val="00682F58"/>
    <w:rsid w:val="00683ABA"/>
    <w:rsid w:val="006848B4"/>
    <w:rsid w:val="00684D21"/>
    <w:rsid w:val="006854D3"/>
    <w:rsid w:val="00685867"/>
    <w:rsid w:val="006864A6"/>
    <w:rsid w:val="006867B7"/>
    <w:rsid w:val="00686895"/>
    <w:rsid w:val="00687A7F"/>
    <w:rsid w:val="00687E7A"/>
    <w:rsid w:val="00690D91"/>
    <w:rsid w:val="00691A52"/>
    <w:rsid w:val="006930FD"/>
    <w:rsid w:val="0069330B"/>
    <w:rsid w:val="00693A04"/>
    <w:rsid w:val="006943BE"/>
    <w:rsid w:val="00694754"/>
    <w:rsid w:val="00695DA6"/>
    <w:rsid w:val="0069648B"/>
    <w:rsid w:val="0069715F"/>
    <w:rsid w:val="00697C93"/>
    <w:rsid w:val="006A0717"/>
    <w:rsid w:val="006A0D39"/>
    <w:rsid w:val="006A101C"/>
    <w:rsid w:val="006A1598"/>
    <w:rsid w:val="006A25D7"/>
    <w:rsid w:val="006A2F8A"/>
    <w:rsid w:val="006A3255"/>
    <w:rsid w:val="006A3B07"/>
    <w:rsid w:val="006A43D8"/>
    <w:rsid w:val="006A4A45"/>
    <w:rsid w:val="006A4E1E"/>
    <w:rsid w:val="006A5C9E"/>
    <w:rsid w:val="006A5E9F"/>
    <w:rsid w:val="006A6B6B"/>
    <w:rsid w:val="006A70E5"/>
    <w:rsid w:val="006A7736"/>
    <w:rsid w:val="006A7DEF"/>
    <w:rsid w:val="006B030A"/>
    <w:rsid w:val="006B0408"/>
    <w:rsid w:val="006B1428"/>
    <w:rsid w:val="006B358F"/>
    <w:rsid w:val="006B4783"/>
    <w:rsid w:val="006B4C31"/>
    <w:rsid w:val="006B4DC3"/>
    <w:rsid w:val="006B5739"/>
    <w:rsid w:val="006B6694"/>
    <w:rsid w:val="006B6C6E"/>
    <w:rsid w:val="006B7736"/>
    <w:rsid w:val="006C0A3E"/>
    <w:rsid w:val="006C0AAB"/>
    <w:rsid w:val="006C211F"/>
    <w:rsid w:val="006C2212"/>
    <w:rsid w:val="006C2292"/>
    <w:rsid w:val="006C2503"/>
    <w:rsid w:val="006C2714"/>
    <w:rsid w:val="006C2825"/>
    <w:rsid w:val="006C2FC0"/>
    <w:rsid w:val="006C3093"/>
    <w:rsid w:val="006C365C"/>
    <w:rsid w:val="006C3CE0"/>
    <w:rsid w:val="006C411A"/>
    <w:rsid w:val="006C48DA"/>
    <w:rsid w:val="006C4A5F"/>
    <w:rsid w:val="006C4EFD"/>
    <w:rsid w:val="006C4FAA"/>
    <w:rsid w:val="006C5E7C"/>
    <w:rsid w:val="006C6460"/>
    <w:rsid w:val="006C714E"/>
    <w:rsid w:val="006C7CAF"/>
    <w:rsid w:val="006D0166"/>
    <w:rsid w:val="006D032A"/>
    <w:rsid w:val="006D0C66"/>
    <w:rsid w:val="006D16A6"/>
    <w:rsid w:val="006D1E45"/>
    <w:rsid w:val="006D1FBA"/>
    <w:rsid w:val="006D223E"/>
    <w:rsid w:val="006D352C"/>
    <w:rsid w:val="006D4E93"/>
    <w:rsid w:val="006D5218"/>
    <w:rsid w:val="006D5236"/>
    <w:rsid w:val="006D6441"/>
    <w:rsid w:val="006D747C"/>
    <w:rsid w:val="006D79C5"/>
    <w:rsid w:val="006D7D48"/>
    <w:rsid w:val="006D7EA7"/>
    <w:rsid w:val="006D7EFD"/>
    <w:rsid w:val="006E0482"/>
    <w:rsid w:val="006E06B7"/>
    <w:rsid w:val="006E0D4F"/>
    <w:rsid w:val="006E1612"/>
    <w:rsid w:val="006E1AC0"/>
    <w:rsid w:val="006E1E60"/>
    <w:rsid w:val="006E1F3B"/>
    <w:rsid w:val="006E2EA9"/>
    <w:rsid w:val="006E3E7D"/>
    <w:rsid w:val="006E3E7F"/>
    <w:rsid w:val="006E458C"/>
    <w:rsid w:val="006E469E"/>
    <w:rsid w:val="006E4BD7"/>
    <w:rsid w:val="006E53A1"/>
    <w:rsid w:val="006E546F"/>
    <w:rsid w:val="006E54DF"/>
    <w:rsid w:val="006E555B"/>
    <w:rsid w:val="006E5877"/>
    <w:rsid w:val="006E5D25"/>
    <w:rsid w:val="006E6558"/>
    <w:rsid w:val="006E6A2E"/>
    <w:rsid w:val="006E6FF1"/>
    <w:rsid w:val="006F008D"/>
    <w:rsid w:val="006F0757"/>
    <w:rsid w:val="006F110B"/>
    <w:rsid w:val="006F1150"/>
    <w:rsid w:val="006F2A71"/>
    <w:rsid w:val="006F2AEB"/>
    <w:rsid w:val="006F2C51"/>
    <w:rsid w:val="006F2DA9"/>
    <w:rsid w:val="006F2E52"/>
    <w:rsid w:val="006F3423"/>
    <w:rsid w:val="006F362B"/>
    <w:rsid w:val="006F3C6E"/>
    <w:rsid w:val="006F4771"/>
    <w:rsid w:val="006F4A76"/>
    <w:rsid w:val="006F5C39"/>
    <w:rsid w:val="006F64B9"/>
    <w:rsid w:val="006F6846"/>
    <w:rsid w:val="006F6E16"/>
    <w:rsid w:val="006F798A"/>
    <w:rsid w:val="0070039F"/>
    <w:rsid w:val="007003EF"/>
    <w:rsid w:val="00700CBE"/>
    <w:rsid w:val="007015A7"/>
    <w:rsid w:val="00702839"/>
    <w:rsid w:val="00703E38"/>
    <w:rsid w:val="00704158"/>
    <w:rsid w:val="00704374"/>
    <w:rsid w:val="00704923"/>
    <w:rsid w:val="00704AA7"/>
    <w:rsid w:val="00704B4D"/>
    <w:rsid w:val="00705697"/>
    <w:rsid w:val="007057CF"/>
    <w:rsid w:val="0070592B"/>
    <w:rsid w:val="00705E60"/>
    <w:rsid w:val="00706CD4"/>
    <w:rsid w:val="00706D07"/>
    <w:rsid w:val="00706D56"/>
    <w:rsid w:val="00707DF1"/>
    <w:rsid w:val="00710149"/>
    <w:rsid w:val="00710ACA"/>
    <w:rsid w:val="00710E0A"/>
    <w:rsid w:val="00711997"/>
    <w:rsid w:val="00711CA5"/>
    <w:rsid w:val="00711CA6"/>
    <w:rsid w:val="0071346D"/>
    <w:rsid w:val="0071486B"/>
    <w:rsid w:val="00714FE2"/>
    <w:rsid w:val="00715975"/>
    <w:rsid w:val="00715C9B"/>
    <w:rsid w:val="00715CD3"/>
    <w:rsid w:val="007160BF"/>
    <w:rsid w:val="007211D4"/>
    <w:rsid w:val="0072127D"/>
    <w:rsid w:val="00721E8C"/>
    <w:rsid w:val="00722C35"/>
    <w:rsid w:val="00723ADD"/>
    <w:rsid w:val="00724028"/>
    <w:rsid w:val="0072412E"/>
    <w:rsid w:val="0072420F"/>
    <w:rsid w:val="0072460B"/>
    <w:rsid w:val="007248D0"/>
    <w:rsid w:val="0072493A"/>
    <w:rsid w:val="00724F4F"/>
    <w:rsid w:val="00725344"/>
    <w:rsid w:val="0072541B"/>
    <w:rsid w:val="0072575A"/>
    <w:rsid w:val="00725D52"/>
    <w:rsid w:val="00726C14"/>
    <w:rsid w:val="007309E2"/>
    <w:rsid w:val="0073227B"/>
    <w:rsid w:val="00732821"/>
    <w:rsid w:val="00732B12"/>
    <w:rsid w:val="00732DBD"/>
    <w:rsid w:val="00733582"/>
    <w:rsid w:val="00733D6C"/>
    <w:rsid w:val="00734626"/>
    <w:rsid w:val="00734828"/>
    <w:rsid w:val="007349FD"/>
    <w:rsid w:val="00734ED8"/>
    <w:rsid w:val="00735D0F"/>
    <w:rsid w:val="007365F5"/>
    <w:rsid w:val="00736D62"/>
    <w:rsid w:val="00736E4C"/>
    <w:rsid w:val="00736FC4"/>
    <w:rsid w:val="00737517"/>
    <w:rsid w:val="00737B9B"/>
    <w:rsid w:val="007424F8"/>
    <w:rsid w:val="00742878"/>
    <w:rsid w:val="00743F5E"/>
    <w:rsid w:val="0074571D"/>
    <w:rsid w:val="00745A63"/>
    <w:rsid w:val="00746795"/>
    <w:rsid w:val="00746B9C"/>
    <w:rsid w:val="007473AB"/>
    <w:rsid w:val="00747BE0"/>
    <w:rsid w:val="007502F3"/>
    <w:rsid w:val="00752074"/>
    <w:rsid w:val="00752BB8"/>
    <w:rsid w:val="00752F38"/>
    <w:rsid w:val="00752FBF"/>
    <w:rsid w:val="007530CA"/>
    <w:rsid w:val="00753295"/>
    <w:rsid w:val="00753C75"/>
    <w:rsid w:val="00753FD5"/>
    <w:rsid w:val="00755454"/>
    <w:rsid w:val="00756CF5"/>
    <w:rsid w:val="00757475"/>
    <w:rsid w:val="00757642"/>
    <w:rsid w:val="00757ACC"/>
    <w:rsid w:val="00757ED6"/>
    <w:rsid w:val="00760129"/>
    <w:rsid w:val="00760369"/>
    <w:rsid w:val="00761188"/>
    <w:rsid w:val="007616E1"/>
    <w:rsid w:val="007637B8"/>
    <w:rsid w:val="00763995"/>
    <w:rsid w:val="00764D27"/>
    <w:rsid w:val="00765211"/>
    <w:rsid w:val="007654CB"/>
    <w:rsid w:val="00766117"/>
    <w:rsid w:val="00766399"/>
    <w:rsid w:val="00770030"/>
    <w:rsid w:val="00770185"/>
    <w:rsid w:val="007703FE"/>
    <w:rsid w:val="00770835"/>
    <w:rsid w:val="007708A5"/>
    <w:rsid w:val="007721ED"/>
    <w:rsid w:val="00772302"/>
    <w:rsid w:val="00773F46"/>
    <w:rsid w:val="007744FE"/>
    <w:rsid w:val="007758EC"/>
    <w:rsid w:val="00776F78"/>
    <w:rsid w:val="007771C7"/>
    <w:rsid w:val="00777CE0"/>
    <w:rsid w:val="00780596"/>
    <w:rsid w:val="00780678"/>
    <w:rsid w:val="00780EDE"/>
    <w:rsid w:val="007813F4"/>
    <w:rsid w:val="007832C0"/>
    <w:rsid w:val="007836FB"/>
    <w:rsid w:val="00783BF6"/>
    <w:rsid w:val="00784327"/>
    <w:rsid w:val="00784D79"/>
    <w:rsid w:val="00784E4D"/>
    <w:rsid w:val="00785A75"/>
    <w:rsid w:val="007862A1"/>
    <w:rsid w:val="00786B8A"/>
    <w:rsid w:val="00786E60"/>
    <w:rsid w:val="007872AA"/>
    <w:rsid w:val="007873E0"/>
    <w:rsid w:val="0078754D"/>
    <w:rsid w:val="00787AFE"/>
    <w:rsid w:val="007903B5"/>
    <w:rsid w:val="007909D0"/>
    <w:rsid w:val="00790B08"/>
    <w:rsid w:val="00790D80"/>
    <w:rsid w:val="00790D91"/>
    <w:rsid w:val="00791C82"/>
    <w:rsid w:val="00792909"/>
    <w:rsid w:val="00792AB4"/>
    <w:rsid w:val="0079358D"/>
    <w:rsid w:val="007937EE"/>
    <w:rsid w:val="00793E61"/>
    <w:rsid w:val="007944D8"/>
    <w:rsid w:val="00794608"/>
    <w:rsid w:val="00794A6A"/>
    <w:rsid w:val="00794AC7"/>
    <w:rsid w:val="007956AE"/>
    <w:rsid w:val="00796DA3"/>
    <w:rsid w:val="00796FED"/>
    <w:rsid w:val="00797532"/>
    <w:rsid w:val="007A061F"/>
    <w:rsid w:val="007A136D"/>
    <w:rsid w:val="007A1D68"/>
    <w:rsid w:val="007A2002"/>
    <w:rsid w:val="007A257E"/>
    <w:rsid w:val="007A25A9"/>
    <w:rsid w:val="007A26AA"/>
    <w:rsid w:val="007A2FD5"/>
    <w:rsid w:val="007A31D4"/>
    <w:rsid w:val="007A3232"/>
    <w:rsid w:val="007A43DD"/>
    <w:rsid w:val="007A4BC3"/>
    <w:rsid w:val="007A5178"/>
    <w:rsid w:val="007A5403"/>
    <w:rsid w:val="007A5FFD"/>
    <w:rsid w:val="007A630F"/>
    <w:rsid w:val="007A66AD"/>
    <w:rsid w:val="007A706D"/>
    <w:rsid w:val="007A7609"/>
    <w:rsid w:val="007A7B9B"/>
    <w:rsid w:val="007B0339"/>
    <w:rsid w:val="007B0FE5"/>
    <w:rsid w:val="007B12AE"/>
    <w:rsid w:val="007B1B41"/>
    <w:rsid w:val="007B209E"/>
    <w:rsid w:val="007B2718"/>
    <w:rsid w:val="007B3FF4"/>
    <w:rsid w:val="007B441F"/>
    <w:rsid w:val="007B4578"/>
    <w:rsid w:val="007B53E1"/>
    <w:rsid w:val="007B5777"/>
    <w:rsid w:val="007B5C48"/>
    <w:rsid w:val="007B6240"/>
    <w:rsid w:val="007B67F0"/>
    <w:rsid w:val="007B7BD8"/>
    <w:rsid w:val="007B7C6E"/>
    <w:rsid w:val="007B7FBE"/>
    <w:rsid w:val="007C0ECB"/>
    <w:rsid w:val="007C109F"/>
    <w:rsid w:val="007C1335"/>
    <w:rsid w:val="007C153B"/>
    <w:rsid w:val="007C178E"/>
    <w:rsid w:val="007C20BB"/>
    <w:rsid w:val="007C26D7"/>
    <w:rsid w:val="007C321C"/>
    <w:rsid w:val="007C33E7"/>
    <w:rsid w:val="007C34EE"/>
    <w:rsid w:val="007C39D8"/>
    <w:rsid w:val="007C4288"/>
    <w:rsid w:val="007C5172"/>
    <w:rsid w:val="007C5D7F"/>
    <w:rsid w:val="007C740C"/>
    <w:rsid w:val="007C7D39"/>
    <w:rsid w:val="007C7F1D"/>
    <w:rsid w:val="007D0589"/>
    <w:rsid w:val="007D073C"/>
    <w:rsid w:val="007D1C87"/>
    <w:rsid w:val="007D20FC"/>
    <w:rsid w:val="007D220C"/>
    <w:rsid w:val="007D266E"/>
    <w:rsid w:val="007D2D4C"/>
    <w:rsid w:val="007D3181"/>
    <w:rsid w:val="007D36EB"/>
    <w:rsid w:val="007D413A"/>
    <w:rsid w:val="007D428E"/>
    <w:rsid w:val="007D51E9"/>
    <w:rsid w:val="007D536E"/>
    <w:rsid w:val="007D5F51"/>
    <w:rsid w:val="007D6165"/>
    <w:rsid w:val="007D6B8A"/>
    <w:rsid w:val="007D74DA"/>
    <w:rsid w:val="007D76F2"/>
    <w:rsid w:val="007D7A10"/>
    <w:rsid w:val="007E09B4"/>
    <w:rsid w:val="007E0BCE"/>
    <w:rsid w:val="007E0FAF"/>
    <w:rsid w:val="007E1498"/>
    <w:rsid w:val="007E2A70"/>
    <w:rsid w:val="007E348A"/>
    <w:rsid w:val="007E3573"/>
    <w:rsid w:val="007E4025"/>
    <w:rsid w:val="007E461D"/>
    <w:rsid w:val="007E4A0C"/>
    <w:rsid w:val="007E5A1E"/>
    <w:rsid w:val="007E5D67"/>
    <w:rsid w:val="007E664F"/>
    <w:rsid w:val="007E7C6C"/>
    <w:rsid w:val="007F0094"/>
    <w:rsid w:val="007F03F9"/>
    <w:rsid w:val="007F0C1A"/>
    <w:rsid w:val="007F1966"/>
    <w:rsid w:val="007F1B84"/>
    <w:rsid w:val="007F215A"/>
    <w:rsid w:val="007F263A"/>
    <w:rsid w:val="007F2F04"/>
    <w:rsid w:val="007F2F36"/>
    <w:rsid w:val="007F35F6"/>
    <w:rsid w:val="007F360B"/>
    <w:rsid w:val="007F3A00"/>
    <w:rsid w:val="007F3D52"/>
    <w:rsid w:val="007F5F12"/>
    <w:rsid w:val="007F6DA5"/>
    <w:rsid w:val="007F717E"/>
    <w:rsid w:val="007F7AAF"/>
    <w:rsid w:val="00800869"/>
    <w:rsid w:val="00800DC2"/>
    <w:rsid w:val="00801286"/>
    <w:rsid w:val="008012DB"/>
    <w:rsid w:val="0080161C"/>
    <w:rsid w:val="00801A08"/>
    <w:rsid w:val="00803091"/>
    <w:rsid w:val="00803309"/>
    <w:rsid w:val="00803812"/>
    <w:rsid w:val="00803D42"/>
    <w:rsid w:val="008050F0"/>
    <w:rsid w:val="0080552E"/>
    <w:rsid w:val="00806295"/>
    <w:rsid w:val="008064FA"/>
    <w:rsid w:val="008071FD"/>
    <w:rsid w:val="00807D84"/>
    <w:rsid w:val="00810134"/>
    <w:rsid w:val="008109B8"/>
    <w:rsid w:val="00810B37"/>
    <w:rsid w:val="00810C0F"/>
    <w:rsid w:val="00810DA6"/>
    <w:rsid w:val="00811325"/>
    <w:rsid w:val="00811466"/>
    <w:rsid w:val="00811922"/>
    <w:rsid w:val="00811F10"/>
    <w:rsid w:val="00812409"/>
    <w:rsid w:val="008124BA"/>
    <w:rsid w:val="0081252E"/>
    <w:rsid w:val="00812827"/>
    <w:rsid w:val="00812B75"/>
    <w:rsid w:val="00813356"/>
    <w:rsid w:val="00813A32"/>
    <w:rsid w:val="008142F4"/>
    <w:rsid w:val="00814305"/>
    <w:rsid w:val="00815274"/>
    <w:rsid w:val="00816148"/>
    <w:rsid w:val="0081685E"/>
    <w:rsid w:val="00816924"/>
    <w:rsid w:val="00816FD2"/>
    <w:rsid w:val="008171B5"/>
    <w:rsid w:val="00817744"/>
    <w:rsid w:val="008221C4"/>
    <w:rsid w:val="00822C47"/>
    <w:rsid w:val="008236B9"/>
    <w:rsid w:val="008251CE"/>
    <w:rsid w:val="00825425"/>
    <w:rsid w:val="0082573C"/>
    <w:rsid w:val="008259D4"/>
    <w:rsid w:val="00826242"/>
    <w:rsid w:val="008268BD"/>
    <w:rsid w:val="008273E5"/>
    <w:rsid w:val="00827697"/>
    <w:rsid w:val="00827906"/>
    <w:rsid w:val="00830059"/>
    <w:rsid w:val="00830124"/>
    <w:rsid w:val="0083030D"/>
    <w:rsid w:val="00830407"/>
    <w:rsid w:val="008308A8"/>
    <w:rsid w:val="00832B68"/>
    <w:rsid w:val="00833A27"/>
    <w:rsid w:val="00833E6E"/>
    <w:rsid w:val="00834814"/>
    <w:rsid w:val="00835183"/>
    <w:rsid w:val="008356D7"/>
    <w:rsid w:val="00836689"/>
    <w:rsid w:val="0083790C"/>
    <w:rsid w:val="008402EA"/>
    <w:rsid w:val="0084068E"/>
    <w:rsid w:val="008408B8"/>
    <w:rsid w:val="00840C15"/>
    <w:rsid w:val="00840F68"/>
    <w:rsid w:val="00840FEF"/>
    <w:rsid w:val="00841AC9"/>
    <w:rsid w:val="00841FD6"/>
    <w:rsid w:val="00842982"/>
    <w:rsid w:val="00842A3F"/>
    <w:rsid w:val="00842A84"/>
    <w:rsid w:val="00842B88"/>
    <w:rsid w:val="00843D89"/>
    <w:rsid w:val="0084424A"/>
    <w:rsid w:val="008452A4"/>
    <w:rsid w:val="0084558F"/>
    <w:rsid w:val="00846686"/>
    <w:rsid w:val="00846EF9"/>
    <w:rsid w:val="00847D86"/>
    <w:rsid w:val="008504CE"/>
    <w:rsid w:val="0085086B"/>
    <w:rsid w:val="008508A9"/>
    <w:rsid w:val="008520A6"/>
    <w:rsid w:val="008534B4"/>
    <w:rsid w:val="00854167"/>
    <w:rsid w:val="0085442A"/>
    <w:rsid w:val="00854598"/>
    <w:rsid w:val="00854A83"/>
    <w:rsid w:val="00854C3D"/>
    <w:rsid w:val="008554C2"/>
    <w:rsid w:val="00856501"/>
    <w:rsid w:val="0085783A"/>
    <w:rsid w:val="00857D43"/>
    <w:rsid w:val="008606AC"/>
    <w:rsid w:val="00860AFA"/>
    <w:rsid w:val="0086168D"/>
    <w:rsid w:val="0086266E"/>
    <w:rsid w:val="00863635"/>
    <w:rsid w:val="00863B6B"/>
    <w:rsid w:val="008645C7"/>
    <w:rsid w:val="00864F89"/>
    <w:rsid w:val="00865583"/>
    <w:rsid w:val="008658FA"/>
    <w:rsid w:val="00866CB6"/>
    <w:rsid w:val="00866DFB"/>
    <w:rsid w:val="00867737"/>
    <w:rsid w:val="008677B9"/>
    <w:rsid w:val="0087020A"/>
    <w:rsid w:val="008706C7"/>
    <w:rsid w:val="00870B8B"/>
    <w:rsid w:val="00870DE5"/>
    <w:rsid w:val="008712AB"/>
    <w:rsid w:val="00871600"/>
    <w:rsid w:val="008724AF"/>
    <w:rsid w:val="00873148"/>
    <w:rsid w:val="008737CE"/>
    <w:rsid w:val="00874885"/>
    <w:rsid w:val="0087490A"/>
    <w:rsid w:val="00874A58"/>
    <w:rsid w:val="00875FAC"/>
    <w:rsid w:val="0087638F"/>
    <w:rsid w:val="008768BD"/>
    <w:rsid w:val="008768F3"/>
    <w:rsid w:val="00876966"/>
    <w:rsid w:val="00876AC1"/>
    <w:rsid w:val="00876DD1"/>
    <w:rsid w:val="0087703D"/>
    <w:rsid w:val="00877653"/>
    <w:rsid w:val="00880378"/>
    <w:rsid w:val="00880507"/>
    <w:rsid w:val="0088058F"/>
    <w:rsid w:val="00880A09"/>
    <w:rsid w:val="00880BCF"/>
    <w:rsid w:val="00880E8D"/>
    <w:rsid w:val="00881174"/>
    <w:rsid w:val="008829DE"/>
    <w:rsid w:val="00883305"/>
    <w:rsid w:val="00883CC6"/>
    <w:rsid w:val="0088489F"/>
    <w:rsid w:val="008848A5"/>
    <w:rsid w:val="0088498C"/>
    <w:rsid w:val="008859CF"/>
    <w:rsid w:val="008861B6"/>
    <w:rsid w:val="00886506"/>
    <w:rsid w:val="0088787C"/>
    <w:rsid w:val="008907BF"/>
    <w:rsid w:val="00890B63"/>
    <w:rsid w:val="00891E8D"/>
    <w:rsid w:val="008927E9"/>
    <w:rsid w:val="00892FA6"/>
    <w:rsid w:val="00893B79"/>
    <w:rsid w:val="00894076"/>
    <w:rsid w:val="00894D0F"/>
    <w:rsid w:val="0089624D"/>
    <w:rsid w:val="00896EF4"/>
    <w:rsid w:val="008A0D42"/>
    <w:rsid w:val="008A10A2"/>
    <w:rsid w:val="008A1725"/>
    <w:rsid w:val="008A251B"/>
    <w:rsid w:val="008A2F18"/>
    <w:rsid w:val="008A3DE1"/>
    <w:rsid w:val="008A6817"/>
    <w:rsid w:val="008A721B"/>
    <w:rsid w:val="008A79E0"/>
    <w:rsid w:val="008B00BD"/>
    <w:rsid w:val="008B0F77"/>
    <w:rsid w:val="008B1126"/>
    <w:rsid w:val="008B1153"/>
    <w:rsid w:val="008B24AE"/>
    <w:rsid w:val="008B4419"/>
    <w:rsid w:val="008B445A"/>
    <w:rsid w:val="008B510A"/>
    <w:rsid w:val="008B51AE"/>
    <w:rsid w:val="008B51CA"/>
    <w:rsid w:val="008B55BB"/>
    <w:rsid w:val="008B6A2B"/>
    <w:rsid w:val="008B6F1D"/>
    <w:rsid w:val="008B746E"/>
    <w:rsid w:val="008C0366"/>
    <w:rsid w:val="008C07E1"/>
    <w:rsid w:val="008C12FB"/>
    <w:rsid w:val="008C162F"/>
    <w:rsid w:val="008C263F"/>
    <w:rsid w:val="008C35B9"/>
    <w:rsid w:val="008C3621"/>
    <w:rsid w:val="008C3DCF"/>
    <w:rsid w:val="008C4973"/>
    <w:rsid w:val="008C49AB"/>
    <w:rsid w:val="008C4A39"/>
    <w:rsid w:val="008C5DC5"/>
    <w:rsid w:val="008C655F"/>
    <w:rsid w:val="008C6A9A"/>
    <w:rsid w:val="008C6D03"/>
    <w:rsid w:val="008C7A52"/>
    <w:rsid w:val="008C7ADC"/>
    <w:rsid w:val="008C7E90"/>
    <w:rsid w:val="008D007B"/>
    <w:rsid w:val="008D0CB2"/>
    <w:rsid w:val="008D2930"/>
    <w:rsid w:val="008D3588"/>
    <w:rsid w:val="008D3B57"/>
    <w:rsid w:val="008D3D35"/>
    <w:rsid w:val="008D4321"/>
    <w:rsid w:val="008D44C6"/>
    <w:rsid w:val="008D4EE7"/>
    <w:rsid w:val="008D5838"/>
    <w:rsid w:val="008D5A06"/>
    <w:rsid w:val="008D5DC8"/>
    <w:rsid w:val="008D5FBA"/>
    <w:rsid w:val="008D609A"/>
    <w:rsid w:val="008D6319"/>
    <w:rsid w:val="008E042B"/>
    <w:rsid w:val="008E1A07"/>
    <w:rsid w:val="008E2178"/>
    <w:rsid w:val="008E287B"/>
    <w:rsid w:val="008E2883"/>
    <w:rsid w:val="008E337D"/>
    <w:rsid w:val="008E36C8"/>
    <w:rsid w:val="008E4704"/>
    <w:rsid w:val="008E5C9E"/>
    <w:rsid w:val="008E7405"/>
    <w:rsid w:val="008E7B5A"/>
    <w:rsid w:val="008F01D8"/>
    <w:rsid w:val="008F0223"/>
    <w:rsid w:val="008F03C2"/>
    <w:rsid w:val="008F0673"/>
    <w:rsid w:val="008F0C1A"/>
    <w:rsid w:val="008F12D9"/>
    <w:rsid w:val="008F1394"/>
    <w:rsid w:val="008F15CA"/>
    <w:rsid w:val="008F2441"/>
    <w:rsid w:val="008F2E5C"/>
    <w:rsid w:val="008F302B"/>
    <w:rsid w:val="008F4C48"/>
    <w:rsid w:val="008F4DEC"/>
    <w:rsid w:val="008F548F"/>
    <w:rsid w:val="008F5BCF"/>
    <w:rsid w:val="008F5D5A"/>
    <w:rsid w:val="008F5D69"/>
    <w:rsid w:val="008F6E9F"/>
    <w:rsid w:val="00900AF1"/>
    <w:rsid w:val="0090149F"/>
    <w:rsid w:val="0090186A"/>
    <w:rsid w:val="009029D8"/>
    <w:rsid w:val="00903013"/>
    <w:rsid w:val="00903500"/>
    <w:rsid w:val="009038D7"/>
    <w:rsid w:val="00905276"/>
    <w:rsid w:val="0090597B"/>
    <w:rsid w:val="009100F6"/>
    <w:rsid w:val="009101A4"/>
    <w:rsid w:val="00910D4B"/>
    <w:rsid w:val="00910F31"/>
    <w:rsid w:val="0091171E"/>
    <w:rsid w:val="00911913"/>
    <w:rsid w:val="00911C3F"/>
    <w:rsid w:val="009122E5"/>
    <w:rsid w:val="00912989"/>
    <w:rsid w:val="00912E12"/>
    <w:rsid w:val="00913EE9"/>
    <w:rsid w:val="0091492A"/>
    <w:rsid w:val="009154EB"/>
    <w:rsid w:val="00915B84"/>
    <w:rsid w:val="00915C3E"/>
    <w:rsid w:val="00916022"/>
    <w:rsid w:val="00916AD4"/>
    <w:rsid w:val="00917004"/>
    <w:rsid w:val="00917224"/>
    <w:rsid w:val="0092029F"/>
    <w:rsid w:val="00920D31"/>
    <w:rsid w:val="00920E2D"/>
    <w:rsid w:val="00920F66"/>
    <w:rsid w:val="00921243"/>
    <w:rsid w:val="0092275E"/>
    <w:rsid w:val="00922BF7"/>
    <w:rsid w:val="00922E7C"/>
    <w:rsid w:val="00923460"/>
    <w:rsid w:val="00923A4F"/>
    <w:rsid w:val="00923B78"/>
    <w:rsid w:val="00924B57"/>
    <w:rsid w:val="009251DF"/>
    <w:rsid w:val="00925E66"/>
    <w:rsid w:val="00926309"/>
    <w:rsid w:val="00926CFE"/>
    <w:rsid w:val="00927177"/>
    <w:rsid w:val="00930F75"/>
    <w:rsid w:val="0093100A"/>
    <w:rsid w:val="00931064"/>
    <w:rsid w:val="0093121A"/>
    <w:rsid w:val="00931291"/>
    <w:rsid w:val="00931AC1"/>
    <w:rsid w:val="00931B8E"/>
    <w:rsid w:val="00932262"/>
    <w:rsid w:val="00932547"/>
    <w:rsid w:val="00933139"/>
    <w:rsid w:val="00933465"/>
    <w:rsid w:val="009337F7"/>
    <w:rsid w:val="00935790"/>
    <w:rsid w:val="00935D00"/>
    <w:rsid w:val="00936316"/>
    <w:rsid w:val="00936927"/>
    <w:rsid w:val="00936E84"/>
    <w:rsid w:val="009372AB"/>
    <w:rsid w:val="0093789E"/>
    <w:rsid w:val="009379BF"/>
    <w:rsid w:val="00937A3D"/>
    <w:rsid w:val="00941834"/>
    <w:rsid w:val="009419D2"/>
    <w:rsid w:val="00941E39"/>
    <w:rsid w:val="00942A31"/>
    <w:rsid w:val="00942D56"/>
    <w:rsid w:val="00942F1A"/>
    <w:rsid w:val="0094341F"/>
    <w:rsid w:val="009436B6"/>
    <w:rsid w:val="0094409A"/>
    <w:rsid w:val="009447B4"/>
    <w:rsid w:val="009451FB"/>
    <w:rsid w:val="00946604"/>
    <w:rsid w:val="009466F4"/>
    <w:rsid w:val="00947B75"/>
    <w:rsid w:val="00950F88"/>
    <w:rsid w:val="00951426"/>
    <w:rsid w:val="00951C3F"/>
    <w:rsid w:val="00951C80"/>
    <w:rsid w:val="00951D47"/>
    <w:rsid w:val="009521B1"/>
    <w:rsid w:val="00953E1B"/>
    <w:rsid w:val="009542CC"/>
    <w:rsid w:val="00954497"/>
    <w:rsid w:val="00954570"/>
    <w:rsid w:val="00954700"/>
    <w:rsid w:val="0095473D"/>
    <w:rsid w:val="009566CD"/>
    <w:rsid w:val="009573C6"/>
    <w:rsid w:val="009578B1"/>
    <w:rsid w:val="00957BE2"/>
    <w:rsid w:val="0096061D"/>
    <w:rsid w:val="00960F93"/>
    <w:rsid w:val="00961358"/>
    <w:rsid w:val="00962217"/>
    <w:rsid w:val="00962438"/>
    <w:rsid w:val="00962903"/>
    <w:rsid w:val="00962D8E"/>
    <w:rsid w:val="00963178"/>
    <w:rsid w:val="00963CEF"/>
    <w:rsid w:val="00963DF8"/>
    <w:rsid w:val="009642E8"/>
    <w:rsid w:val="00964D38"/>
    <w:rsid w:val="00966945"/>
    <w:rsid w:val="0096736D"/>
    <w:rsid w:val="00970715"/>
    <w:rsid w:val="009709B0"/>
    <w:rsid w:val="00970BF1"/>
    <w:rsid w:val="00971558"/>
    <w:rsid w:val="00972482"/>
    <w:rsid w:val="0097336A"/>
    <w:rsid w:val="00975646"/>
    <w:rsid w:val="00975694"/>
    <w:rsid w:val="00975A8C"/>
    <w:rsid w:val="0097655E"/>
    <w:rsid w:val="0097686C"/>
    <w:rsid w:val="009777BB"/>
    <w:rsid w:val="009779AB"/>
    <w:rsid w:val="00980B61"/>
    <w:rsid w:val="00980FD2"/>
    <w:rsid w:val="00981513"/>
    <w:rsid w:val="009816DF"/>
    <w:rsid w:val="00981741"/>
    <w:rsid w:val="00981A24"/>
    <w:rsid w:val="00981DEF"/>
    <w:rsid w:val="0098297E"/>
    <w:rsid w:val="009833CC"/>
    <w:rsid w:val="009833D1"/>
    <w:rsid w:val="00983AC6"/>
    <w:rsid w:val="00984354"/>
    <w:rsid w:val="00984432"/>
    <w:rsid w:val="00984925"/>
    <w:rsid w:val="00984F67"/>
    <w:rsid w:val="00985CE5"/>
    <w:rsid w:val="00986841"/>
    <w:rsid w:val="00987B50"/>
    <w:rsid w:val="00987D2D"/>
    <w:rsid w:val="0099002F"/>
    <w:rsid w:val="009903BB"/>
    <w:rsid w:val="00990762"/>
    <w:rsid w:val="00991B55"/>
    <w:rsid w:val="009929E0"/>
    <w:rsid w:val="00992BFD"/>
    <w:rsid w:val="00992D4D"/>
    <w:rsid w:val="00993947"/>
    <w:rsid w:val="00993D1B"/>
    <w:rsid w:val="0099481E"/>
    <w:rsid w:val="00994B64"/>
    <w:rsid w:val="00995D07"/>
    <w:rsid w:val="00995D0F"/>
    <w:rsid w:val="00996456"/>
    <w:rsid w:val="0099745D"/>
    <w:rsid w:val="009974A7"/>
    <w:rsid w:val="009A3170"/>
    <w:rsid w:val="009A36B2"/>
    <w:rsid w:val="009A3AB9"/>
    <w:rsid w:val="009A4090"/>
    <w:rsid w:val="009A5714"/>
    <w:rsid w:val="009A7230"/>
    <w:rsid w:val="009B0B78"/>
    <w:rsid w:val="009B0FBD"/>
    <w:rsid w:val="009B1D3B"/>
    <w:rsid w:val="009B4170"/>
    <w:rsid w:val="009B4960"/>
    <w:rsid w:val="009B5579"/>
    <w:rsid w:val="009B5634"/>
    <w:rsid w:val="009B5EFF"/>
    <w:rsid w:val="009B5F59"/>
    <w:rsid w:val="009B70D9"/>
    <w:rsid w:val="009B7927"/>
    <w:rsid w:val="009B7DDB"/>
    <w:rsid w:val="009C04E1"/>
    <w:rsid w:val="009C0A86"/>
    <w:rsid w:val="009C0F1D"/>
    <w:rsid w:val="009C18FE"/>
    <w:rsid w:val="009C4094"/>
    <w:rsid w:val="009C4993"/>
    <w:rsid w:val="009C5D9A"/>
    <w:rsid w:val="009C6C23"/>
    <w:rsid w:val="009C7416"/>
    <w:rsid w:val="009C7CDE"/>
    <w:rsid w:val="009D00DD"/>
    <w:rsid w:val="009D0EC9"/>
    <w:rsid w:val="009D2B52"/>
    <w:rsid w:val="009D32AE"/>
    <w:rsid w:val="009D3A97"/>
    <w:rsid w:val="009D4C1D"/>
    <w:rsid w:val="009D5A32"/>
    <w:rsid w:val="009D6369"/>
    <w:rsid w:val="009D7124"/>
    <w:rsid w:val="009E0319"/>
    <w:rsid w:val="009E0797"/>
    <w:rsid w:val="009E0835"/>
    <w:rsid w:val="009E1362"/>
    <w:rsid w:val="009E1C3F"/>
    <w:rsid w:val="009E2E02"/>
    <w:rsid w:val="009E3136"/>
    <w:rsid w:val="009E33B1"/>
    <w:rsid w:val="009E3802"/>
    <w:rsid w:val="009E41B3"/>
    <w:rsid w:val="009E4C74"/>
    <w:rsid w:val="009E4CB5"/>
    <w:rsid w:val="009E5BB8"/>
    <w:rsid w:val="009E620C"/>
    <w:rsid w:val="009E6597"/>
    <w:rsid w:val="009E6C27"/>
    <w:rsid w:val="009E7794"/>
    <w:rsid w:val="009E7EDC"/>
    <w:rsid w:val="009F029E"/>
    <w:rsid w:val="009F0370"/>
    <w:rsid w:val="009F118A"/>
    <w:rsid w:val="009F1210"/>
    <w:rsid w:val="009F12F5"/>
    <w:rsid w:val="009F167B"/>
    <w:rsid w:val="009F1D5A"/>
    <w:rsid w:val="009F215D"/>
    <w:rsid w:val="009F2379"/>
    <w:rsid w:val="009F2D6C"/>
    <w:rsid w:val="009F2FAF"/>
    <w:rsid w:val="009F37AA"/>
    <w:rsid w:val="009F5171"/>
    <w:rsid w:val="009F56B3"/>
    <w:rsid w:val="009F5BF3"/>
    <w:rsid w:val="009F5D97"/>
    <w:rsid w:val="009F604E"/>
    <w:rsid w:val="009F6156"/>
    <w:rsid w:val="00A00011"/>
    <w:rsid w:val="00A005A0"/>
    <w:rsid w:val="00A005E9"/>
    <w:rsid w:val="00A00E95"/>
    <w:rsid w:val="00A018EF"/>
    <w:rsid w:val="00A0195D"/>
    <w:rsid w:val="00A01E09"/>
    <w:rsid w:val="00A02065"/>
    <w:rsid w:val="00A02101"/>
    <w:rsid w:val="00A024C2"/>
    <w:rsid w:val="00A02DA9"/>
    <w:rsid w:val="00A033C9"/>
    <w:rsid w:val="00A0374B"/>
    <w:rsid w:val="00A03786"/>
    <w:rsid w:val="00A039C6"/>
    <w:rsid w:val="00A03A8D"/>
    <w:rsid w:val="00A03EDD"/>
    <w:rsid w:val="00A04312"/>
    <w:rsid w:val="00A04B2D"/>
    <w:rsid w:val="00A04C67"/>
    <w:rsid w:val="00A052D4"/>
    <w:rsid w:val="00A0537E"/>
    <w:rsid w:val="00A05D96"/>
    <w:rsid w:val="00A070EF"/>
    <w:rsid w:val="00A10875"/>
    <w:rsid w:val="00A1097B"/>
    <w:rsid w:val="00A11591"/>
    <w:rsid w:val="00A119B2"/>
    <w:rsid w:val="00A11A63"/>
    <w:rsid w:val="00A11C42"/>
    <w:rsid w:val="00A11CA0"/>
    <w:rsid w:val="00A1225C"/>
    <w:rsid w:val="00A128C6"/>
    <w:rsid w:val="00A131CC"/>
    <w:rsid w:val="00A13850"/>
    <w:rsid w:val="00A141B7"/>
    <w:rsid w:val="00A1497F"/>
    <w:rsid w:val="00A15C2F"/>
    <w:rsid w:val="00A165FB"/>
    <w:rsid w:val="00A166C2"/>
    <w:rsid w:val="00A20A8C"/>
    <w:rsid w:val="00A227D0"/>
    <w:rsid w:val="00A22E61"/>
    <w:rsid w:val="00A231BB"/>
    <w:rsid w:val="00A23664"/>
    <w:rsid w:val="00A2367A"/>
    <w:rsid w:val="00A23841"/>
    <w:rsid w:val="00A238F5"/>
    <w:rsid w:val="00A23984"/>
    <w:rsid w:val="00A23B67"/>
    <w:rsid w:val="00A23CE2"/>
    <w:rsid w:val="00A24B9B"/>
    <w:rsid w:val="00A24EF5"/>
    <w:rsid w:val="00A25D4D"/>
    <w:rsid w:val="00A27F8D"/>
    <w:rsid w:val="00A30066"/>
    <w:rsid w:val="00A308FE"/>
    <w:rsid w:val="00A30DDC"/>
    <w:rsid w:val="00A30E03"/>
    <w:rsid w:val="00A31564"/>
    <w:rsid w:val="00A318F8"/>
    <w:rsid w:val="00A32042"/>
    <w:rsid w:val="00A32A96"/>
    <w:rsid w:val="00A331E8"/>
    <w:rsid w:val="00A33839"/>
    <w:rsid w:val="00A35E36"/>
    <w:rsid w:val="00A36888"/>
    <w:rsid w:val="00A36891"/>
    <w:rsid w:val="00A3735E"/>
    <w:rsid w:val="00A378CE"/>
    <w:rsid w:val="00A40873"/>
    <w:rsid w:val="00A4187C"/>
    <w:rsid w:val="00A41A58"/>
    <w:rsid w:val="00A41B79"/>
    <w:rsid w:val="00A44AB0"/>
    <w:rsid w:val="00A44D45"/>
    <w:rsid w:val="00A44D84"/>
    <w:rsid w:val="00A45242"/>
    <w:rsid w:val="00A4586B"/>
    <w:rsid w:val="00A463C5"/>
    <w:rsid w:val="00A467DA"/>
    <w:rsid w:val="00A4689D"/>
    <w:rsid w:val="00A46EDB"/>
    <w:rsid w:val="00A471E1"/>
    <w:rsid w:val="00A5046C"/>
    <w:rsid w:val="00A507C0"/>
    <w:rsid w:val="00A50F4B"/>
    <w:rsid w:val="00A513C4"/>
    <w:rsid w:val="00A526E0"/>
    <w:rsid w:val="00A53263"/>
    <w:rsid w:val="00A540D7"/>
    <w:rsid w:val="00A55083"/>
    <w:rsid w:val="00A560A2"/>
    <w:rsid w:val="00A56195"/>
    <w:rsid w:val="00A56A3B"/>
    <w:rsid w:val="00A57138"/>
    <w:rsid w:val="00A57509"/>
    <w:rsid w:val="00A57539"/>
    <w:rsid w:val="00A57761"/>
    <w:rsid w:val="00A578AA"/>
    <w:rsid w:val="00A5794E"/>
    <w:rsid w:val="00A57D6B"/>
    <w:rsid w:val="00A6032C"/>
    <w:rsid w:val="00A605B7"/>
    <w:rsid w:val="00A6071F"/>
    <w:rsid w:val="00A6095B"/>
    <w:rsid w:val="00A60E7F"/>
    <w:rsid w:val="00A61343"/>
    <w:rsid w:val="00A61AC9"/>
    <w:rsid w:val="00A61F9D"/>
    <w:rsid w:val="00A62427"/>
    <w:rsid w:val="00A62866"/>
    <w:rsid w:val="00A63727"/>
    <w:rsid w:val="00A63A11"/>
    <w:rsid w:val="00A63E04"/>
    <w:rsid w:val="00A640DD"/>
    <w:rsid w:val="00A644C2"/>
    <w:rsid w:val="00A64AFC"/>
    <w:rsid w:val="00A65189"/>
    <w:rsid w:val="00A65985"/>
    <w:rsid w:val="00A6609F"/>
    <w:rsid w:val="00A667E5"/>
    <w:rsid w:val="00A677CD"/>
    <w:rsid w:val="00A67CF6"/>
    <w:rsid w:val="00A70903"/>
    <w:rsid w:val="00A71191"/>
    <w:rsid w:val="00A7179F"/>
    <w:rsid w:val="00A71BC0"/>
    <w:rsid w:val="00A72871"/>
    <w:rsid w:val="00A74691"/>
    <w:rsid w:val="00A755A9"/>
    <w:rsid w:val="00A75983"/>
    <w:rsid w:val="00A75DA4"/>
    <w:rsid w:val="00A7675E"/>
    <w:rsid w:val="00A77645"/>
    <w:rsid w:val="00A77E30"/>
    <w:rsid w:val="00A8064C"/>
    <w:rsid w:val="00A80661"/>
    <w:rsid w:val="00A80D3D"/>
    <w:rsid w:val="00A81868"/>
    <w:rsid w:val="00A81888"/>
    <w:rsid w:val="00A82ABC"/>
    <w:rsid w:val="00A82F3C"/>
    <w:rsid w:val="00A83261"/>
    <w:rsid w:val="00A83458"/>
    <w:rsid w:val="00A834B9"/>
    <w:rsid w:val="00A83B37"/>
    <w:rsid w:val="00A83B63"/>
    <w:rsid w:val="00A83F75"/>
    <w:rsid w:val="00A84119"/>
    <w:rsid w:val="00A8448B"/>
    <w:rsid w:val="00A84D16"/>
    <w:rsid w:val="00A864DF"/>
    <w:rsid w:val="00A86F22"/>
    <w:rsid w:val="00A877C2"/>
    <w:rsid w:val="00A87F11"/>
    <w:rsid w:val="00A90D5E"/>
    <w:rsid w:val="00A913BF"/>
    <w:rsid w:val="00A92BDD"/>
    <w:rsid w:val="00A93654"/>
    <w:rsid w:val="00A9380F"/>
    <w:rsid w:val="00A93D30"/>
    <w:rsid w:val="00A940FE"/>
    <w:rsid w:val="00A94C8B"/>
    <w:rsid w:val="00A9519A"/>
    <w:rsid w:val="00A95390"/>
    <w:rsid w:val="00A961CE"/>
    <w:rsid w:val="00A971E9"/>
    <w:rsid w:val="00A9797C"/>
    <w:rsid w:val="00AA04B5"/>
    <w:rsid w:val="00AA0C19"/>
    <w:rsid w:val="00AA192F"/>
    <w:rsid w:val="00AA1A5D"/>
    <w:rsid w:val="00AA1E94"/>
    <w:rsid w:val="00AA20F2"/>
    <w:rsid w:val="00AA23ED"/>
    <w:rsid w:val="00AA3E86"/>
    <w:rsid w:val="00AA43A0"/>
    <w:rsid w:val="00AA56B9"/>
    <w:rsid w:val="00AA5831"/>
    <w:rsid w:val="00AA591E"/>
    <w:rsid w:val="00AA6D4D"/>
    <w:rsid w:val="00AA6DB0"/>
    <w:rsid w:val="00AA7695"/>
    <w:rsid w:val="00AA78F2"/>
    <w:rsid w:val="00AA7D3A"/>
    <w:rsid w:val="00AB0EED"/>
    <w:rsid w:val="00AB15C3"/>
    <w:rsid w:val="00AB1AAD"/>
    <w:rsid w:val="00AB1E0B"/>
    <w:rsid w:val="00AB2312"/>
    <w:rsid w:val="00AB4633"/>
    <w:rsid w:val="00AB46AA"/>
    <w:rsid w:val="00AB479E"/>
    <w:rsid w:val="00AB5397"/>
    <w:rsid w:val="00AB56E4"/>
    <w:rsid w:val="00AB5ED7"/>
    <w:rsid w:val="00AC037D"/>
    <w:rsid w:val="00AC05F5"/>
    <w:rsid w:val="00AC0982"/>
    <w:rsid w:val="00AC0AF2"/>
    <w:rsid w:val="00AC2365"/>
    <w:rsid w:val="00AC239A"/>
    <w:rsid w:val="00AC270D"/>
    <w:rsid w:val="00AC312E"/>
    <w:rsid w:val="00AC35AD"/>
    <w:rsid w:val="00AC3766"/>
    <w:rsid w:val="00AC3A68"/>
    <w:rsid w:val="00AC3E2A"/>
    <w:rsid w:val="00AC3FA5"/>
    <w:rsid w:val="00AC429D"/>
    <w:rsid w:val="00AC51C4"/>
    <w:rsid w:val="00AC5215"/>
    <w:rsid w:val="00AC5C03"/>
    <w:rsid w:val="00AC5C92"/>
    <w:rsid w:val="00AC5E7B"/>
    <w:rsid w:val="00AC6858"/>
    <w:rsid w:val="00AC697A"/>
    <w:rsid w:val="00AC6B16"/>
    <w:rsid w:val="00AC7660"/>
    <w:rsid w:val="00AC7E8F"/>
    <w:rsid w:val="00AD0023"/>
    <w:rsid w:val="00AD09D3"/>
    <w:rsid w:val="00AD0BA1"/>
    <w:rsid w:val="00AD0D7B"/>
    <w:rsid w:val="00AD0E03"/>
    <w:rsid w:val="00AD1CA1"/>
    <w:rsid w:val="00AD2D39"/>
    <w:rsid w:val="00AD3EE6"/>
    <w:rsid w:val="00AD4989"/>
    <w:rsid w:val="00AD4F43"/>
    <w:rsid w:val="00AD51B7"/>
    <w:rsid w:val="00AD5BC1"/>
    <w:rsid w:val="00AD68C2"/>
    <w:rsid w:val="00AD6E25"/>
    <w:rsid w:val="00AD6E93"/>
    <w:rsid w:val="00AD703A"/>
    <w:rsid w:val="00AD730D"/>
    <w:rsid w:val="00AD78D2"/>
    <w:rsid w:val="00AE0818"/>
    <w:rsid w:val="00AE095F"/>
    <w:rsid w:val="00AE0BAE"/>
    <w:rsid w:val="00AE0CAB"/>
    <w:rsid w:val="00AE1194"/>
    <w:rsid w:val="00AE17B6"/>
    <w:rsid w:val="00AE1895"/>
    <w:rsid w:val="00AE1E6D"/>
    <w:rsid w:val="00AE2756"/>
    <w:rsid w:val="00AE2EA5"/>
    <w:rsid w:val="00AE320F"/>
    <w:rsid w:val="00AE328F"/>
    <w:rsid w:val="00AE3624"/>
    <w:rsid w:val="00AE3C8C"/>
    <w:rsid w:val="00AE4E54"/>
    <w:rsid w:val="00AE7662"/>
    <w:rsid w:val="00AE7CA7"/>
    <w:rsid w:val="00AE7F23"/>
    <w:rsid w:val="00AF0534"/>
    <w:rsid w:val="00AF11FC"/>
    <w:rsid w:val="00AF1C0D"/>
    <w:rsid w:val="00AF1ED0"/>
    <w:rsid w:val="00AF29A1"/>
    <w:rsid w:val="00AF43D3"/>
    <w:rsid w:val="00AF4AC4"/>
    <w:rsid w:val="00AF4ECD"/>
    <w:rsid w:val="00AF595F"/>
    <w:rsid w:val="00AF64CB"/>
    <w:rsid w:val="00AF678C"/>
    <w:rsid w:val="00AF6A83"/>
    <w:rsid w:val="00AF731F"/>
    <w:rsid w:val="00B004CD"/>
    <w:rsid w:val="00B00706"/>
    <w:rsid w:val="00B01F37"/>
    <w:rsid w:val="00B02238"/>
    <w:rsid w:val="00B0253A"/>
    <w:rsid w:val="00B03CB4"/>
    <w:rsid w:val="00B04F95"/>
    <w:rsid w:val="00B0500E"/>
    <w:rsid w:val="00B060FE"/>
    <w:rsid w:val="00B0642D"/>
    <w:rsid w:val="00B072CD"/>
    <w:rsid w:val="00B104C4"/>
    <w:rsid w:val="00B11C03"/>
    <w:rsid w:val="00B11DF5"/>
    <w:rsid w:val="00B12DC5"/>
    <w:rsid w:val="00B137C8"/>
    <w:rsid w:val="00B138F6"/>
    <w:rsid w:val="00B145B9"/>
    <w:rsid w:val="00B156AA"/>
    <w:rsid w:val="00B16120"/>
    <w:rsid w:val="00B16A1C"/>
    <w:rsid w:val="00B16AFD"/>
    <w:rsid w:val="00B204AE"/>
    <w:rsid w:val="00B20A22"/>
    <w:rsid w:val="00B218CC"/>
    <w:rsid w:val="00B21DA4"/>
    <w:rsid w:val="00B22408"/>
    <w:rsid w:val="00B23987"/>
    <w:rsid w:val="00B23C0A"/>
    <w:rsid w:val="00B2472E"/>
    <w:rsid w:val="00B24DA3"/>
    <w:rsid w:val="00B25EE2"/>
    <w:rsid w:val="00B26038"/>
    <w:rsid w:val="00B2637B"/>
    <w:rsid w:val="00B265F5"/>
    <w:rsid w:val="00B2679E"/>
    <w:rsid w:val="00B27A74"/>
    <w:rsid w:val="00B30400"/>
    <w:rsid w:val="00B30489"/>
    <w:rsid w:val="00B30714"/>
    <w:rsid w:val="00B311F3"/>
    <w:rsid w:val="00B324F6"/>
    <w:rsid w:val="00B33051"/>
    <w:rsid w:val="00B34DB7"/>
    <w:rsid w:val="00B35089"/>
    <w:rsid w:val="00B352F7"/>
    <w:rsid w:val="00B3530A"/>
    <w:rsid w:val="00B364B0"/>
    <w:rsid w:val="00B36948"/>
    <w:rsid w:val="00B40C67"/>
    <w:rsid w:val="00B4144F"/>
    <w:rsid w:val="00B41FE2"/>
    <w:rsid w:val="00B42695"/>
    <w:rsid w:val="00B43EAB"/>
    <w:rsid w:val="00B44126"/>
    <w:rsid w:val="00B44E85"/>
    <w:rsid w:val="00B4510A"/>
    <w:rsid w:val="00B4567B"/>
    <w:rsid w:val="00B45B7A"/>
    <w:rsid w:val="00B45C7C"/>
    <w:rsid w:val="00B46289"/>
    <w:rsid w:val="00B4729B"/>
    <w:rsid w:val="00B502A1"/>
    <w:rsid w:val="00B50FD6"/>
    <w:rsid w:val="00B51725"/>
    <w:rsid w:val="00B51AD5"/>
    <w:rsid w:val="00B52170"/>
    <w:rsid w:val="00B52964"/>
    <w:rsid w:val="00B52D39"/>
    <w:rsid w:val="00B541D2"/>
    <w:rsid w:val="00B549AE"/>
    <w:rsid w:val="00B55439"/>
    <w:rsid w:val="00B560AF"/>
    <w:rsid w:val="00B56429"/>
    <w:rsid w:val="00B568D8"/>
    <w:rsid w:val="00B573CF"/>
    <w:rsid w:val="00B57882"/>
    <w:rsid w:val="00B5793D"/>
    <w:rsid w:val="00B57990"/>
    <w:rsid w:val="00B57B2F"/>
    <w:rsid w:val="00B607E1"/>
    <w:rsid w:val="00B61D1A"/>
    <w:rsid w:val="00B61D25"/>
    <w:rsid w:val="00B621DC"/>
    <w:rsid w:val="00B62316"/>
    <w:rsid w:val="00B62F66"/>
    <w:rsid w:val="00B632B2"/>
    <w:rsid w:val="00B641A5"/>
    <w:rsid w:val="00B648F8"/>
    <w:rsid w:val="00B651C4"/>
    <w:rsid w:val="00B66A25"/>
    <w:rsid w:val="00B66AB8"/>
    <w:rsid w:val="00B67165"/>
    <w:rsid w:val="00B7033B"/>
    <w:rsid w:val="00B703BD"/>
    <w:rsid w:val="00B70EC0"/>
    <w:rsid w:val="00B712DC"/>
    <w:rsid w:val="00B7333C"/>
    <w:rsid w:val="00B73699"/>
    <w:rsid w:val="00B73E46"/>
    <w:rsid w:val="00B747CC"/>
    <w:rsid w:val="00B7547A"/>
    <w:rsid w:val="00B75E17"/>
    <w:rsid w:val="00B7610D"/>
    <w:rsid w:val="00B7642D"/>
    <w:rsid w:val="00B76D4D"/>
    <w:rsid w:val="00B77019"/>
    <w:rsid w:val="00B77CD4"/>
    <w:rsid w:val="00B80388"/>
    <w:rsid w:val="00B808E0"/>
    <w:rsid w:val="00B82329"/>
    <w:rsid w:val="00B8233F"/>
    <w:rsid w:val="00B85AAE"/>
    <w:rsid w:val="00B85BE7"/>
    <w:rsid w:val="00B86176"/>
    <w:rsid w:val="00B86A7D"/>
    <w:rsid w:val="00B86BA8"/>
    <w:rsid w:val="00B86CB5"/>
    <w:rsid w:val="00B87163"/>
    <w:rsid w:val="00B87794"/>
    <w:rsid w:val="00B8787E"/>
    <w:rsid w:val="00B8794D"/>
    <w:rsid w:val="00B90684"/>
    <w:rsid w:val="00B90B05"/>
    <w:rsid w:val="00B90FCF"/>
    <w:rsid w:val="00B91A9C"/>
    <w:rsid w:val="00B91E5F"/>
    <w:rsid w:val="00B922BA"/>
    <w:rsid w:val="00B924D1"/>
    <w:rsid w:val="00B931AD"/>
    <w:rsid w:val="00B93469"/>
    <w:rsid w:val="00B94284"/>
    <w:rsid w:val="00B950BF"/>
    <w:rsid w:val="00B95FCE"/>
    <w:rsid w:val="00B96AF4"/>
    <w:rsid w:val="00B96BDF"/>
    <w:rsid w:val="00B96D4B"/>
    <w:rsid w:val="00B96E33"/>
    <w:rsid w:val="00B97664"/>
    <w:rsid w:val="00B97785"/>
    <w:rsid w:val="00B977BA"/>
    <w:rsid w:val="00B97C53"/>
    <w:rsid w:val="00BA01B7"/>
    <w:rsid w:val="00BA083A"/>
    <w:rsid w:val="00BA0936"/>
    <w:rsid w:val="00BA0D25"/>
    <w:rsid w:val="00BA12F0"/>
    <w:rsid w:val="00BA17C3"/>
    <w:rsid w:val="00BA222C"/>
    <w:rsid w:val="00BA2259"/>
    <w:rsid w:val="00BA2422"/>
    <w:rsid w:val="00BA24CB"/>
    <w:rsid w:val="00BA3294"/>
    <w:rsid w:val="00BA4059"/>
    <w:rsid w:val="00BA460D"/>
    <w:rsid w:val="00BA4B8A"/>
    <w:rsid w:val="00BA5569"/>
    <w:rsid w:val="00BA5666"/>
    <w:rsid w:val="00BA5A94"/>
    <w:rsid w:val="00BA5AA1"/>
    <w:rsid w:val="00BA62CD"/>
    <w:rsid w:val="00BA6427"/>
    <w:rsid w:val="00BA673B"/>
    <w:rsid w:val="00BA678E"/>
    <w:rsid w:val="00BA6D76"/>
    <w:rsid w:val="00BA6FAC"/>
    <w:rsid w:val="00BA7005"/>
    <w:rsid w:val="00BA74C5"/>
    <w:rsid w:val="00BA7CD4"/>
    <w:rsid w:val="00BA7FF3"/>
    <w:rsid w:val="00BB0559"/>
    <w:rsid w:val="00BB0DED"/>
    <w:rsid w:val="00BB2B4E"/>
    <w:rsid w:val="00BB3134"/>
    <w:rsid w:val="00BB3282"/>
    <w:rsid w:val="00BB37CD"/>
    <w:rsid w:val="00BB3BBC"/>
    <w:rsid w:val="00BB3C29"/>
    <w:rsid w:val="00BB409A"/>
    <w:rsid w:val="00BB44D8"/>
    <w:rsid w:val="00BB55EC"/>
    <w:rsid w:val="00BB6168"/>
    <w:rsid w:val="00BB6880"/>
    <w:rsid w:val="00BB6B57"/>
    <w:rsid w:val="00BB780A"/>
    <w:rsid w:val="00BB7E19"/>
    <w:rsid w:val="00BC09A3"/>
    <w:rsid w:val="00BC0CA5"/>
    <w:rsid w:val="00BC0EF3"/>
    <w:rsid w:val="00BC10F9"/>
    <w:rsid w:val="00BC12A2"/>
    <w:rsid w:val="00BC16CB"/>
    <w:rsid w:val="00BC1D39"/>
    <w:rsid w:val="00BC2959"/>
    <w:rsid w:val="00BC2A3A"/>
    <w:rsid w:val="00BC2BED"/>
    <w:rsid w:val="00BC38D7"/>
    <w:rsid w:val="00BC3D67"/>
    <w:rsid w:val="00BC5627"/>
    <w:rsid w:val="00BC5681"/>
    <w:rsid w:val="00BC66B8"/>
    <w:rsid w:val="00BC6D2F"/>
    <w:rsid w:val="00BC780E"/>
    <w:rsid w:val="00BD0861"/>
    <w:rsid w:val="00BD1AE8"/>
    <w:rsid w:val="00BD1E31"/>
    <w:rsid w:val="00BD1EE6"/>
    <w:rsid w:val="00BD1F23"/>
    <w:rsid w:val="00BD22E6"/>
    <w:rsid w:val="00BD5EF8"/>
    <w:rsid w:val="00BD60CE"/>
    <w:rsid w:val="00BD64C1"/>
    <w:rsid w:val="00BD6BFC"/>
    <w:rsid w:val="00BE0FC5"/>
    <w:rsid w:val="00BE1B5C"/>
    <w:rsid w:val="00BE1BF8"/>
    <w:rsid w:val="00BE20F1"/>
    <w:rsid w:val="00BE210C"/>
    <w:rsid w:val="00BE21FC"/>
    <w:rsid w:val="00BE3B13"/>
    <w:rsid w:val="00BE42AA"/>
    <w:rsid w:val="00BE4E6B"/>
    <w:rsid w:val="00BE51F2"/>
    <w:rsid w:val="00BE614B"/>
    <w:rsid w:val="00BE76E0"/>
    <w:rsid w:val="00BE7E0D"/>
    <w:rsid w:val="00BF0007"/>
    <w:rsid w:val="00BF03A9"/>
    <w:rsid w:val="00BF07F1"/>
    <w:rsid w:val="00BF1DF3"/>
    <w:rsid w:val="00BF1E3C"/>
    <w:rsid w:val="00BF1F52"/>
    <w:rsid w:val="00BF2188"/>
    <w:rsid w:val="00BF2D31"/>
    <w:rsid w:val="00BF3683"/>
    <w:rsid w:val="00BF4BCB"/>
    <w:rsid w:val="00BF4C30"/>
    <w:rsid w:val="00BF4C44"/>
    <w:rsid w:val="00BF551B"/>
    <w:rsid w:val="00BF5D7A"/>
    <w:rsid w:val="00BF7098"/>
    <w:rsid w:val="00BF7A99"/>
    <w:rsid w:val="00C00BBF"/>
    <w:rsid w:val="00C01B46"/>
    <w:rsid w:val="00C01E3E"/>
    <w:rsid w:val="00C01E74"/>
    <w:rsid w:val="00C0216A"/>
    <w:rsid w:val="00C02253"/>
    <w:rsid w:val="00C026C9"/>
    <w:rsid w:val="00C028E5"/>
    <w:rsid w:val="00C02E56"/>
    <w:rsid w:val="00C0304C"/>
    <w:rsid w:val="00C03D70"/>
    <w:rsid w:val="00C04302"/>
    <w:rsid w:val="00C05200"/>
    <w:rsid w:val="00C05E11"/>
    <w:rsid w:val="00C070D1"/>
    <w:rsid w:val="00C0741F"/>
    <w:rsid w:val="00C07876"/>
    <w:rsid w:val="00C07BAE"/>
    <w:rsid w:val="00C07DBE"/>
    <w:rsid w:val="00C11985"/>
    <w:rsid w:val="00C11D70"/>
    <w:rsid w:val="00C1313F"/>
    <w:rsid w:val="00C13307"/>
    <w:rsid w:val="00C1367F"/>
    <w:rsid w:val="00C13B11"/>
    <w:rsid w:val="00C13D07"/>
    <w:rsid w:val="00C1482D"/>
    <w:rsid w:val="00C14DAF"/>
    <w:rsid w:val="00C15A25"/>
    <w:rsid w:val="00C163EB"/>
    <w:rsid w:val="00C16FA6"/>
    <w:rsid w:val="00C173C8"/>
    <w:rsid w:val="00C175FB"/>
    <w:rsid w:val="00C177A3"/>
    <w:rsid w:val="00C17FC6"/>
    <w:rsid w:val="00C20233"/>
    <w:rsid w:val="00C22025"/>
    <w:rsid w:val="00C2263A"/>
    <w:rsid w:val="00C22FB7"/>
    <w:rsid w:val="00C24D33"/>
    <w:rsid w:val="00C25620"/>
    <w:rsid w:val="00C2606C"/>
    <w:rsid w:val="00C2606F"/>
    <w:rsid w:val="00C26177"/>
    <w:rsid w:val="00C26E02"/>
    <w:rsid w:val="00C277A0"/>
    <w:rsid w:val="00C277E4"/>
    <w:rsid w:val="00C30609"/>
    <w:rsid w:val="00C30918"/>
    <w:rsid w:val="00C30E24"/>
    <w:rsid w:val="00C31248"/>
    <w:rsid w:val="00C3215C"/>
    <w:rsid w:val="00C32246"/>
    <w:rsid w:val="00C324F2"/>
    <w:rsid w:val="00C325F3"/>
    <w:rsid w:val="00C32758"/>
    <w:rsid w:val="00C33D09"/>
    <w:rsid w:val="00C34551"/>
    <w:rsid w:val="00C34AF0"/>
    <w:rsid w:val="00C35902"/>
    <w:rsid w:val="00C35AE8"/>
    <w:rsid w:val="00C360E0"/>
    <w:rsid w:val="00C36DD5"/>
    <w:rsid w:val="00C371F2"/>
    <w:rsid w:val="00C37600"/>
    <w:rsid w:val="00C377C0"/>
    <w:rsid w:val="00C378D0"/>
    <w:rsid w:val="00C379B6"/>
    <w:rsid w:val="00C37F6A"/>
    <w:rsid w:val="00C40693"/>
    <w:rsid w:val="00C40C56"/>
    <w:rsid w:val="00C40FA1"/>
    <w:rsid w:val="00C421E4"/>
    <w:rsid w:val="00C4282A"/>
    <w:rsid w:val="00C42AD4"/>
    <w:rsid w:val="00C435B6"/>
    <w:rsid w:val="00C437B2"/>
    <w:rsid w:val="00C43998"/>
    <w:rsid w:val="00C43C98"/>
    <w:rsid w:val="00C4486A"/>
    <w:rsid w:val="00C44897"/>
    <w:rsid w:val="00C44EE6"/>
    <w:rsid w:val="00C4550B"/>
    <w:rsid w:val="00C4567A"/>
    <w:rsid w:val="00C4595A"/>
    <w:rsid w:val="00C45AD6"/>
    <w:rsid w:val="00C46725"/>
    <w:rsid w:val="00C46B1C"/>
    <w:rsid w:val="00C46DCB"/>
    <w:rsid w:val="00C46DD4"/>
    <w:rsid w:val="00C47019"/>
    <w:rsid w:val="00C47635"/>
    <w:rsid w:val="00C477BA"/>
    <w:rsid w:val="00C47B4B"/>
    <w:rsid w:val="00C47FCC"/>
    <w:rsid w:val="00C50BAB"/>
    <w:rsid w:val="00C50EF9"/>
    <w:rsid w:val="00C511ED"/>
    <w:rsid w:val="00C5186A"/>
    <w:rsid w:val="00C51E83"/>
    <w:rsid w:val="00C52536"/>
    <w:rsid w:val="00C52B8D"/>
    <w:rsid w:val="00C52E9E"/>
    <w:rsid w:val="00C53A6C"/>
    <w:rsid w:val="00C5420A"/>
    <w:rsid w:val="00C5554F"/>
    <w:rsid w:val="00C5656C"/>
    <w:rsid w:val="00C56A23"/>
    <w:rsid w:val="00C56A39"/>
    <w:rsid w:val="00C56FE8"/>
    <w:rsid w:val="00C577AB"/>
    <w:rsid w:val="00C57A30"/>
    <w:rsid w:val="00C57E55"/>
    <w:rsid w:val="00C57EE7"/>
    <w:rsid w:val="00C61321"/>
    <w:rsid w:val="00C6173E"/>
    <w:rsid w:val="00C62960"/>
    <w:rsid w:val="00C62BCC"/>
    <w:rsid w:val="00C632AE"/>
    <w:rsid w:val="00C6359B"/>
    <w:rsid w:val="00C6363D"/>
    <w:rsid w:val="00C63D33"/>
    <w:rsid w:val="00C64B8A"/>
    <w:rsid w:val="00C650A8"/>
    <w:rsid w:val="00C65F3A"/>
    <w:rsid w:val="00C66EBD"/>
    <w:rsid w:val="00C71ABB"/>
    <w:rsid w:val="00C7225C"/>
    <w:rsid w:val="00C72FB1"/>
    <w:rsid w:val="00C74869"/>
    <w:rsid w:val="00C752FA"/>
    <w:rsid w:val="00C7659C"/>
    <w:rsid w:val="00C76F9E"/>
    <w:rsid w:val="00C801CB"/>
    <w:rsid w:val="00C80840"/>
    <w:rsid w:val="00C80A18"/>
    <w:rsid w:val="00C80AE3"/>
    <w:rsid w:val="00C814F1"/>
    <w:rsid w:val="00C81C00"/>
    <w:rsid w:val="00C8295E"/>
    <w:rsid w:val="00C82CD9"/>
    <w:rsid w:val="00C82DCB"/>
    <w:rsid w:val="00C83E2C"/>
    <w:rsid w:val="00C83FF4"/>
    <w:rsid w:val="00C84286"/>
    <w:rsid w:val="00C84A1C"/>
    <w:rsid w:val="00C85168"/>
    <w:rsid w:val="00C85BF8"/>
    <w:rsid w:val="00C85D4A"/>
    <w:rsid w:val="00C86249"/>
    <w:rsid w:val="00C86453"/>
    <w:rsid w:val="00C90B65"/>
    <w:rsid w:val="00C9295A"/>
    <w:rsid w:val="00C92B0D"/>
    <w:rsid w:val="00C92C93"/>
    <w:rsid w:val="00C93AF1"/>
    <w:rsid w:val="00C93DCC"/>
    <w:rsid w:val="00C94464"/>
    <w:rsid w:val="00C94A0A"/>
    <w:rsid w:val="00C95C7F"/>
    <w:rsid w:val="00C95CFF"/>
    <w:rsid w:val="00C9720F"/>
    <w:rsid w:val="00C9723C"/>
    <w:rsid w:val="00C97FFC"/>
    <w:rsid w:val="00CA0A67"/>
    <w:rsid w:val="00CA0C63"/>
    <w:rsid w:val="00CA11C2"/>
    <w:rsid w:val="00CA13C9"/>
    <w:rsid w:val="00CA181A"/>
    <w:rsid w:val="00CA2559"/>
    <w:rsid w:val="00CA26F3"/>
    <w:rsid w:val="00CA2A38"/>
    <w:rsid w:val="00CA31E4"/>
    <w:rsid w:val="00CA4022"/>
    <w:rsid w:val="00CA40A8"/>
    <w:rsid w:val="00CA4156"/>
    <w:rsid w:val="00CA4322"/>
    <w:rsid w:val="00CA43EE"/>
    <w:rsid w:val="00CA4913"/>
    <w:rsid w:val="00CA4959"/>
    <w:rsid w:val="00CA52A7"/>
    <w:rsid w:val="00CA5756"/>
    <w:rsid w:val="00CA5BEC"/>
    <w:rsid w:val="00CA5F6E"/>
    <w:rsid w:val="00CA62D6"/>
    <w:rsid w:val="00CA7240"/>
    <w:rsid w:val="00CA7880"/>
    <w:rsid w:val="00CB0EA8"/>
    <w:rsid w:val="00CB160D"/>
    <w:rsid w:val="00CB19AD"/>
    <w:rsid w:val="00CB2424"/>
    <w:rsid w:val="00CB33AF"/>
    <w:rsid w:val="00CB462D"/>
    <w:rsid w:val="00CB4D0A"/>
    <w:rsid w:val="00CB4DF0"/>
    <w:rsid w:val="00CB4F2E"/>
    <w:rsid w:val="00CB5435"/>
    <w:rsid w:val="00CB5A85"/>
    <w:rsid w:val="00CB676A"/>
    <w:rsid w:val="00CB7422"/>
    <w:rsid w:val="00CB7626"/>
    <w:rsid w:val="00CC05D7"/>
    <w:rsid w:val="00CC0AA3"/>
    <w:rsid w:val="00CC2BD0"/>
    <w:rsid w:val="00CC2CC4"/>
    <w:rsid w:val="00CC3463"/>
    <w:rsid w:val="00CC38C8"/>
    <w:rsid w:val="00CC4C56"/>
    <w:rsid w:val="00CC5497"/>
    <w:rsid w:val="00CC5AA9"/>
    <w:rsid w:val="00CC5B1A"/>
    <w:rsid w:val="00CC6025"/>
    <w:rsid w:val="00CC6146"/>
    <w:rsid w:val="00CC726F"/>
    <w:rsid w:val="00CC766D"/>
    <w:rsid w:val="00CC7B68"/>
    <w:rsid w:val="00CD0330"/>
    <w:rsid w:val="00CD065E"/>
    <w:rsid w:val="00CD1166"/>
    <w:rsid w:val="00CD174B"/>
    <w:rsid w:val="00CD1AF6"/>
    <w:rsid w:val="00CD1EC1"/>
    <w:rsid w:val="00CD1FB2"/>
    <w:rsid w:val="00CD203B"/>
    <w:rsid w:val="00CD28FF"/>
    <w:rsid w:val="00CD29E1"/>
    <w:rsid w:val="00CD3F74"/>
    <w:rsid w:val="00CD4079"/>
    <w:rsid w:val="00CD463E"/>
    <w:rsid w:val="00CD4771"/>
    <w:rsid w:val="00CD48B8"/>
    <w:rsid w:val="00CD4C76"/>
    <w:rsid w:val="00CD4E19"/>
    <w:rsid w:val="00CD565A"/>
    <w:rsid w:val="00CD5717"/>
    <w:rsid w:val="00CD6726"/>
    <w:rsid w:val="00CD6907"/>
    <w:rsid w:val="00CD69D5"/>
    <w:rsid w:val="00CD6C79"/>
    <w:rsid w:val="00CD7230"/>
    <w:rsid w:val="00CD7476"/>
    <w:rsid w:val="00CD77D5"/>
    <w:rsid w:val="00CE0223"/>
    <w:rsid w:val="00CE078A"/>
    <w:rsid w:val="00CE0E9A"/>
    <w:rsid w:val="00CE11FB"/>
    <w:rsid w:val="00CE173C"/>
    <w:rsid w:val="00CE1BFD"/>
    <w:rsid w:val="00CE272A"/>
    <w:rsid w:val="00CE285C"/>
    <w:rsid w:val="00CE351F"/>
    <w:rsid w:val="00CE3BF5"/>
    <w:rsid w:val="00CE40C2"/>
    <w:rsid w:val="00CE466E"/>
    <w:rsid w:val="00CE4D88"/>
    <w:rsid w:val="00CE58EE"/>
    <w:rsid w:val="00CE5926"/>
    <w:rsid w:val="00CE5CA7"/>
    <w:rsid w:val="00CE6CB2"/>
    <w:rsid w:val="00CE7213"/>
    <w:rsid w:val="00CE7C94"/>
    <w:rsid w:val="00CE7D89"/>
    <w:rsid w:val="00CF0511"/>
    <w:rsid w:val="00CF16E1"/>
    <w:rsid w:val="00CF1D97"/>
    <w:rsid w:val="00CF1EE4"/>
    <w:rsid w:val="00CF1FC6"/>
    <w:rsid w:val="00CF274A"/>
    <w:rsid w:val="00CF2AB8"/>
    <w:rsid w:val="00CF3744"/>
    <w:rsid w:val="00CF4AD3"/>
    <w:rsid w:val="00CF4D3E"/>
    <w:rsid w:val="00CF5347"/>
    <w:rsid w:val="00CF5953"/>
    <w:rsid w:val="00CF71BD"/>
    <w:rsid w:val="00CF76FB"/>
    <w:rsid w:val="00D000EF"/>
    <w:rsid w:val="00D008AE"/>
    <w:rsid w:val="00D02815"/>
    <w:rsid w:val="00D02DA8"/>
    <w:rsid w:val="00D02FA5"/>
    <w:rsid w:val="00D0334C"/>
    <w:rsid w:val="00D03B8F"/>
    <w:rsid w:val="00D03F3E"/>
    <w:rsid w:val="00D04B47"/>
    <w:rsid w:val="00D04D5A"/>
    <w:rsid w:val="00D04EB5"/>
    <w:rsid w:val="00D06485"/>
    <w:rsid w:val="00D079E1"/>
    <w:rsid w:val="00D07F06"/>
    <w:rsid w:val="00D103BE"/>
    <w:rsid w:val="00D10753"/>
    <w:rsid w:val="00D1139A"/>
    <w:rsid w:val="00D116A9"/>
    <w:rsid w:val="00D11D31"/>
    <w:rsid w:val="00D12C17"/>
    <w:rsid w:val="00D12C43"/>
    <w:rsid w:val="00D12DA4"/>
    <w:rsid w:val="00D134C0"/>
    <w:rsid w:val="00D136EE"/>
    <w:rsid w:val="00D161BB"/>
    <w:rsid w:val="00D16AE2"/>
    <w:rsid w:val="00D170AE"/>
    <w:rsid w:val="00D1781F"/>
    <w:rsid w:val="00D17B34"/>
    <w:rsid w:val="00D17BDD"/>
    <w:rsid w:val="00D20E19"/>
    <w:rsid w:val="00D21077"/>
    <w:rsid w:val="00D215B5"/>
    <w:rsid w:val="00D22CB9"/>
    <w:rsid w:val="00D23B9D"/>
    <w:rsid w:val="00D23D80"/>
    <w:rsid w:val="00D2464A"/>
    <w:rsid w:val="00D247CC"/>
    <w:rsid w:val="00D248F0"/>
    <w:rsid w:val="00D249BA"/>
    <w:rsid w:val="00D24AD1"/>
    <w:rsid w:val="00D24F6F"/>
    <w:rsid w:val="00D2565B"/>
    <w:rsid w:val="00D25D77"/>
    <w:rsid w:val="00D26187"/>
    <w:rsid w:val="00D277F6"/>
    <w:rsid w:val="00D27A4A"/>
    <w:rsid w:val="00D27E2F"/>
    <w:rsid w:val="00D30AC1"/>
    <w:rsid w:val="00D31306"/>
    <w:rsid w:val="00D3243C"/>
    <w:rsid w:val="00D3245E"/>
    <w:rsid w:val="00D32F52"/>
    <w:rsid w:val="00D336D8"/>
    <w:rsid w:val="00D34E8D"/>
    <w:rsid w:val="00D3511D"/>
    <w:rsid w:val="00D357A5"/>
    <w:rsid w:val="00D36C96"/>
    <w:rsid w:val="00D36CD0"/>
    <w:rsid w:val="00D36D6F"/>
    <w:rsid w:val="00D40CBF"/>
    <w:rsid w:val="00D41FD6"/>
    <w:rsid w:val="00D42E55"/>
    <w:rsid w:val="00D42EF7"/>
    <w:rsid w:val="00D433F4"/>
    <w:rsid w:val="00D43A7B"/>
    <w:rsid w:val="00D444C2"/>
    <w:rsid w:val="00D44D75"/>
    <w:rsid w:val="00D457FF"/>
    <w:rsid w:val="00D45976"/>
    <w:rsid w:val="00D464D2"/>
    <w:rsid w:val="00D4689F"/>
    <w:rsid w:val="00D46B14"/>
    <w:rsid w:val="00D47EBE"/>
    <w:rsid w:val="00D47F3E"/>
    <w:rsid w:val="00D50D49"/>
    <w:rsid w:val="00D50E99"/>
    <w:rsid w:val="00D53200"/>
    <w:rsid w:val="00D5357E"/>
    <w:rsid w:val="00D53E51"/>
    <w:rsid w:val="00D54068"/>
    <w:rsid w:val="00D54CA1"/>
    <w:rsid w:val="00D54F31"/>
    <w:rsid w:val="00D55A70"/>
    <w:rsid w:val="00D55B3A"/>
    <w:rsid w:val="00D5620E"/>
    <w:rsid w:val="00D56A2B"/>
    <w:rsid w:val="00D56A84"/>
    <w:rsid w:val="00D571EB"/>
    <w:rsid w:val="00D576BC"/>
    <w:rsid w:val="00D576EB"/>
    <w:rsid w:val="00D57A3F"/>
    <w:rsid w:val="00D6009B"/>
    <w:rsid w:val="00D60535"/>
    <w:rsid w:val="00D60A4D"/>
    <w:rsid w:val="00D61963"/>
    <w:rsid w:val="00D627A2"/>
    <w:rsid w:val="00D6291E"/>
    <w:rsid w:val="00D62C8A"/>
    <w:rsid w:val="00D632AD"/>
    <w:rsid w:val="00D63335"/>
    <w:rsid w:val="00D6342D"/>
    <w:rsid w:val="00D64045"/>
    <w:rsid w:val="00D641DA"/>
    <w:rsid w:val="00D64D55"/>
    <w:rsid w:val="00D64F0D"/>
    <w:rsid w:val="00D65270"/>
    <w:rsid w:val="00D66B54"/>
    <w:rsid w:val="00D67ABE"/>
    <w:rsid w:val="00D67C59"/>
    <w:rsid w:val="00D706B9"/>
    <w:rsid w:val="00D71D27"/>
    <w:rsid w:val="00D7214A"/>
    <w:rsid w:val="00D72822"/>
    <w:rsid w:val="00D74D14"/>
    <w:rsid w:val="00D758DF"/>
    <w:rsid w:val="00D766D1"/>
    <w:rsid w:val="00D76C68"/>
    <w:rsid w:val="00D77DA8"/>
    <w:rsid w:val="00D77F77"/>
    <w:rsid w:val="00D8013A"/>
    <w:rsid w:val="00D80D8C"/>
    <w:rsid w:val="00D81A11"/>
    <w:rsid w:val="00D81D1E"/>
    <w:rsid w:val="00D834FE"/>
    <w:rsid w:val="00D8397B"/>
    <w:rsid w:val="00D83AFB"/>
    <w:rsid w:val="00D845EF"/>
    <w:rsid w:val="00D849FF"/>
    <w:rsid w:val="00D85521"/>
    <w:rsid w:val="00D86F6E"/>
    <w:rsid w:val="00D87079"/>
    <w:rsid w:val="00D8778A"/>
    <w:rsid w:val="00D87A9E"/>
    <w:rsid w:val="00D90674"/>
    <w:rsid w:val="00D90D00"/>
    <w:rsid w:val="00D91DA1"/>
    <w:rsid w:val="00D92EE8"/>
    <w:rsid w:val="00D9312A"/>
    <w:rsid w:val="00D9314C"/>
    <w:rsid w:val="00D9345F"/>
    <w:rsid w:val="00D9361B"/>
    <w:rsid w:val="00D93679"/>
    <w:rsid w:val="00D93941"/>
    <w:rsid w:val="00D93C0A"/>
    <w:rsid w:val="00D94723"/>
    <w:rsid w:val="00D94791"/>
    <w:rsid w:val="00D948C7"/>
    <w:rsid w:val="00D95ABC"/>
    <w:rsid w:val="00D961E0"/>
    <w:rsid w:val="00D975F4"/>
    <w:rsid w:val="00D9775C"/>
    <w:rsid w:val="00DA0C4F"/>
    <w:rsid w:val="00DA1362"/>
    <w:rsid w:val="00DA1AE4"/>
    <w:rsid w:val="00DA2212"/>
    <w:rsid w:val="00DA2598"/>
    <w:rsid w:val="00DA2B12"/>
    <w:rsid w:val="00DA37E8"/>
    <w:rsid w:val="00DA460C"/>
    <w:rsid w:val="00DA510E"/>
    <w:rsid w:val="00DA5AD7"/>
    <w:rsid w:val="00DA6771"/>
    <w:rsid w:val="00DA6843"/>
    <w:rsid w:val="00DA6A39"/>
    <w:rsid w:val="00DA7132"/>
    <w:rsid w:val="00DA73E2"/>
    <w:rsid w:val="00DA758C"/>
    <w:rsid w:val="00DB0452"/>
    <w:rsid w:val="00DB0BBE"/>
    <w:rsid w:val="00DB12C7"/>
    <w:rsid w:val="00DB12E4"/>
    <w:rsid w:val="00DB237B"/>
    <w:rsid w:val="00DB3109"/>
    <w:rsid w:val="00DB3B89"/>
    <w:rsid w:val="00DB3C33"/>
    <w:rsid w:val="00DB4A9B"/>
    <w:rsid w:val="00DB4DCC"/>
    <w:rsid w:val="00DB50CB"/>
    <w:rsid w:val="00DB542F"/>
    <w:rsid w:val="00DB5AA5"/>
    <w:rsid w:val="00DB5F68"/>
    <w:rsid w:val="00DB6050"/>
    <w:rsid w:val="00DB6D0D"/>
    <w:rsid w:val="00DB6E64"/>
    <w:rsid w:val="00DB7B7C"/>
    <w:rsid w:val="00DC0352"/>
    <w:rsid w:val="00DC0858"/>
    <w:rsid w:val="00DC099E"/>
    <w:rsid w:val="00DC0A14"/>
    <w:rsid w:val="00DC11FE"/>
    <w:rsid w:val="00DC1770"/>
    <w:rsid w:val="00DC18F1"/>
    <w:rsid w:val="00DC2B3B"/>
    <w:rsid w:val="00DC2D93"/>
    <w:rsid w:val="00DC361F"/>
    <w:rsid w:val="00DC3667"/>
    <w:rsid w:val="00DC4A22"/>
    <w:rsid w:val="00DC5271"/>
    <w:rsid w:val="00DC55FD"/>
    <w:rsid w:val="00DC5CD4"/>
    <w:rsid w:val="00DC609D"/>
    <w:rsid w:val="00DC6261"/>
    <w:rsid w:val="00DC6D99"/>
    <w:rsid w:val="00DC7D64"/>
    <w:rsid w:val="00DD09DE"/>
    <w:rsid w:val="00DD1278"/>
    <w:rsid w:val="00DD16CA"/>
    <w:rsid w:val="00DD30DC"/>
    <w:rsid w:val="00DD337D"/>
    <w:rsid w:val="00DD3381"/>
    <w:rsid w:val="00DD45E9"/>
    <w:rsid w:val="00DD4894"/>
    <w:rsid w:val="00DD55C2"/>
    <w:rsid w:val="00DD5746"/>
    <w:rsid w:val="00DD5D30"/>
    <w:rsid w:val="00DD5E3E"/>
    <w:rsid w:val="00DD698E"/>
    <w:rsid w:val="00DD7E4B"/>
    <w:rsid w:val="00DE00B9"/>
    <w:rsid w:val="00DE0753"/>
    <w:rsid w:val="00DE0DB2"/>
    <w:rsid w:val="00DE0DCA"/>
    <w:rsid w:val="00DE1584"/>
    <w:rsid w:val="00DE1D9B"/>
    <w:rsid w:val="00DE260D"/>
    <w:rsid w:val="00DE44EB"/>
    <w:rsid w:val="00DE5AE8"/>
    <w:rsid w:val="00DE6509"/>
    <w:rsid w:val="00DE674A"/>
    <w:rsid w:val="00DE69B9"/>
    <w:rsid w:val="00DE703F"/>
    <w:rsid w:val="00DE78BC"/>
    <w:rsid w:val="00DE7925"/>
    <w:rsid w:val="00DF0421"/>
    <w:rsid w:val="00DF07A3"/>
    <w:rsid w:val="00DF1CF5"/>
    <w:rsid w:val="00DF24E0"/>
    <w:rsid w:val="00DF25A8"/>
    <w:rsid w:val="00DF298B"/>
    <w:rsid w:val="00DF4E03"/>
    <w:rsid w:val="00DF4E41"/>
    <w:rsid w:val="00DF56F4"/>
    <w:rsid w:val="00DF5DD3"/>
    <w:rsid w:val="00DF7DE8"/>
    <w:rsid w:val="00DF7FE5"/>
    <w:rsid w:val="00E00DE1"/>
    <w:rsid w:val="00E01045"/>
    <w:rsid w:val="00E0111D"/>
    <w:rsid w:val="00E013DB"/>
    <w:rsid w:val="00E01AB1"/>
    <w:rsid w:val="00E022E5"/>
    <w:rsid w:val="00E0315E"/>
    <w:rsid w:val="00E031B1"/>
    <w:rsid w:val="00E0390A"/>
    <w:rsid w:val="00E03C77"/>
    <w:rsid w:val="00E03D12"/>
    <w:rsid w:val="00E05152"/>
    <w:rsid w:val="00E059A4"/>
    <w:rsid w:val="00E059ED"/>
    <w:rsid w:val="00E05C37"/>
    <w:rsid w:val="00E0767F"/>
    <w:rsid w:val="00E107FA"/>
    <w:rsid w:val="00E1081F"/>
    <w:rsid w:val="00E10AB9"/>
    <w:rsid w:val="00E10B1C"/>
    <w:rsid w:val="00E11241"/>
    <w:rsid w:val="00E11982"/>
    <w:rsid w:val="00E13BA9"/>
    <w:rsid w:val="00E14F35"/>
    <w:rsid w:val="00E15029"/>
    <w:rsid w:val="00E15678"/>
    <w:rsid w:val="00E15CA7"/>
    <w:rsid w:val="00E163B6"/>
    <w:rsid w:val="00E17103"/>
    <w:rsid w:val="00E17D26"/>
    <w:rsid w:val="00E212A8"/>
    <w:rsid w:val="00E22358"/>
    <w:rsid w:val="00E22792"/>
    <w:rsid w:val="00E22CAC"/>
    <w:rsid w:val="00E2326A"/>
    <w:rsid w:val="00E247A7"/>
    <w:rsid w:val="00E24E3D"/>
    <w:rsid w:val="00E25037"/>
    <w:rsid w:val="00E250C9"/>
    <w:rsid w:val="00E25A9F"/>
    <w:rsid w:val="00E3021C"/>
    <w:rsid w:val="00E30A84"/>
    <w:rsid w:val="00E331EA"/>
    <w:rsid w:val="00E3341C"/>
    <w:rsid w:val="00E33965"/>
    <w:rsid w:val="00E3496C"/>
    <w:rsid w:val="00E357B6"/>
    <w:rsid w:val="00E36512"/>
    <w:rsid w:val="00E371F2"/>
    <w:rsid w:val="00E377C4"/>
    <w:rsid w:val="00E40E35"/>
    <w:rsid w:val="00E41495"/>
    <w:rsid w:val="00E41842"/>
    <w:rsid w:val="00E427A3"/>
    <w:rsid w:val="00E431DF"/>
    <w:rsid w:val="00E43A0F"/>
    <w:rsid w:val="00E43C9A"/>
    <w:rsid w:val="00E44095"/>
    <w:rsid w:val="00E44143"/>
    <w:rsid w:val="00E455BF"/>
    <w:rsid w:val="00E458E9"/>
    <w:rsid w:val="00E45C79"/>
    <w:rsid w:val="00E46C6E"/>
    <w:rsid w:val="00E50240"/>
    <w:rsid w:val="00E50319"/>
    <w:rsid w:val="00E508F6"/>
    <w:rsid w:val="00E51075"/>
    <w:rsid w:val="00E51177"/>
    <w:rsid w:val="00E51CE9"/>
    <w:rsid w:val="00E51D16"/>
    <w:rsid w:val="00E51F8B"/>
    <w:rsid w:val="00E54425"/>
    <w:rsid w:val="00E544EF"/>
    <w:rsid w:val="00E547FD"/>
    <w:rsid w:val="00E54B2F"/>
    <w:rsid w:val="00E55CEC"/>
    <w:rsid w:val="00E55ED7"/>
    <w:rsid w:val="00E55F52"/>
    <w:rsid w:val="00E5625E"/>
    <w:rsid w:val="00E56796"/>
    <w:rsid w:val="00E56C2D"/>
    <w:rsid w:val="00E60CB4"/>
    <w:rsid w:val="00E613AA"/>
    <w:rsid w:val="00E61E0D"/>
    <w:rsid w:val="00E627BB"/>
    <w:rsid w:val="00E62A7D"/>
    <w:rsid w:val="00E62D71"/>
    <w:rsid w:val="00E63889"/>
    <w:rsid w:val="00E63A7B"/>
    <w:rsid w:val="00E63EEC"/>
    <w:rsid w:val="00E6499E"/>
    <w:rsid w:val="00E64BEA"/>
    <w:rsid w:val="00E64C56"/>
    <w:rsid w:val="00E65DF9"/>
    <w:rsid w:val="00E65E0B"/>
    <w:rsid w:val="00E66EEC"/>
    <w:rsid w:val="00E67C86"/>
    <w:rsid w:val="00E67D8F"/>
    <w:rsid w:val="00E723A7"/>
    <w:rsid w:val="00E72D6E"/>
    <w:rsid w:val="00E73572"/>
    <w:rsid w:val="00E7387A"/>
    <w:rsid w:val="00E73BA5"/>
    <w:rsid w:val="00E7460B"/>
    <w:rsid w:val="00E74793"/>
    <w:rsid w:val="00E74D00"/>
    <w:rsid w:val="00E750AB"/>
    <w:rsid w:val="00E767AF"/>
    <w:rsid w:val="00E76916"/>
    <w:rsid w:val="00E76E68"/>
    <w:rsid w:val="00E7739E"/>
    <w:rsid w:val="00E774AD"/>
    <w:rsid w:val="00E77DA0"/>
    <w:rsid w:val="00E80A2E"/>
    <w:rsid w:val="00E8201F"/>
    <w:rsid w:val="00E82A27"/>
    <w:rsid w:val="00E85871"/>
    <w:rsid w:val="00E85D7A"/>
    <w:rsid w:val="00E86426"/>
    <w:rsid w:val="00E8685B"/>
    <w:rsid w:val="00E8694C"/>
    <w:rsid w:val="00E86A56"/>
    <w:rsid w:val="00E870B5"/>
    <w:rsid w:val="00E87BCB"/>
    <w:rsid w:val="00E90B3F"/>
    <w:rsid w:val="00E911B7"/>
    <w:rsid w:val="00E91216"/>
    <w:rsid w:val="00E9224B"/>
    <w:rsid w:val="00E9224C"/>
    <w:rsid w:val="00E92A89"/>
    <w:rsid w:val="00E92C73"/>
    <w:rsid w:val="00E937A4"/>
    <w:rsid w:val="00E93A36"/>
    <w:rsid w:val="00E93A99"/>
    <w:rsid w:val="00E94260"/>
    <w:rsid w:val="00E947B5"/>
    <w:rsid w:val="00E94A3B"/>
    <w:rsid w:val="00E94EFC"/>
    <w:rsid w:val="00E95AED"/>
    <w:rsid w:val="00E95C86"/>
    <w:rsid w:val="00EA0109"/>
    <w:rsid w:val="00EA068C"/>
    <w:rsid w:val="00EA07BA"/>
    <w:rsid w:val="00EA07E7"/>
    <w:rsid w:val="00EA0C65"/>
    <w:rsid w:val="00EA251E"/>
    <w:rsid w:val="00EA3505"/>
    <w:rsid w:val="00EA4127"/>
    <w:rsid w:val="00EA49EF"/>
    <w:rsid w:val="00EA5747"/>
    <w:rsid w:val="00EA5893"/>
    <w:rsid w:val="00EA7A8F"/>
    <w:rsid w:val="00EA7C04"/>
    <w:rsid w:val="00EB0096"/>
    <w:rsid w:val="00EB0177"/>
    <w:rsid w:val="00EB0445"/>
    <w:rsid w:val="00EB1480"/>
    <w:rsid w:val="00EB2600"/>
    <w:rsid w:val="00EB3CDA"/>
    <w:rsid w:val="00EB499B"/>
    <w:rsid w:val="00EB4F03"/>
    <w:rsid w:val="00EB671E"/>
    <w:rsid w:val="00EB676C"/>
    <w:rsid w:val="00EB6976"/>
    <w:rsid w:val="00EB7127"/>
    <w:rsid w:val="00EC00E7"/>
    <w:rsid w:val="00EC044E"/>
    <w:rsid w:val="00EC19DD"/>
    <w:rsid w:val="00EC22D9"/>
    <w:rsid w:val="00EC3181"/>
    <w:rsid w:val="00EC364E"/>
    <w:rsid w:val="00EC3EA8"/>
    <w:rsid w:val="00EC4348"/>
    <w:rsid w:val="00EC502A"/>
    <w:rsid w:val="00EC53E5"/>
    <w:rsid w:val="00EC5A67"/>
    <w:rsid w:val="00EC60C8"/>
    <w:rsid w:val="00EC63B1"/>
    <w:rsid w:val="00ED0DF0"/>
    <w:rsid w:val="00ED0E55"/>
    <w:rsid w:val="00ED1834"/>
    <w:rsid w:val="00ED199A"/>
    <w:rsid w:val="00ED1DCB"/>
    <w:rsid w:val="00ED33EA"/>
    <w:rsid w:val="00ED3A43"/>
    <w:rsid w:val="00ED4A0D"/>
    <w:rsid w:val="00ED4D4D"/>
    <w:rsid w:val="00ED58B5"/>
    <w:rsid w:val="00ED5BFC"/>
    <w:rsid w:val="00ED67A1"/>
    <w:rsid w:val="00ED7385"/>
    <w:rsid w:val="00ED7F07"/>
    <w:rsid w:val="00EE0333"/>
    <w:rsid w:val="00EE05AC"/>
    <w:rsid w:val="00EE0819"/>
    <w:rsid w:val="00EE2432"/>
    <w:rsid w:val="00EE3DC0"/>
    <w:rsid w:val="00EE4272"/>
    <w:rsid w:val="00EE42B3"/>
    <w:rsid w:val="00EE48B5"/>
    <w:rsid w:val="00EE5330"/>
    <w:rsid w:val="00EE5339"/>
    <w:rsid w:val="00EE566C"/>
    <w:rsid w:val="00EE5AF2"/>
    <w:rsid w:val="00EE5E99"/>
    <w:rsid w:val="00EE6455"/>
    <w:rsid w:val="00EE657F"/>
    <w:rsid w:val="00EE677E"/>
    <w:rsid w:val="00EE6BD0"/>
    <w:rsid w:val="00EE7289"/>
    <w:rsid w:val="00EE7828"/>
    <w:rsid w:val="00EF0AF3"/>
    <w:rsid w:val="00EF0D8F"/>
    <w:rsid w:val="00EF117A"/>
    <w:rsid w:val="00EF14BB"/>
    <w:rsid w:val="00EF1BDB"/>
    <w:rsid w:val="00EF2965"/>
    <w:rsid w:val="00EF3E2C"/>
    <w:rsid w:val="00EF491E"/>
    <w:rsid w:val="00EF5920"/>
    <w:rsid w:val="00EF6058"/>
    <w:rsid w:val="00EF64AB"/>
    <w:rsid w:val="00EF660C"/>
    <w:rsid w:val="00EF7452"/>
    <w:rsid w:val="00EF74B7"/>
    <w:rsid w:val="00F013FE"/>
    <w:rsid w:val="00F01EBA"/>
    <w:rsid w:val="00F0266D"/>
    <w:rsid w:val="00F03074"/>
    <w:rsid w:val="00F037A6"/>
    <w:rsid w:val="00F03C40"/>
    <w:rsid w:val="00F051C9"/>
    <w:rsid w:val="00F057A0"/>
    <w:rsid w:val="00F060F7"/>
    <w:rsid w:val="00F06C91"/>
    <w:rsid w:val="00F075B8"/>
    <w:rsid w:val="00F07DF9"/>
    <w:rsid w:val="00F106D8"/>
    <w:rsid w:val="00F10AB7"/>
    <w:rsid w:val="00F12123"/>
    <w:rsid w:val="00F122ED"/>
    <w:rsid w:val="00F12CA9"/>
    <w:rsid w:val="00F133D1"/>
    <w:rsid w:val="00F13BC8"/>
    <w:rsid w:val="00F149F0"/>
    <w:rsid w:val="00F14BD8"/>
    <w:rsid w:val="00F153C6"/>
    <w:rsid w:val="00F15B86"/>
    <w:rsid w:val="00F176E6"/>
    <w:rsid w:val="00F17719"/>
    <w:rsid w:val="00F17BC9"/>
    <w:rsid w:val="00F17DAB"/>
    <w:rsid w:val="00F20190"/>
    <w:rsid w:val="00F207A3"/>
    <w:rsid w:val="00F20ACD"/>
    <w:rsid w:val="00F2114E"/>
    <w:rsid w:val="00F21295"/>
    <w:rsid w:val="00F2198D"/>
    <w:rsid w:val="00F21F2E"/>
    <w:rsid w:val="00F2237A"/>
    <w:rsid w:val="00F224CD"/>
    <w:rsid w:val="00F22539"/>
    <w:rsid w:val="00F226A2"/>
    <w:rsid w:val="00F23070"/>
    <w:rsid w:val="00F23955"/>
    <w:rsid w:val="00F24674"/>
    <w:rsid w:val="00F24B17"/>
    <w:rsid w:val="00F25AFE"/>
    <w:rsid w:val="00F25DEE"/>
    <w:rsid w:val="00F263E2"/>
    <w:rsid w:val="00F26777"/>
    <w:rsid w:val="00F26913"/>
    <w:rsid w:val="00F26A84"/>
    <w:rsid w:val="00F26FCE"/>
    <w:rsid w:val="00F2726A"/>
    <w:rsid w:val="00F2758F"/>
    <w:rsid w:val="00F279DF"/>
    <w:rsid w:val="00F27C30"/>
    <w:rsid w:val="00F27C61"/>
    <w:rsid w:val="00F3208A"/>
    <w:rsid w:val="00F32287"/>
    <w:rsid w:val="00F323B2"/>
    <w:rsid w:val="00F325C7"/>
    <w:rsid w:val="00F327B7"/>
    <w:rsid w:val="00F32BBA"/>
    <w:rsid w:val="00F3379A"/>
    <w:rsid w:val="00F33C67"/>
    <w:rsid w:val="00F33D25"/>
    <w:rsid w:val="00F340A1"/>
    <w:rsid w:val="00F342A1"/>
    <w:rsid w:val="00F34F01"/>
    <w:rsid w:val="00F358CE"/>
    <w:rsid w:val="00F35CE8"/>
    <w:rsid w:val="00F363FB"/>
    <w:rsid w:val="00F40121"/>
    <w:rsid w:val="00F4066E"/>
    <w:rsid w:val="00F406D2"/>
    <w:rsid w:val="00F41014"/>
    <w:rsid w:val="00F429D5"/>
    <w:rsid w:val="00F42CE5"/>
    <w:rsid w:val="00F43DB9"/>
    <w:rsid w:val="00F43EB5"/>
    <w:rsid w:val="00F44E23"/>
    <w:rsid w:val="00F4542D"/>
    <w:rsid w:val="00F45510"/>
    <w:rsid w:val="00F45A48"/>
    <w:rsid w:val="00F460BA"/>
    <w:rsid w:val="00F46396"/>
    <w:rsid w:val="00F46730"/>
    <w:rsid w:val="00F47E8D"/>
    <w:rsid w:val="00F5086B"/>
    <w:rsid w:val="00F5096B"/>
    <w:rsid w:val="00F50C19"/>
    <w:rsid w:val="00F50D65"/>
    <w:rsid w:val="00F50E89"/>
    <w:rsid w:val="00F51252"/>
    <w:rsid w:val="00F51BCB"/>
    <w:rsid w:val="00F52646"/>
    <w:rsid w:val="00F529FF"/>
    <w:rsid w:val="00F52E10"/>
    <w:rsid w:val="00F53177"/>
    <w:rsid w:val="00F534F0"/>
    <w:rsid w:val="00F536B8"/>
    <w:rsid w:val="00F5397C"/>
    <w:rsid w:val="00F53AD3"/>
    <w:rsid w:val="00F54986"/>
    <w:rsid w:val="00F54AE6"/>
    <w:rsid w:val="00F54C05"/>
    <w:rsid w:val="00F568F8"/>
    <w:rsid w:val="00F56A51"/>
    <w:rsid w:val="00F57035"/>
    <w:rsid w:val="00F57259"/>
    <w:rsid w:val="00F601D9"/>
    <w:rsid w:val="00F60CEE"/>
    <w:rsid w:val="00F61605"/>
    <w:rsid w:val="00F61905"/>
    <w:rsid w:val="00F61B2D"/>
    <w:rsid w:val="00F61CE9"/>
    <w:rsid w:val="00F64ED4"/>
    <w:rsid w:val="00F65B2A"/>
    <w:rsid w:val="00F6689E"/>
    <w:rsid w:val="00F66931"/>
    <w:rsid w:val="00F67B11"/>
    <w:rsid w:val="00F67FF4"/>
    <w:rsid w:val="00F71537"/>
    <w:rsid w:val="00F71546"/>
    <w:rsid w:val="00F715A2"/>
    <w:rsid w:val="00F73208"/>
    <w:rsid w:val="00F7376F"/>
    <w:rsid w:val="00F73AAC"/>
    <w:rsid w:val="00F74569"/>
    <w:rsid w:val="00F747DA"/>
    <w:rsid w:val="00F75267"/>
    <w:rsid w:val="00F754E4"/>
    <w:rsid w:val="00F75E6C"/>
    <w:rsid w:val="00F762B1"/>
    <w:rsid w:val="00F76B76"/>
    <w:rsid w:val="00F77392"/>
    <w:rsid w:val="00F8145B"/>
    <w:rsid w:val="00F824A9"/>
    <w:rsid w:val="00F8347C"/>
    <w:rsid w:val="00F83491"/>
    <w:rsid w:val="00F83688"/>
    <w:rsid w:val="00F836E9"/>
    <w:rsid w:val="00F83F79"/>
    <w:rsid w:val="00F842CA"/>
    <w:rsid w:val="00F84A88"/>
    <w:rsid w:val="00F85292"/>
    <w:rsid w:val="00F858D4"/>
    <w:rsid w:val="00F85D6C"/>
    <w:rsid w:val="00F86310"/>
    <w:rsid w:val="00F9082C"/>
    <w:rsid w:val="00F90F47"/>
    <w:rsid w:val="00F91067"/>
    <w:rsid w:val="00F91350"/>
    <w:rsid w:val="00F91850"/>
    <w:rsid w:val="00F91F82"/>
    <w:rsid w:val="00F9266F"/>
    <w:rsid w:val="00F927D1"/>
    <w:rsid w:val="00F931EB"/>
    <w:rsid w:val="00F93218"/>
    <w:rsid w:val="00F94392"/>
    <w:rsid w:val="00F94639"/>
    <w:rsid w:val="00F94908"/>
    <w:rsid w:val="00F94D74"/>
    <w:rsid w:val="00F95359"/>
    <w:rsid w:val="00F9547F"/>
    <w:rsid w:val="00F96678"/>
    <w:rsid w:val="00F97628"/>
    <w:rsid w:val="00F97F41"/>
    <w:rsid w:val="00FA09C6"/>
    <w:rsid w:val="00FA0E9D"/>
    <w:rsid w:val="00FA2402"/>
    <w:rsid w:val="00FA2B72"/>
    <w:rsid w:val="00FA2C01"/>
    <w:rsid w:val="00FA2C29"/>
    <w:rsid w:val="00FA3394"/>
    <w:rsid w:val="00FA3404"/>
    <w:rsid w:val="00FA3A5D"/>
    <w:rsid w:val="00FA4270"/>
    <w:rsid w:val="00FA5F74"/>
    <w:rsid w:val="00FA62AF"/>
    <w:rsid w:val="00FA6DA0"/>
    <w:rsid w:val="00FA6FCD"/>
    <w:rsid w:val="00FA700D"/>
    <w:rsid w:val="00FA71CB"/>
    <w:rsid w:val="00FA723D"/>
    <w:rsid w:val="00FA7A9E"/>
    <w:rsid w:val="00FA7B2B"/>
    <w:rsid w:val="00FB02F4"/>
    <w:rsid w:val="00FB053A"/>
    <w:rsid w:val="00FB084F"/>
    <w:rsid w:val="00FB1A3A"/>
    <w:rsid w:val="00FB1CDF"/>
    <w:rsid w:val="00FB1EC1"/>
    <w:rsid w:val="00FB2348"/>
    <w:rsid w:val="00FB24B6"/>
    <w:rsid w:val="00FB2F3E"/>
    <w:rsid w:val="00FB3B97"/>
    <w:rsid w:val="00FB400E"/>
    <w:rsid w:val="00FB449B"/>
    <w:rsid w:val="00FB44BE"/>
    <w:rsid w:val="00FB4896"/>
    <w:rsid w:val="00FB50B2"/>
    <w:rsid w:val="00FB5332"/>
    <w:rsid w:val="00FB53A9"/>
    <w:rsid w:val="00FB601C"/>
    <w:rsid w:val="00FB6088"/>
    <w:rsid w:val="00FB6F86"/>
    <w:rsid w:val="00FB7D66"/>
    <w:rsid w:val="00FC0FE1"/>
    <w:rsid w:val="00FC1330"/>
    <w:rsid w:val="00FC23A7"/>
    <w:rsid w:val="00FC271F"/>
    <w:rsid w:val="00FC2C49"/>
    <w:rsid w:val="00FC3C25"/>
    <w:rsid w:val="00FC3EC6"/>
    <w:rsid w:val="00FC4073"/>
    <w:rsid w:val="00FC4570"/>
    <w:rsid w:val="00FC459C"/>
    <w:rsid w:val="00FC4DC9"/>
    <w:rsid w:val="00FC5087"/>
    <w:rsid w:val="00FC6428"/>
    <w:rsid w:val="00FC65AF"/>
    <w:rsid w:val="00FC669E"/>
    <w:rsid w:val="00FC7D0E"/>
    <w:rsid w:val="00FD00C1"/>
    <w:rsid w:val="00FD020E"/>
    <w:rsid w:val="00FD0983"/>
    <w:rsid w:val="00FD0A58"/>
    <w:rsid w:val="00FD0B9A"/>
    <w:rsid w:val="00FD0FFE"/>
    <w:rsid w:val="00FD12C8"/>
    <w:rsid w:val="00FD1B74"/>
    <w:rsid w:val="00FD20C8"/>
    <w:rsid w:val="00FD2AB1"/>
    <w:rsid w:val="00FD31DB"/>
    <w:rsid w:val="00FD35A8"/>
    <w:rsid w:val="00FD47FF"/>
    <w:rsid w:val="00FD4A93"/>
    <w:rsid w:val="00FD5E7A"/>
    <w:rsid w:val="00FE02D6"/>
    <w:rsid w:val="00FE03F9"/>
    <w:rsid w:val="00FE077B"/>
    <w:rsid w:val="00FE10C0"/>
    <w:rsid w:val="00FE14F9"/>
    <w:rsid w:val="00FE1B49"/>
    <w:rsid w:val="00FE2D55"/>
    <w:rsid w:val="00FE32C6"/>
    <w:rsid w:val="00FE366F"/>
    <w:rsid w:val="00FE397F"/>
    <w:rsid w:val="00FE48E3"/>
    <w:rsid w:val="00FE6959"/>
    <w:rsid w:val="00FE703F"/>
    <w:rsid w:val="00FE71B4"/>
    <w:rsid w:val="00FE730B"/>
    <w:rsid w:val="00FF0A7F"/>
    <w:rsid w:val="00FF1379"/>
    <w:rsid w:val="00FF14C6"/>
    <w:rsid w:val="00FF26E4"/>
    <w:rsid w:val="00FF344B"/>
    <w:rsid w:val="00FF47FD"/>
    <w:rsid w:val="00FF4A3C"/>
    <w:rsid w:val="00FF61FB"/>
    <w:rsid w:val="00FF6527"/>
    <w:rsid w:val="00FF6940"/>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o:colormenu v:ext="edit" fillcolor="none [3212]"/>
    </o:shapedefaults>
    <o:shapelayout v:ext="edit">
      <o:idmap v:ext="edit" data="1"/>
    </o:shapelayout>
  </w:shapeDefaults>
  <w:decimalSymbol w:val="."/>
  <w:listSeparator w:val=","/>
  <w14:docId w14:val="381325B9"/>
  <w15:docId w15:val="{473D8890-BF2E-4ABA-A035-23AFF2D3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48"/>
    <w:pPr>
      <w:widowControl w:val="0"/>
      <w:tabs>
        <w:tab w:val="left" w:pos="1418"/>
      </w:tabs>
      <w:adjustRightInd w:val="0"/>
      <w:snapToGrid w:val="0"/>
      <w:jc w:val="both"/>
    </w:pPr>
    <w:rPr>
      <w:rFonts w:eastAsia="新細明體"/>
      <w:sz w:val="24"/>
      <w:szCs w:val="24"/>
      <w:lang w:eastAsia="zh-TW"/>
    </w:rPr>
  </w:style>
  <w:style w:type="paragraph" w:styleId="Heading1">
    <w:name w:val="heading 1"/>
    <w:basedOn w:val="Normal"/>
    <w:next w:val="Normal"/>
    <w:link w:val="Heading1Char"/>
    <w:qFormat/>
    <w:rsid w:val="00922E7C"/>
    <w:pPr>
      <w:keepNext/>
      <w:jc w:val="left"/>
      <w:outlineLvl w:val="0"/>
    </w:pPr>
    <w:rPr>
      <w:b/>
      <w:sz w:val="36"/>
    </w:rPr>
  </w:style>
  <w:style w:type="paragraph" w:styleId="Heading2">
    <w:name w:val="heading 2"/>
    <w:basedOn w:val="Normal"/>
    <w:next w:val="Normal"/>
    <w:link w:val="Heading2Char"/>
    <w:qFormat/>
    <w:rsid w:val="00922E7C"/>
    <w:pPr>
      <w:keepNext/>
      <w:jc w:val="left"/>
      <w:outlineLvl w:val="1"/>
    </w:pPr>
    <w:rPr>
      <w:b/>
      <w:sz w:val="28"/>
    </w:rPr>
  </w:style>
  <w:style w:type="paragraph" w:styleId="Heading3">
    <w:name w:val="heading 3"/>
    <w:basedOn w:val="Normal"/>
    <w:next w:val="Normal"/>
    <w:link w:val="Heading3Char"/>
    <w:qFormat/>
    <w:rsid w:val="00922E7C"/>
    <w:pPr>
      <w:keepNext/>
      <w:jc w:val="left"/>
      <w:outlineLvl w:val="2"/>
    </w:pPr>
    <w:rPr>
      <w:b/>
      <w:i/>
    </w:rPr>
  </w:style>
  <w:style w:type="paragraph" w:styleId="Heading4">
    <w:name w:val="heading 4"/>
    <w:basedOn w:val="Normal"/>
    <w:next w:val="Normal"/>
    <w:qFormat/>
    <w:rsid w:val="00922E7C"/>
    <w:pPr>
      <w:keepNext/>
      <w:jc w:val="left"/>
      <w:outlineLvl w:val="3"/>
    </w:pPr>
    <w:rPr>
      <w:i/>
    </w:rPr>
  </w:style>
  <w:style w:type="paragraph" w:styleId="Heading5">
    <w:name w:val="heading 5"/>
    <w:basedOn w:val="BodyText"/>
    <w:next w:val="BodyText5"/>
    <w:qFormat/>
    <w:rsid w:val="00894076"/>
    <w:pPr>
      <w:keepNext/>
      <w:numPr>
        <w:ilvl w:val="4"/>
        <w:numId w:val="11"/>
      </w:numPr>
      <w:tabs>
        <w:tab w:val="clear" w:pos="2977"/>
      </w:tabs>
      <w:spacing w:before="200"/>
      <w:outlineLvl w:val="4"/>
    </w:pPr>
    <w:rPr>
      <w:b/>
    </w:rPr>
  </w:style>
  <w:style w:type="paragraph" w:styleId="Heading6">
    <w:name w:val="heading 6"/>
    <w:basedOn w:val="BodyText"/>
    <w:next w:val="BodyText6"/>
    <w:qFormat/>
    <w:rsid w:val="00894076"/>
    <w:pPr>
      <w:keepNext/>
      <w:numPr>
        <w:ilvl w:val="5"/>
        <w:numId w:val="11"/>
      </w:numPr>
      <w:tabs>
        <w:tab w:val="clear" w:pos="3686"/>
      </w:tabs>
      <w:spacing w:before="200"/>
      <w:outlineLvl w:val="5"/>
    </w:pPr>
    <w:rPr>
      <w:b/>
    </w:rPr>
  </w:style>
  <w:style w:type="paragraph" w:styleId="Heading7">
    <w:name w:val="heading 7"/>
    <w:basedOn w:val="BodyText"/>
    <w:next w:val="BodyText7"/>
    <w:qFormat/>
    <w:rsid w:val="00894076"/>
    <w:pPr>
      <w:keepNext/>
      <w:numPr>
        <w:ilvl w:val="6"/>
        <w:numId w:val="11"/>
      </w:numPr>
      <w:tabs>
        <w:tab w:val="clear" w:pos="4394"/>
      </w:tabs>
      <w:spacing w:before="200"/>
      <w:outlineLvl w:val="6"/>
    </w:pPr>
    <w:rPr>
      <w:b/>
    </w:rPr>
  </w:style>
  <w:style w:type="paragraph" w:styleId="Heading8">
    <w:name w:val="heading 8"/>
    <w:basedOn w:val="Normal"/>
    <w:next w:val="Normal"/>
    <w:uiPriority w:val="99"/>
    <w:semiHidden/>
    <w:qFormat/>
    <w:rsid w:val="009566CD"/>
    <w:pPr>
      <w:spacing w:before="100" w:after="100"/>
      <w:outlineLvl w:val="7"/>
    </w:pPr>
    <w:rPr>
      <w:iCs/>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A57D6B"/>
    <w:pPr>
      <w:numPr>
        <w:numId w:val="4"/>
      </w:numPr>
    </w:pPr>
    <w:rPr>
      <w:rFonts w:eastAsia="Times New Roman"/>
      <w:lang w:eastAsia="en-US"/>
    </w:rPr>
  </w:style>
  <w:style w:type="paragraph" w:customStyle="1" w:styleId="AlphaBrackets">
    <w:name w:val="AlphaBrackets"/>
    <w:basedOn w:val="BodyText"/>
    <w:uiPriority w:val="4"/>
    <w:qFormat/>
    <w:rsid w:val="008768F3"/>
    <w:pPr>
      <w:numPr>
        <w:numId w:val="2"/>
      </w:numPr>
    </w:pPr>
    <w:rPr>
      <w:rFonts w:eastAsia="Times New Roman"/>
      <w:lang w:eastAsia="en-US"/>
    </w:rPr>
  </w:style>
  <w:style w:type="paragraph" w:styleId="Footer">
    <w:name w:val="footer"/>
    <w:basedOn w:val="Normal"/>
    <w:link w:val="FooterChar"/>
    <w:uiPriority w:val="99"/>
    <w:rsid w:val="004935BE"/>
    <w:rPr>
      <w:sz w:val="14"/>
    </w:rPr>
  </w:style>
  <w:style w:type="paragraph" w:styleId="TOC5">
    <w:name w:val="toc 5"/>
    <w:basedOn w:val="Normal"/>
    <w:next w:val="Normal"/>
    <w:uiPriority w:val="39"/>
    <w:semiHidden/>
    <w:rsid w:val="00FA2C29"/>
    <w:pPr>
      <w:tabs>
        <w:tab w:val="left" w:pos="3119"/>
        <w:tab w:val="right" w:leader="dot" w:pos="8789"/>
      </w:tabs>
      <w:ind w:left="3119" w:right="992" w:hanging="567"/>
    </w:pPr>
  </w:style>
  <w:style w:type="paragraph" w:customStyle="1" w:styleId="Numeric">
    <w:name w:val="Numeric"/>
    <w:basedOn w:val="BodyText"/>
    <w:uiPriority w:val="4"/>
    <w:qFormat/>
    <w:rsid w:val="00525F11"/>
    <w:pPr>
      <w:numPr>
        <w:numId w:val="5"/>
      </w:numPr>
    </w:pPr>
    <w:rPr>
      <w:rFonts w:eastAsia="Times New Roman"/>
      <w:lang w:eastAsia="en-US"/>
    </w:rPr>
  </w:style>
  <w:style w:type="paragraph" w:customStyle="1" w:styleId="NumericBrackets">
    <w:name w:val="NumericBrackets"/>
    <w:basedOn w:val="BodyText"/>
    <w:uiPriority w:val="4"/>
    <w:qFormat/>
    <w:rsid w:val="00525F11"/>
    <w:pPr>
      <w:numPr>
        <w:numId w:val="3"/>
      </w:numPr>
    </w:pPr>
    <w:rPr>
      <w:rFonts w:eastAsia="Times New Roman"/>
      <w:lang w:eastAsia="en-US"/>
    </w:rPr>
  </w:style>
  <w:style w:type="paragraph" w:customStyle="1" w:styleId="ScheduleHeading1">
    <w:name w:val="Schedule Heading 1"/>
    <w:basedOn w:val="BodyText"/>
    <w:next w:val="BodyText1"/>
    <w:qFormat/>
    <w:rsid w:val="007C740C"/>
    <w:pPr>
      <w:keepNext/>
      <w:numPr>
        <w:numId w:val="1"/>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1"/>
      </w:numPr>
      <w:spacing w:before="200"/>
      <w:outlineLvl w:val="1"/>
    </w:pPr>
    <w:rPr>
      <w:b/>
    </w:rPr>
  </w:style>
  <w:style w:type="paragraph" w:customStyle="1" w:styleId="ScheduleHeading3">
    <w:name w:val="Schedule Heading 3"/>
    <w:basedOn w:val="BodyText"/>
    <w:next w:val="BodyText3"/>
    <w:qFormat/>
    <w:rsid w:val="007C740C"/>
    <w:pPr>
      <w:keepNext/>
      <w:numPr>
        <w:ilvl w:val="2"/>
        <w:numId w:val="1"/>
      </w:numPr>
      <w:spacing w:before="200"/>
      <w:outlineLvl w:val="2"/>
    </w:pPr>
    <w:rPr>
      <w:b/>
    </w:rPr>
  </w:style>
  <w:style w:type="paragraph" w:styleId="TOC1">
    <w:name w:val="toc 1"/>
    <w:basedOn w:val="BodyText"/>
    <w:next w:val="BodyText"/>
    <w:uiPriority w:val="39"/>
    <w:semiHidden/>
    <w:rsid w:val="00FA2C29"/>
    <w:pPr>
      <w:tabs>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left" w:pos="1134"/>
        <w:tab w:val="right" w:leader="dot" w:pos="8789"/>
      </w:tabs>
      <w:spacing w:before="0" w:after="0"/>
      <w:ind w:left="1985" w:right="992" w:hanging="851"/>
    </w:pPr>
  </w:style>
  <w:style w:type="paragraph" w:styleId="TOC4">
    <w:name w:val="toc 4"/>
    <w:basedOn w:val="BodyText"/>
    <w:next w:val="BodyText"/>
    <w:uiPriority w:val="39"/>
    <w:semiHidden/>
    <w:rsid w:val="00FA2C29"/>
    <w:pPr>
      <w:tabs>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right" w:leader="dot" w:pos="8789"/>
      </w:tabs>
      <w:ind w:left="3686" w:right="992" w:hanging="567"/>
    </w:pPr>
  </w:style>
  <w:style w:type="paragraph" w:styleId="TOC7">
    <w:name w:val="toc 7"/>
    <w:basedOn w:val="Normal"/>
    <w:next w:val="Normal"/>
    <w:uiPriority w:val="39"/>
    <w:semiHidden/>
    <w:rsid w:val="00FA2C29"/>
    <w:pPr>
      <w:tabs>
        <w:tab w:val="left" w:pos="4253"/>
        <w:tab w:val="right" w:leader="dot" w:pos="8789"/>
      </w:tabs>
      <w:ind w:left="4253" w:right="992" w:hanging="567"/>
    </w:pPr>
  </w:style>
  <w:style w:type="paragraph" w:styleId="TOC8">
    <w:name w:val="toc 8"/>
    <w:basedOn w:val="Normal"/>
    <w:next w:val="Normal"/>
    <w:uiPriority w:val="99"/>
    <w:semiHidden/>
    <w:rsid w:val="00FE2D55"/>
  </w:style>
  <w:style w:type="paragraph" w:styleId="TOC9">
    <w:name w:val="toc 9"/>
    <w:basedOn w:val="Normal"/>
    <w:next w:val="Normal"/>
    <w:uiPriority w:val="99"/>
    <w:semiHidden/>
    <w:rsid w:val="00FE2D55"/>
  </w:style>
  <w:style w:type="paragraph" w:customStyle="1" w:styleId="ScheduleHeading4">
    <w:name w:val="Schedule Heading 4"/>
    <w:basedOn w:val="BodyText"/>
    <w:next w:val="BodyText4"/>
    <w:qFormat/>
    <w:rsid w:val="00303B25"/>
    <w:pPr>
      <w:keepNext/>
      <w:numPr>
        <w:ilvl w:val="3"/>
        <w:numId w:val="1"/>
      </w:numPr>
      <w:spacing w:before="200"/>
      <w:outlineLvl w:val="3"/>
    </w:pPr>
    <w:rPr>
      <w:b/>
    </w:rPr>
  </w:style>
  <w:style w:type="character" w:styleId="FootnoteReference">
    <w:name w:val="footnote reference"/>
    <w:aliases w:val="4_G,Footnote Refernece,Footnote Reference Superscript,Footnote Reference in text,FZ,Appel note de bas de p.,BVI fnr,callout,Footnote text"/>
    <w:qFormat/>
    <w:rsid w:val="00922E7C"/>
    <w:rPr>
      <w:rFonts w:ascii="Arial" w:eastAsia="新細明體" w:hAnsi="Arial"/>
      <w:dstrike w:val="0"/>
      <w:sz w:val="18"/>
      <w:szCs w:val="18"/>
      <w:vertAlign w:val="superscript"/>
    </w:rPr>
  </w:style>
  <w:style w:type="paragraph" w:customStyle="1" w:styleId="ScheduleHeading5">
    <w:name w:val="Schedule Heading 5"/>
    <w:basedOn w:val="BodyText"/>
    <w:next w:val="BodyText5"/>
    <w:qFormat/>
    <w:rsid w:val="00303B25"/>
    <w:pPr>
      <w:keepNext/>
      <w:numPr>
        <w:ilvl w:val="4"/>
        <w:numId w:val="1"/>
      </w:numPr>
      <w:spacing w:before="200"/>
      <w:outlineLvl w:val="4"/>
    </w:pPr>
    <w:rPr>
      <w:b/>
    </w:rPr>
  </w:style>
  <w:style w:type="paragraph" w:styleId="Header">
    <w:name w:val="header"/>
    <w:basedOn w:val="Normal"/>
    <w:link w:val="HeaderChar"/>
    <w:uiPriority w:val="39"/>
    <w:semiHidden/>
    <w:rsid w:val="00EA251E"/>
    <w:pPr>
      <w:tabs>
        <w:tab w:val="center" w:pos="4513"/>
        <w:tab w:val="right" w:pos="9026"/>
      </w:tabs>
    </w:pPr>
  </w:style>
  <w:style w:type="paragraph" w:customStyle="1" w:styleId="ScheduleHeading6">
    <w:name w:val="Schedule Heading 6"/>
    <w:basedOn w:val="BodyText"/>
    <w:next w:val="BodyText6"/>
    <w:qFormat/>
    <w:rsid w:val="00303B25"/>
    <w:pPr>
      <w:keepNext/>
      <w:numPr>
        <w:ilvl w:val="5"/>
        <w:numId w:val="1"/>
      </w:numPr>
      <w:spacing w:before="200"/>
      <w:outlineLvl w:val="5"/>
    </w:pPr>
    <w:rPr>
      <w:b/>
    </w:rPr>
  </w:style>
  <w:style w:type="paragraph" w:customStyle="1" w:styleId="ScheduleHeading7">
    <w:name w:val="Schedule Heading 7"/>
    <w:basedOn w:val="BodyText"/>
    <w:next w:val="BodyText7"/>
    <w:qFormat/>
    <w:rsid w:val="007C740C"/>
    <w:pPr>
      <w:keepNext/>
      <w:numPr>
        <w:ilvl w:val="6"/>
        <w:numId w:val="1"/>
      </w:numPr>
      <w:spacing w:before="200"/>
      <w:outlineLvl w:val="6"/>
    </w:pPr>
    <w:rPr>
      <w:b/>
    </w:rPr>
  </w:style>
  <w:style w:type="paragraph" w:styleId="FootnoteText">
    <w:name w:val="footnote text"/>
    <w:basedOn w:val="Normal"/>
    <w:link w:val="FootnoteTextChar"/>
    <w:autoRedefine/>
    <w:uiPriority w:val="99"/>
    <w:rsid w:val="00F83688"/>
    <w:pPr>
      <w:widowControl/>
      <w:tabs>
        <w:tab w:val="clear" w:pos="1418"/>
        <w:tab w:val="left" w:pos="426"/>
      </w:tabs>
      <w:overflowPunct w:val="0"/>
      <w:autoSpaceDE w:val="0"/>
      <w:autoSpaceDN w:val="0"/>
      <w:ind w:left="357" w:hanging="357"/>
      <w:textAlignment w:val="baseline"/>
    </w:pPr>
    <w:rPr>
      <w:spacing w:val="-8"/>
      <w:sz w:val="18"/>
      <w:szCs w:val="18"/>
    </w:rPr>
  </w:style>
  <w:style w:type="paragraph" w:customStyle="1" w:styleId="FootnoteTextContinue">
    <w:name w:val="Footnote Text Continue"/>
    <w:basedOn w:val="Normal"/>
    <w:uiPriority w:val="39"/>
    <w:semiHidden/>
    <w:rsid w:val="00C53A6C"/>
    <w:pPr>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uiPriority w:val="99"/>
    <w:rsid w:val="00CF2AB8"/>
    <w:rPr>
      <w:color w:val="235BA8"/>
      <w:u w:val="single"/>
    </w:rPr>
  </w:style>
  <w:style w:type="paragraph" w:customStyle="1" w:styleId="Para1">
    <w:name w:val="Para 1"/>
    <w:basedOn w:val="Heading1"/>
    <w:qFormat/>
    <w:rsid w:val="00BD1EE6"/>
    <w:pPr>
      <w:keepNext w:val="0"/>
      <w:tabs>
        <w:tab w:val="left" w:pos="709"/>
      </w:tabs>
      <w:spacing w:before="100"/>
    </w:pPr>
    <w:rPr>
      <w:b w:val="0"/>
      <w:caps/>
    </w:rPr>
  </w:style>
  <w:style w:type="paragraph" w:customStyle="1" w:styleId="Para2">
    <w:name w:val="Para 2"/>
    <w:basedOn w:val="Heading2"/>
    <w:qFormat/>
    <w:rsid w:val="00257C06"/>
    <w:pPr>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9"/>
      </w:numPr>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9"/>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6"/>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7"/>
      </w:numPr>
      <w:spacing w:before="200"/>
      <w:jc w:val="center"/>
    </w:pPr>
    <w:rPr>
      <w:b/>
      <w:caps/>
      <w:lang w:eastAsia="en-US"/>
    </w:rPr>
  </w:style>
  <w:style w:type="paragraph" w:customStyle="1" w:styleId="SchedulePart">
    <w:name w:val="Schedule Part"/>
    <w:basedOn w:val="BodyText"/>
    <w:next w:val="BodyText"/>
    <w:qFormat/>
    <w:rsid w:val="00C2606C"/>
    <w:pPr>
      <w:numPr>
        <w:numId w:val="8"/>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uiPriority w:val="39"/>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uiPriority w:val="99"/>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character" w:customStyle="1" w:styleId="Heading1Char">
    <w:name w:val="Heading 1 Char"/>
    <w:link w:val="Heading1"/>
    <w:rsid w:val="00D60535"/>
    <w:rPr>
      <w:rFonts w:eastAsia="新細明體"/>
      <w:b/>
      <w:sz w:val="36"/>
      <w:szCs w:val="24"/>
      <w:lang w:eastAsia="zh-TW"/>
    </w:rPr>
  </w:style>
  <w:style w:type="character" w:customStyle="1" w:styleId="Heading3Char">
    <w:name w:val="Heading 3 Char"/>
    <w:link w:val="Heading3"/>
    <w:rsid w:val="008D4EE7"/>
    <w:rPr>
      <w:rFonts w:eastAsia="新細明體"/>
      <w:b/>
      <w:i/>
      <w:sz w:val="24"/>
      <w:szCs w:val="24"/>
      <w:lang w:eastAsia="zh-TW"/>
    </w:rPr>
  </w:style>
  <w:style w:type="paragraph" w:styleId="ListParagraph">
    <w:name w:val="List Paragraph"/>
    <w:basedOn w:val="Normal"/>
    <w:uiPriority w:val="34"/>
    <w:qFormat/>
    <w:rsid w:val="00C26177"/>
    <w:pPr>
      <w:spacing w:after="160" w:line="259" w:lineRule="auto"/>
      <w:ind w:left="720"/>
      <w:contextualSpacing/>
    </w:pPr>
    <w:rPr>
      <w:rFonts w:eastAsia="MS PGothic" w:cs="Vrinda"/>
      <w:sz w:val="22"/>
      <w:szCs w:val="22"/>
      <w:lang w:val="en-US"/>
    </w:rPr>
  </w:style>
  <w:style w:type="paragraph" w:customStyle="1" w:styleId="Default">
    <w:name w:val="Default"/>
    <w:rsid w:val="00023E5D"/>
    <w:pPr>
      <w:autoSpaceDE w:val="0"/>
      <w:autoSpaceDN w:val="0"/>
      <w:adjustRightInd w:val="0"/>
    </w:pPr>
    <w:rPr>
      <w:rFonts w:cs="Arial"/>
      <w:color w:val="000000"/>
      <w:sz w:val="24"/>
      <w:szCs w:val="24"/>
      <w:lang w:eastAsia="en-GB"/>
    </w:rPr>
  </w:style>
  <w:style w:type="character" w:styleId="CommentReference">
    <w:name w:val="annotation reference"/>
    <w:uiPriority w:val="99"/>
    <w:semiHidden/>
    <w:unhideWhenUsed/>
    <w:rsid w:val="00B16120"/>
    <w:rPr>
      <w:sz w:val="16"/>
      <w:szCs w:val="16"/>
    </w:rPr>
  </w:style>
  <w:style w:type="paragraph" w:styleId="CommentText">
    <w:name w:val="annotation text"/>
    <w:basedOn w:val="Normal"/>
    <w:link w:val="CommentTextChar"/>
    <w:uiPriority w:val="99"/>
    <w:unhideWhenUsed/>
    <w:rsid w:val="00B16120"/>
  </w:style>
  <w:style w:type="character" w:customStyle="1" w:styleId="CommentTextChar">
    <w:name w:val="Comment Text Char"/>
    <w:basedOn w:val="DefaultParagraphFont"/>
    <w:link w:val="CommentText"/>
    <w:uiPriority w:val="99"/>
    <w:rsid w:val="00B16120"/>
  </w:style>
  <w:style w:type="paragraph" w:styleId="CommentSubject">
    <w:name w:val="annotation subject"/>
    <w:basedOn w:val="CommentText"/>
    <w:next w:val="CommentText"/>
    <w:link w:val="CommentSubjectChar"/>
    <w:uiPriority w:val="39"/>
    <w:semiHidden/>
    <w:unhideWhenUsed/>
    <w:rsid w:val="00B16120"/>
    <w:rPr>
      <w:b/>
      <w:bCs/>
    </w:rPr>
  </w:style>
  <w:style w:type="character" w:customStyle="1" w:styleId="CommentSubjectChar">
    <w:name w:val="Comment Subject Char"/>
    <w:link w:val="CommentSubject"/>
    <w:uiPriority w:val="39"/>
    <w:semiHidden/>
    <w:rsid w:val="00B16120"/>
    <w:rPr>
      <w:b/>
      <w:bCs/>
    </w:rPr>
  </w:style>
  <w:style w:type="paragraph" w:styleId="BalloonText">
    <w:name w:val="Balloon Text"/>
    <w:basedOn w:val="Normal"/>
    <w:link w:val="BalloonTextChar"/>
    <w:uiPriority w:val="99"/>
    <w:semiHidden/>
    <w:unhideWhenUsed/>
    <w:rsid w:val="00922E7C"/>
    <w:pPr>
      <w:widowControl/>
      <w:tabs>
        <w:tab w:val="clear" w:pos="1418"/>
      </w:tabs>
      <w:adjustRightInd/>
      <w:snapToGrid/>
      <w:jc w:val="left"/>
    </w:pPr>
    <w:rPr>
      <w:rFonts w:ascii="Cambria" w:hAnsi="Cambria"/>
      <w:sz w:val="16"/>
      <w:szCs w:val="16"/>
      <w:lang w:val="en-US" w:eastAsia="en-US" w:bidi="en-US"/>
    </w:rPr>
  </w:style>
  <w:style w:type="character" w:customStyle="1" w:styleId="BalloonTextChar">
    <w:name w:val="Balloon Text Char"/>
    <w:link w:val="BalloonText"/>
    <w:uiPriority w:val="99"/>
    <w:semiHidden/>
    <w:rsid w:val="00922E7C"/>
    <w:rPr>
      <w:rFonts w:ascii="Cambria" w:eastAsia="新細明體" w:hAnsi="Cambria"/>
      <w:sz w:val="16"/>
      <w:szCs w:val="16"/>
      <w:lang w:val="en-US" w:eastAsia="en-US" w:bidi="en-US"/>
    </w:rPr>
  </w:style>
  <w:style w:type="character" w:customStyle="1" w:styleId="FootnoteTextChar">
    <w:name w:val="Footnote Text Char"/>
    <w:link w:val="FootnoteText"/>
    <w:uiPriority w:val="99"/>
    <w:rsid w:val="00F83688"/>
    <w:rPr>
      <w:rFonts w:eastAsia="新細明體"/>
      <w:spacing w:val="-8"/>
      <w:sz w:val="18"/>
      <w:szCs w:val="18"/>
      <w:lang w:eastAsia="zh-TW"/>
    </w:rPr>
  </w:style>
  <w:style w:type="paragraph" w:customStyle="1" w:styleId="StyleHeading4NotBold">
    <w:name w:val="Style Heading 4 + Not Bold"/>
    <w:basedOn w:val="Heading4"/>
    <w:rsid w:val="00BE1B5C"/>
    <w:pPr>
      <w:keepNext w:val="0"/>
    </w:pPr>
    <w:rPr>
      <w:b/>
    </w:rPr>
  </w:style>
  <w:style w:type="paragraph" w:styleId="BlockText">
    <w:name w:val="Block Text"/>
    <w:basedOn w:val="Normal"/>
    <w:rsid w:val="00922E7C"/>
    <w:pPr>
      <w:ind w:left="720" w:right="720"/>
    </w:pPr>
    <w:rPr>
      <w:i/>
      <w:snapToGrid w:val="0"/>
    </w:rPr>
  </w:style>
  <w:style w:type="paragraph" w:customStyle="1" w:styleId="TableParagraph">
    <w:name w:val="Table Paragraph"/>
    <w:basedOn w:val="Normal"/>
    <w:uiPriority w:val="1"/>
    <w:qFormat/>
    <w:rsid w:val="00307F39"/>
    <w:pPr>
      <w:autoSpaceDE w:val="0"/>
      <w:autoSpaceDN w:val="0"/>
      <w:spacing w:before="115"/>
      <w:ind w:left="107"/>
    </w:pPr>
    <w:rPr>
      <w:rFonts w:eastAsia="MS PGothic" w:cs="Arial"/>
    </w:rPr>
  </w:style>
  <w:style w:type="numbering" w:customStyle="1" w:styleId="Style1">
    <w:name w:val="Style1"/>
    <w:uiPriority w:val="99"/>
    <w:rsid w:val="007A4BC3"/>
    <w:pPr>
      <w:numPr>
        <w:numId w:val="10"/>
      </w:numPr>
    </w:pPr>
  </w:style>
  <w:style w:type="paragraph" w:customStyle="1" w:styleId="Style2">
    <w:name w:val="Style2"/>
    <w:basedOn w:val="Heading2"/>
    <w:uiPriority w:val="6"/>
    <w:qFormat/>
    <w:rsid w:val="00B712DC"/>
  </w:style>
  <w:style w:type="paragraph" w:customStyle="1" w:styleId="StyleHeading2Before6ptAfter6ptLinespacing15l">
    <w:name w:val="Style Heading 2 + Before:  6 pt After:  6 pt Line spacing:  1.5 l..."/>
    <w:basedOn w:val="Heading2"/>
    <w:rsid w:val="008D4EE7"/>
    <w:rPr>
      <w:bCs/>
    </w:rPr>
  </w:style>
  <w:style w:type="paragraph" w:customStyle="1" w:styleId="StyleHeading3Italic">
    <w:name w:val="Style Heading 3 + Italic"/>
    <w:basedOn w:val="Heading3"/>
    <w:rsid w:val="008D4EE7"/>
    <w:pPr>
      <w:keepNext w:val="0"/>
      <w:ind w:left="1560" w:hanging="851"/>
    </w:pPr>
    <w:rPr>
      <w:iCs/>
    </w:rPr>
  </w:style>
  <w:style w:type="paragraph" w:customStyle="1" w:styleId="StyleHeading4Before6ptAfter6ptLinespacing15l">
    <w:name w:val="Style Heading 4 + Before:  6 pt After:  6 pt Line spacing:  1.5 l..."/>
    <w:basedOn w:val="Heading4"/>
    <w:rsid w:val="008D4EE7"/>
    <w:pPr>
      <w:keepNext w:val="0"/>
      <w:spacing w:before="120" w:after="120" w:line="360" w:lineRule="auto"/>
    </w:pPr>
  </w:style>
  <w:style w:type="paragraph" w:styleId="Revision">
    <w:name w:val="Revision"/>
    <w:hidden/>
    <w:uiPriority w:val="99"/>
    <w:semiHidden/>
    <w:rsid w:val="00736D62"/>
    <w:rPr>
      <w:lang w:eastAsia="en-GB"/>
    </w:rPr>
  </w:style>
  <w:style w:type="table" w:customStyle="1" w:styleId="TableGrid1">
    <w:name w:val="Table Grid1"/>
    <w:basedOn w:val="TableNormal"/>
    <w:next w:val="TableGrid"/>
    <w:uiPriority w:val="39"/>
    <w:rsid w:val="00181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legislation1">
    <w:name w:val="Footnote legislation 1"/>
    <w:basedOn w:val="FootnoteText"/>
    <w:rsid w:val="00922E7C"/>
    <w:pPr>
      <w:ind w:left="1440"/>
    </w:pPr>
    <w:rPr>
      <w:i/>
    </w:rPr>
  </w:style>
  <w:style w:type="paragraph" w:customStyle="1" w:styleId="Footnotelegislation2">
    <w:name w:val="Footnote legislation 2"/>
    <w:basedOn w:val="FootnoteText"/>
    <w:rsid w:val="00922E7C"/>
    <w:pPr>
      <w:ind w:left="2160"/>
    </w:pPr>
    <w:rPr>
      <w:i/>
    </w:rPr>
  </w:style>
  <w:style w:type="paragraph" w:customStyle="1" w:styleId="Footnotelegislation3">
    <w:name w:val="Footnote legislation 3"/>
    <w:basedOn w:val="FootnoteText"/>
    <w:rsid w:val="00922E7C"/>
    <w:pPr>
      <w:ind w:left="2880"/>
    </w:pPr>
    <w:rPr>
      <w:i/>
    </w:rPr>
  </w:style>
  <w:style w:type="paragraph" w:customStyle="1" w:styleId="Indent1">
    <w:name w:val="Indent 1"/>
    <w:basedOn w:val="Normal"/>
    <w:rsid w:val="00922E7C"/>
    <w:pPr>
      <w:ind w:left="1440" w:hanging="720"/>
    </w:pPr>
  </w:style>
  <w:style w:type="paragraph" w:customStyle="1" w:styleId="Indent2">
    <w:name w:val="Indent 2"/>
    <w:basedOn w:val="Normal"/>
    <w:rsid w:val="00922E7C"/>
    <w:pPr>
      <w:ind w:left="2160" w:hanging="720"/>
    </w:pPr>
  </w:style>
  <w:style w:type="paragraph" w:customStyle="1" w:styleId="Indent3">
    <w:name w:val="Indent 3"/>
    <w:basedOn w:val="Normal"/>
    <w:rsid w:val="00922E7C"/>
    <w:pPr>
      <w:ind w:left="2880" w:hanging="720"/>
    </w:pPr>
  </w:style>
  <w:style w:type="paragraph" w:customStyle="1" w:styleId="Legislationindent1">
    <w:name w:val="Legislation indent 1"/>
    <w:basedOn w:val="Normal"/>
    <w:rsid w:val="00922E7C"/>
    <w:pPr>
      <w:ind w:left="1440" w:right="720" w:hanging="720"/>
    </w:pPr>
    <w:rPr>
      <w:i/>
    </w:rPr>
  </w:style>
  <w:style w:type="paragraph" w:customStyle="1" w:styleId="Legislationindent2">
    <w:name w:val="Legislation indent 2"/>
    <w:basedOn w:val="Normal"/>
    <w:rsid w:val="00922E7C"/>
    <w:pPr>
      <w:ind w:left="2160" w:right="720" w:hanging="720"/>
    </w:pPr>
    <w:rPr>
      <w:i/>
    </w:rPr>
  </w:style>
  <w:style w:type="paragraph" w:customStyle="1" w:styleId="Legislationindent3">
    <w:name w:val="Legislation indent 3"/>
    <w:basedOn w:val="Normal"/>
    <w:rsid w:val="00922E7C"/>
    <w:pPr>
      <w:ind w:left="2880" w:right="720" w:hanging="720"/>
    </w:pPr>
    <w:rPr>
      <w:i/>
    </w:rPr>
  </w:style>
  <w:style w:type="paragraph" w:customStyle="1" w:styleId="Legislationindent4">
    <w:name w:val="Legislation indent 4"/>
    <w:basedOn w:val="Normal"/>
    <w:rsid w:val="00922E7C"/>
    <w:pPr>
      <w:ind w:left="3600" w:right="720" w:hanging="720"/>
    </w:pPr>
    <w:rPr>
      <w:i/>
    </w:rPr>
  </w:style>
  <w:style w:type="paragraph" w:styleId="List">
    <w:name w:val="List"/>
    <w:basedOn w:val="Normal"/>
    <w:rsid w:val="00922E7C"/>
    <w:pPr>
      <w:numPr>
        <w:numId w:val="12"/>
      </w:numPr>
    </w:pPr>
  </w:style>
  <w:style w:type="paragraph" w:styleId="ListBullet">
    <w:name w:val="List Bullet"/>
    <w:basedOn w:val="Normal"/>
    <w:autoRedefine/>
    <w:rsid w:val="00922E7C"/>
    <w:pPr>
      <w:numPr>
        <w:numId w:val="13"/>
      </w:numPr>
    </w:pPr>
  </w:style>
  <w:style w:type="paragraph" w:customStyle="1" w:styleId="Recommendationindent1">
    <w:name w:val="Recommendation indent 1"/>
    <w:basedOn w:val="Normal"/>
    <w:rsid w:val="00922E7C"/>
    <w:pPr>
      <w:ind w:left="720" w:hanging="720"/>
    </w:pPr>
    <w:rPr>
      <w:b/>
    </w:rPr>
  </w:style>
  <w:style w:type="paragraph" w:customStyle="1" w:styleId="Recommendationindent2">
    <w:name w:val="Recommendation indent 2"/>
    <w:basedOn w:val="Normal"/>
    <w:rsid w:val="00922E7C"/>
    <w:pPr>
      <w:ind w:left="1440" w:hanging="720"/>
    </w:pPr>
    <w:rPr>
      <w:b/>
    </w:rPr>
  </w:style>
  <w:style w:type="paragraph" w:customStyle="1" w:styleId="Recommendationindent3">
    <w:name w:val="Recommendation indent 3"/>
    <w:basedOn w:val="Normal"/>
    <w:rsid w:val="00922E7C"/>
    <w:pPr>
      <w:ind w:left="2160" w:hanging="720"/>
    </w:pPr>
    <w:rPr>
      <w:b/>
    </w:rPr>
  </w:style>
  <w:style w:type="paragraph" w:customStyle="1" w:styleId="Recommendationindent4">
    <w:name w:val="Recommendation indent 4"/>
    <w:basedOn w:val="Recommendationindent3"/>
    <w:rsid w:val="00922E7C"/>
    <w:pPr>
      <w:ind w:left="2880"/>
    </w:pPr>
  </w:style>
  <w:style w:type="character" w:customStyle="1" w:styleId="Heading2Char">
    <w:name w:val="Heading 2 Char"/>
    <w:link w:val="Heading2"/>
    <w:rsid w:val="00922E7C"/>
    <w:rPr>
      <w:rFonts w:eastAsia="新細明體"/>
      <w:b/>
      <w:sz w:val="28"/>
      <w:szCs w:val="24"/>
      <w:lang w:eastAsia="zh-TW"/>
    </w:rPr>
  </w:style>
  <w:style w:type="character" w:customStyle="1" w:styleId="FooterChar">
    <w:name w:val="Footer Char"/>
    <w:link w:val="Footer"/>
    <w:uiPriority w:val="99"/>
    <w:rsid w:val="00922E7C"/>
    <w:rPr>
      <w:rFonts w:eastAsia="新細明體"/>
      <w:sz w:val="14"/>
      <w:szCs w:val="24"/>
      <w:lang w:eastAsia="zh-TW"/>
    </w:rPr>
  </w:style>
  <w:style w:type="paragraph" w:styleId="NormalIndent">
    <w:name w:val="Normal Indent"/>
    <w:basedOn w:val="Normal"/>
    <w:uiPriority w:val="99"/>
    <w:rsid w:val="00922E7C"/>
    <w:pPr>
      <w:ind w:left="480"/>
    </w:pPr>
  </w:style>
  <w:style w:type="paragraph" w:customStyle="1" w:styleId="Normal1">
    <w:name w:val="Normal1"/>
    <w:basedOn w:val="Normal"/>
    <w:next w:val="NormalIndent"/>
    <w:qFormat/>
    <w:rsid w:val="00922E7C"/>
    <w:pPr>
      <w:tabs>
        <w:tab w:val="left" w:pos="720"/>
      </w:tabs>
      <w:spacing w:after="240"/>
      <w:ind w:left="720"/>
    </w:pPr>
    <w:rPr>
      <w:rFonts w:ascii="Times New Roman" w:hAnsi="Times New Roman"/>
    </w:rPr>
  </w:style>
  <w:style w:type="character" w:styleId="FollowedHyperlink">
    <w:name w:val="FollowedHyperlink"/>
    <w:uiPriority w:val="99"/>
    <w:semiHidden/>
    <w:unhideWhenUsed/>
    <w:rsid w:val="00CD6C79"/>
    <w:rPr>
      <w:color w:val="A4A6A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8637">
      <w:bodyDiv w:val="1"/>
      <w:marLeft w:val="0"/>
      <w:marRight w:val="0"/>
      <w:marTop w:val="0"/>
      <w:marBottom w:val="0"/>
      <w:divBdr>
        <w:top w:val="none" w:sz="0" w:space="0" w:color="auto"/>
        <w:left w:val="none" w:sz="0" w:space="0" w:color="auto"/>
        <w:bottom w:val="none" w:sz="0" w:space="0" w:color="auto"/>
        <w:right w:val="none" w:sz="0" w:space="0" w:color="auto"/>
      </w:divBdr>
    </w:div>
    <w:div w:id="119609945">
      <w:bodyDiv w:val="1"/>
      <w:marLeft w:val="0"/>
      <w:marRight w:val="0"/>
      <w:marTop w:val="0"/>
      <w:marBottom w:val="0"/>
      <w:divBdr>
        <w:top w:val="none" w:sz="0" w:space="0" w:color="auto"/>
        <w:left w:val="none" w:sz="0" w:space="0" w:color="auto"/>
        <w:bottom w:val="none" w:sz="0" w:space="0" w:color="auto"/>
        <w:right w:val="none" w:sz="0" w:space="0" w:color="auto"/>
      </w:divBdr>
    </w:div>
    <w:div w:id="214581319">
      <w:bodyDiv w:val="1"/>
      <w:marLeft w:val="0"/>
      <w:marRight w:val="0"/>
      <w:marTop w:val="0"/>
      <w:marBottom w:val="0"/>
      <w:divBdr>
        <w:top w:val="none" w:sz="0" w:space="0" w:color="auto"/>
        <w:left w:val="none" w:sz="0" w:space="0" w:color="auto"/>
        <w:bottom w:val="none" w:sz="0" w:space="0" w:color="auto"/>
        <w:right w:val="none" w:sz="0" w:space="0" w:color="auto"/>
      </w:divBdr>
    </w:div>
    <w:div w:id="289288136">
      <w:bodyDiv w:val="1"/>
      <w:marLeft w:val="0"/>
      <w:marRight w:val="0"/>
      <w:marTop w:val="0"/>
      <w:marBottom w:val="0"/>
      <w:divBdr>
        <w:top w:val="none" w:sz="0" w:space="0" w:color="auto"/>
        <w:left w:val="none" w:sz="0" w:space="0" w:color="auto"/>
        <w:bottom w:val="none" w:sz="0" w:space="0" w:color="auto"/>
        <w:right w:val="none" w:sz="0" w:space="0" w:color="auto"/>
      </w:divBdr>
    </w:div>
    <w:div w:id="336926410">
      <w:bodyDiv w:val="1"/>
      <w:marLeft w:val="0"/>
      <w:marRight w:val="0"/>
      <w:marTop w:val="0"/>
      <w:marBottom w:val="0"/>
      <w:divBdr>
        <w:top w:val="none" w:sz="0" w:space="0" w:color="auto"/>
        <w:left w:val="none" w:sz="0" w:space="0" w:color="auto"/>
        <w:bottom w:val="none" w:sz="0" w:space="0" w:color="auto"/>
        <w:right w:val="none" w:sz="0" w:space="0" w:color="auto"/>
      </w:divBdr>
    </w:div>
    <w:div w:id="581064280">
      <w:bodyDiv w:val="1"/>
      <w:marLeft w:val="0"/>
      <w:marRight w:val="0"/>
      <w:marTop w:val="0"/>
      <w:marBottom w:val="0"/>
      <w:divBdr>
        <w:top w:val="none" w:sz="0" w:space="0" w:color="auto"/>
        <w:left w:val="none" w:sz="0" w:space="0" w:color="auto"/>
        <w:bottom w:val="none" w:sz="0" w:space="0" w:color="auto"/>
        <w:right w:val="none" w:sz="0" w:space="0" w:color="auto"/>
      </w:divBdr>
      <w:divsChild>
        <w:div w:id="332537128">
          <w:marLeft w:val="960"/>
          <w:marRight w:val="0"/>
          <w:marTop w:val="0"/>
          <w:marBottom w:val="0"/>
          <w:divBdr>
            <w:top w:val="none" w:sz="0" w:space="0" w:color="auto"/>
            <w:left w:val="none" w:sz="0" w:space="0" w:color="auto"/>
            <w:bottom w:val="none" w:sz="0" w:space="0" w:color="auto"/>
            <w:right w:val="none" w:sz="0" w:space="0" w:color="auto"/>
          </w:divBdr>
          <w:divsChild>
            <w:div w:id="290212920">
              <w:marLeft w:val="0"/>
              <w:marRight w:val="0"/>
              <w:marTop w:val="0"/>
              <w:marBottom w:val="0"/>
              <w:divBdr>
                <w:top w:val="none" w:sz="0" w:space="0" w:color="auto"/>
                <w:left w:val="none" w:sz="0" w:space="0" w:color="auto"/>
                <w:bottom w:val="none" w:sz="0" w:space="0" w:color="auto"/>
                <w:right w:val="none" w:sz="0" w:space="0" w:color="auto"/>
              </w:divBdr>
            </w:div>
          </w:divsChild>
        </w:div>
        <w:div w:id="658769543">
          <w:marLeft w:val="0"/>
          <w:marRight w:val="0"/>
          <w:marTop w:val="0"/>
          <w:marBottom w:val="80"/>
          <w:divBdr>
            <w:top w:val="none" w:sz="0" w:space="0" w:color="auto"/>
            <w:left w:val="none" w:sz="0" w:space="0" w:color="auto"/>
            <w:bottom w:val="none" w:sz="0" w:space="0" w:color="auto"/>
            <w:right w:val="none" w:sz="0" w:space="0" w:color="auto"/>
          </w:divBdr>
        </w:div>
        <w:div w:id="1325276910">
          <w:marLeft w:val="960"/>
          <w:marRight w:val="0"/>
          <w:marTop w:val="0"/>
          <w:marBottom w:val="80"/>
          <w:divBdr>
            <w:top w:val="none" w:sz="0" w:space="0" w:color="auto"/>
            <w:left w:val="none" w:sz="0" w:space="0" w:color="auto"/>
            <w:bottom w:val="none" w:sz="0" w:space="0" w:color="auto"/>
            <w:right w:val="none" w:sz="0" w:space="0" w:color="auto"/>
          </w:divBdr>
          <w:divsChild>
            <w:div w:id="939530981">
              <w:marLeft w:val="0"/>
              <w:marRight w:val="0"/>
              <w:marTop w:val="0"/>
              <w:marBottom w:val="0"/>
              <w:divBdr>
                <w:top w:val="none" w:sz="0" w:space="0" w:color="auto"/>
                <w:left w:val="none" w:sz="0" w:space="0" w:color="auto"/>
                <w:bottom w:val="none" w:sz="0" w:space="0" w:color="auto"/>
                <w:right w:val="none" w:sz="0" w:space="0" w:color="auto"/>
              </w:divBdr>
            </w:div>
          </w:divsChild>
        </w:div>
        <w:div w:id="1761411090">
          <w:marLeft w:val="960"/>
          <w:marRight w:val="0"/>
          <w:marTop w:val="0"/>
          <w:marBottom w:val="80"/>
          <w:divBdr>
            <w:top w:val="none" w:sz="0" w:space="0" w:color="auto"/>
            <w:left w:val="none" w:sz="0" w:space="0" w:color="auto"/>
            <w:bottom w:val="none" w:sz="0" w:space="0" w:color="auto"/>
            <w:right w:val="none" w:sz="0" w:space="0" w:color="auto"/>
          </w:divBdr>
          <w:divsChild>
            <w:div w:id="1803839821">
              <w:marLeft w:val="0"/>
              <w:marRight w:val="0"/>
              <w:marTop w:val="0"/>
              <w:marBottom w:val="0"/>
              <w:divBdr>
                <w:top w:val="none" w:sz="0" w:space="0" w:color="auto"/>
                <w:left w:val="none" w:sz="0" w:space="0" w:color="auto"/>
                <w:bottom w:val="none" w:sz="0" w:space="0" w:color="auto"/>
                <w:right w:val="none" w:sz="0" w:space="0" w:color="auto"/>
              </w:divBdr>
            </w:div>
          </w:divsChild>
        </w:div>
        <w:div w:id="1989631981">
          <w:marLeft w:val="960"/>
          <w:marRight w:val="0"/>
          <w:marTop w:val="0"/>
          <w:marBottom w:val="80"/>
          <w:divBdr>
            <w:top w:val="none" w:sz="0" w:space="0" w:color="auto"/>
            <w:left w:val="none" w:sz="0" w:space="0" w:color="auto"/>
            <w:bottom w:val="none" w:sz="0" w:space="0" w:color="auto"/>
            <w:right w:val="none" w:sz="0" w:space="0" w:color="auto"/>
          </w:divBdr>
          <w:divsChild>
            <w:div w:id="12042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5626">
      <w:bodyDiv w:val="1"/>
      <w:marLeft w:val="0"/>
      <w:marRight w:val="0"/>
      <w:marTop w:val="0"/>
      <w:marBottom w:val="0"/>
      <w:divBdr>
        <w:top w:val="none" w:sz="0" w:space="0" w:color="auto"/>
        <w:left w:val="none" w:sz="0" w:space="0" w:color="auto"/>
        <w:bottom w:val="none" w:sz="0" w:space="0" w:color="auto"/>
        <w:right w:val="none" w:sz="0" w:space="0" w:color="auto"/>
      </w:divBdr>
      <w:divsChild>
        <w:div w:id="1714963919">
          <w:marLeft w:val="0"/>
          <w:marRight w:val="0"/>
          <w:marTop w:val="100"/>
          <w:marBottom w:val="100"/>
          <w:divBdr>
            <w:top w:val="none" w:sz="0" w:space="0" w:color="auto"/>
            <w:left w:val="none" w:sz="0" w:space="0" w:color="auto"/>
            <w:bottom w:val="none" w:sz="0" w:space="0" w:color="auto"/>
            <w:right w:val="none" w:sz="0" w:space="0" w:color="auto"/>
          </w:divBdr>
          <w:divsChild>
            <w:div w:id="1028137355">
              <w:marLeft w:val="0"/>
              <w:marRight w:val="0"/>
              <w:marTop w:val="0"/>
              <w:marBottom w:val="0"/>
              <w:divBdr>
                <w:top w:val="none" w:sz="0" w:space="0" w:color="auto"/>
                <w:left w:val="none" w:sz="0" w:space="0" w:color="auto"/>
                <w:bottom w:val="none" w:sz="0" w:space="0" w:color="auto"/>
                <w:right w:val="none" w:sz="0" w:space="0" w:color="auto"/>
              </w:divBdr>
              <w:divsChild>
                <w:div w:id="46609376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2262">
      <w:bodyDiv w:val="1"/>
      <w:marLeft w:val="0"/>
      <w:marRight w:val="0"/>
      <w:marTop w:val="0"/>
      <w:marBottom w:val="0"/>
      <w:divBdr>
        <w:top w:val="none" w:sz="0" w:space="0" w:color="auto"/>
        <w:left w:val="none" w:sz="0" w:space="0" w:color="auto"/>
        <w:bottom w:val="none" w:sz="0" w:space="0" w:color="auto"/>
        <w:right w:val="none" w:sz="0" w:space="0" w:color="auto"/>
      </w:divBdr>
    </w:div>
    <w:div w:id="1144355111">
      <w:bodyDiv w:val="1"/>
      <w:marLeft w:val="0"/>
      <w:marRight w:val="0"/>
      <w:marTop w:val="0"/>
      <w:marBottom w:val="0"/>
      <w:divBdr>
        <w:top w:val="none" w:sz="0" w:space="0" w:color="auto"/>
        <w:left w:val="none" w:sz="0" w:space="0" w:color="auto"/>
        <w:bottom w:val="none" w:sz="0" w:space="0" w:color="auto"/>
        <w:right w:val="none" w:sz="0" w:space="0" w:color="auto"/>
      </w:divBdr>
    </w:div>
    <w:div w:id="1462386770">
      <w:bodyDiv w:val="1"/>
      <w:marLeft w:val="0"/>
      <w:marRight w:val="0"/>
      <w:marTop w:val="0"/>
      <w:marBottom w:val="0"/>
      <w:divBdr>
        <w:top w:val="none" w:sz="0" w:space="0" w:color="auto"/>
        <w:left w:val="none" w:sz="0" w:space="0" w:color="auto"/>
        <w:bottom w:val="none" w:sz="0" w:space="0" w:color="auto"/>
        <w:right w:val="none" w:sz="0" w:space="0" w:color="auto"/>
      </w:divBdr>
    </w:div>
    <w:div w:id="2028487009">
      <w:bodyDiv w:val="1"/>
      <w:marLeft w:val="0"/>
      <w:marRight w:val="0"/>
      <w:marTop w:val="0"/>
      <w:marBottom w:val="0"/>
      <w:divBdr>
        <w:top w:val="none" w:sz="0" w:space="0" w:color="auto"/>
        <w:left w:val="none" w:sz="0" w:space="0" w:color="auto"/>
        <w:bottom w:val="none" w:sz="0" w:space="0" w:color="auto"/>
        <w:right w:val="none" w:sz="0" w:space="0" w:color="auto"/>
      </w:divBdr>
    </w:div>
    <w:div w:id="20298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tlau2\AppData\Roaming\Microsoft\Templates\LRC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66041-CC93-4D52-A5BA-46E7509C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LRCstyle</Template>
  <TotalTime>1328</TotalTime>
  <Pages>19</Pages>
  <Words>11300</Words>
  <Characters>64415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Cheuk</dc:creator>
  <cp:keywords/>
  <dc:description/>
  <cp:lastModifiedBy>Cindy Cheuk</cp:lastModifiedBy>
  <cp:revision>22</cp:revision>
  <cp:lastPrinted>2024-07-10T06:19:00Z</cp:lastPrinted>
  <dcterms:created xsi:type="dcterms:W3CDTF">2024-07-09T08:42:00Z</dcterms:created>
  <dcterms:modified xsi:type="dcterms:W3CDTF">2025-11-25T02:30:00Z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