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2FFE" w14:textId="559517D3" w:rsidR="00DA14F8" w:rsidRPr="005E2F7B" w:rsidRDefault="00DA14F8" w:rsidP="00DA14F8">
      <w:pPr>
        <w:pStyle w:val="NormalWeb"/>
        <w:shd w:val="clear" w:color="auto" w:fill="FFFFFF"/>
        <w:jc w:val="both"/>
        <w:rPr>
          <w:rFonts w:ascii="新細明體" w:eastAsia="新細明體" w:hAnsi="新細明體" w:cs="新細明體"/>
          <w:b/>
          <w:bCs/>
          <w:color w:val="000000"/>
          <w:sz w:val="27"/>
          <w:szCs w:val="27"/>
        </w:rPr>
      </w:pPr>
      <w:r w:rsidRPr="00632CFF">
        <w:rPr>
          <w:rFonts w:ascii="Arial" w:eastAsiaTheme="minorEastAsia" w:hAnsi="Arial" w:cs="Arial"/>
          <w:b/>
          <w:bCs/>
          <w:sz w:val="27"/>
          <w:szCs w:val="27"/>
        </w:rPr>
        <w:t>LRC issues report on Cyber</w:t>
      </w:r>
      <w:r w:rsidRPr="00632CFF">
        <w:rPr>
          <w:rFonts w:ascii="Arial" w:hAnsi="Arial" w:cs="Arial"/>
          <w:b/>
          <w:bCs/>
          <w:sz w:val="27"/>
          <w:szCs w:val="27"/>
        </w:rPr>
        <w:t xml:space="preserve">-Dependent </w:t>
      </w:r>
      <w:r w:rsidRPr="00FD702B">
        <w:rPr>
          <w:rFonts w:ascii="Arial" w:hAnsi="Arial" w:cs="Arial"/>
          <w:b/>
          <w:bCs/>
          <w:color w:val="000000"/>
          <w:sz w:val="27"/>
          <w:szCs w:val="27"/>
        </w:rPr>
        <w:t>Crimes and Jurisdictional Issues</w:t>
      </w:r>
    </w:p>
    <w:p w14:paraId="3BA43E9B" w14:textId="1C946EE6" w:rsidR="00DA14F8" w:rsidRPr="00D8040A" w:rsidRDefault="00DA14F8" w:rsidP="00DA14F8">
      <w:pPr>
        <w:pStyle w:val="NormalWeb"/>
        <w:shd w:val="clear" w:color="auto" w:fill="FFFFFF"/>
        <w:jc w:val="both"/>
        <w:rPr>
          <w:rFonts w:ascii="Arial" w:hAnsi="Arial" w:cs="Arial"/>
          <w:color w:val="000000"/>
          <w:sz w:val="27"/>
          <w:szCs w:val="27"/>
        </w:rPr>
      </w:pPr>
      <w:r>
        <w:rPr>
          <w:rFonts w:ascii="Arial" w:hAnsi="Arial" w:cs="Arial"/>
          <w:color w:val="000000"/>
          <w:sz w:val="27"/>
          <w:szCs w:val="27"/>
        </w:rPr>
        <w:t xml:space="preserve">The Law Reform Commission of Hong Kong (LRC) today (January 9) published a report on Cyber-Dependent Crimes and Jurisdictional Issues, recommending the introduction of a new piece of bespoke legislation on cybercrime to cover five types of cyber-dependent crimes, i.e. </w:t>
      </w:r>
      <w:r w:rsidRPr="00FD702B">
        <w:rPr>
          <w:rFonts w:ascii="Arial" w:hAnsi="Arial" w:cs="Arial"/>
          <w:sz w:val="27"/>
          <w:szCs w:val="27"/>
        </w:rPr>
        <w:t>crimes that can be committed only through the use of information and communications technology devices, w</w:t>
      </w:r>
      <w:r w:rsidRPr="00D8040A">
        <w:rPr>
          <w:rFonts w:ascii="Arial" w:hAnsi="Arial" w:cs="Arial"/>
          <w:sz w:val="27"/>
          <w:szCs w:val="27"/>
        </w:rPr>
        <w:t xml:space="preserve">here such devices are both the tool for committing the crimes and the target of the crimes. The report represents the first part of the LRC’s study on cybercrime on which </w:t>
      </w:r>
      <w:r w:rsidRPr="00D8040A">
        <w:rPr>
          <w:rFonts w:ascii="Arial" w:eastAsiaTheme="minorEastAsia" w:hAnsi="Arial" w:cs="Arial" w:hint="eastAsia"/>
          <w:color w:val="000000"/>
          <w:sz w:val="27"/>
          <w:szCs w:val="27"/>
        </w:rPr>
        <w:t>the LRC</w:t>
      </w:r>
      <w:r w:rsidRPr="00D8040A">
        <w:rPr>
          <w:rFonts w:ascii="Arial" w:eastAsiaTheme="minorEastAsia" w:hAnsi="Arial" w:cs="Arial"/>
          <w:color w:val="000000"/>
          <w:sz w:val="27"/>
          <w:szCs w:val="27"/>
        </w:rPr>
        <w:t>’s Cybercrime Sub-committee issued a consultation paper in July 2022.</w:t>
      </w:r>
    </w:p>
    <w:p w14:paraId="270296DA" w14:textId="056F30FE" w:rsidR="00DA14F8" w:rsidRPr="00D8040A" w:rsidRDefault="00DA14F8" w:rsidP="00DA14F8">
      <w:pPr>
        <w:pStyle w:val="NormalWeb"/>
        <w:shd w:val="clear" w:color="auto" w:fill="FFFFFF"/>
        <w:jc w:val="both"/>
        <w:rPr>
          <w:rFonts w:ascii="Arial" w:eastAsiaTheme="minorEastAsia" w:hAnsi="Arial" w:cs="Arial"/>
          <w:color w:val="000000"/>
          <w:sz w:val="27"/>
          <w:szCs w:val="27"/>
        </w:rPr>
      </w:pPr>
      <w:r w:rsidRPr="00D8040A">
        <w:rPr>
          <w:rFonts w:ascii="Arial" w:hAnsi="Arial" w:cs="Arial"/>
          <w:sz w:val="27"/>
          <w:szCs w:val="27"/>
        </w:rPr>
        <w:t xml:space="preserve">The five cyber-dependent crimes are illegal access to program or data, illegal interception of computer data, illegal interference with computer data, illegal interference with computer system, and making available a device, program or data for committing a cyber-related crime (or possessing such device, program or data for the purpose of making it available). </w:t>
      </w:r>
      <w:r w:rsidRPr="00D8040A">
        <w:rPr>
          <w:rFonts w:ascii="Arial" w:eastAsiaTheme="minorEastAsia" w:hAnsi="Arial" w:cs="Arial"/>
          <w:color w:val="000000"/>
          <w:sz w:val="27"/>
          <w:szCs w:val="27"/>
        </w:rPr>
        <w:t xml:space="preserve">The Sub-committee, chaired by </w:t>
      </w:r>
      <w:proofErr w:type="spellStart"/>
      <w:r>
        <w:rPr>
          <w:rFonts w:ascii="Arial" w:eastAsiaTheme="minorEastAsia" w:hAnsi="Arial" w:cs="Arial"/>
          <w:color w:val="000000"/>
          <w:sz w:val="27"/>
          <w:szCs w:val="27"/>
        </w:rPr>
        <w:t>Mr</w:t>
      </w:r>
      <w:proofErr w:type="spellEnd"/>
      <w:r>
        <w:rPr>
          <w:rFonts w:ascii="Arial" w:eastAsiaTheme="minorEastAsia" w:hAnsi="Arial" w:cs="Arial"/>
          <w:color w:val="000000"/>
          <w:sz w:val="27"/>
          <w:szCs w:val="27"/>
        </w:rPr>
        <w:t xml:space="preserve"> </w:t>
      </w:r>
      <w:r w:rsidRPr="00D8040A">
        <w:rPr>
          <w:rFonts w:ascii="Arial" w:eastAsiaTheme="minorEastAsia" w:hAnsi="Arial" w:cs="Arial"/>
          <w:color w:val="000000"/>
          <w:sz w:val="27"/>
          <w:szCs w:val="27"/>
        </w:rPr>
        <w:t xml:space="preserve">Derek Chan, SC, has studied the current laws in Hong Kong and the corresponding legislation in a number of other jurisdictions, namely </w:t>
      </w:r>
      <w:r w:rsidRPr="00D8040A">
        <w:rPr>
          <w:rFonts w:ascii="Arial" w:hAnsi="Arial" w:cs="Arial"/>
          <w:color w:val="000000"/>
          <w:sz w:val="27"/>
          <w:szCs w:val="27"/>
        </w:rPr>
        <w:t xml:space="preserve">Australia, Canada, England and Wales, </w:t>
      </w:r>
      <w:r w:rsidRPr="000B0DBA">
        <w:rPr>
          <w:rFonts w:ascii="Arial" w:hAnsi="Arial" w:cs="Arial"/>
          <w:color w:val="000000"/>
          <w:sz w:val="27"/>
          <w:szCs w:val="27"/>
        </w:rPr>
        <w:t>Chinese Mainland, N</w:t>
      </w:r>
      <w:r w:rsidRPr="00D8040A">
        <w:rPr>
          <w:rFonts w:ascii="Arial" w:hAnsi="Arial" w:cs="Arial"/>
          <w:color w:val="000000"/>
          <w:sz w:val="27"/>
          <w:szCs w:val="27"/>
        </w:rPr>
        <w:t>ew Zealand, Singapore and the United States of America.</w:t>
      </w:r>
    </w:p>
    <w:p w14:paraId="2961FB2B" w14:textId="15B74609" w:rsidR="00DA14F8" w:rsidRPr="00D8040A" w:rsidRDefault="00DA14F8" w:rsidP="00DA14F8">
      <w:pPr>
        <w:pStyle w:val="NormalWeb"/>
        <w:shd w:val="clear" w:color="auto" w:fill="FFFFFF"/>
        <w:jc w:val="both"/>
        <w:rPr>
          <w:rFonts w:ascii="Arial" w:hAnsi="Arial" w:cs="Arial"/>
          <w:color w:val="000000"/>
          <w:sz w:val="27"/>
          <w:szCs w:val="27"/>
        </w:rPr>
      </w:pPr>
      <w:r w:rsidRPr="00D8040A">
        <w:rPr>
          <w:rFonts w:ascii="Arial" w:hAnsi="Arial" w:cs="Arial"/>
          <w:color w:val="000000"/>
          <w:sz w:val="27"/>
          <w:szCs w:val="27"/>
        </w:rPr>
        <w:t>At present, different computer-related offences are covered in the Crimes Ordinance (Cap 200) (CO) and the Telecommunications Ordinance (Cap 106)</w:t>
      </w:r>
      <w:r>
        <w:rPr>
          <w:rFonts w:ascii="Arial" w:hAnsi="Arial" w:cs="Arial"/>
          <w:color w:val="000000"/>
          <w:sz w:val="27"/>
          <w:szCs w:val="27"/>
        </w:rPr>
        <w:t xml:space="preserve"> (TO)</w:t>
      </w:r>
      <w:r w:rsidRPr="00D8040A">
        <w:rPr>
          <w:rFonts w:ascii="Arial" w:hAnsi="Arial" w:cs="Arial"/>
          <w:color w:val="000000"/>
          <w:sz w:val="27"/>
          <w:szCs w:val="27"/>
        </w:rPr>
        <w:t>, and some are outdated. This is unlike other jurisdictions mentioned above, which have all provided for the five cyber-dependent crimes and their related jurisdictional issues either by enacting bespoke cybercrime legislation, or dedicating a part of their codified law to cybercrime.</w:t>
      </w:r>
    </w:p>
    <w:p w14:paraId="2EED6F86" w14:textId="6FEFA2EC" w:rsidR="00DA14F8" w:rsidRPr="00D8040A" w:rsidRDefault="002278E1" w:rsidP="00DA14F8">
      <w:pPr>
        <w:jc w:val="both"/>
        <w:rPr>
          <w:rFonts w:ascii="Arial" w:hAnsi="Arial" w:cs="Arial"/>
          <w:color w:val="000000"/>
          <w:sz w:val="27"/>
          <w:szCs w:val="27"/>
        </w:rPr>
      </w:pPr>
      <w:r>
        <w:rPr>
          <w:rFonts w:ascii="Arial" w:hAnsi="Arial" w:cs="Arial"/>
          <w:sz w:val="27"/>
          <w:szCs w:val="27"/>
        </w:rPr>
        <w:t>T</w:t>
      </w:r>
      <w:r w:rsidR="00DA14F8" w:rsidRPr="00D8040A">
        <w:rPr>
          <w:rFonts w:ascii="Arial" w:hAnsi="Arial" w:cs="Arial"/>
          <w:sz w:val="27"/>
          <w:szCs w:val="27"/>
        </w:rPr>
        <w:t>he responses to the consultation paper have been taken into account</w:t>
      </w:r>
      <w:r w:rsidR="00DA14F8">
        <w:rPr>
          <w:rFonts w:ascii="Arial" w:hAnsi="Arial" w:cs="Arial"/>
          <w:sz w:val="27"/>
          <w:szCs w:val="27"/>
        </w:rPr>
        <w:t xml:space="preserve"> by the </w:t>
      </w:r>
      <w:r>
        <w:rPr>
          <w:rFonts w:ascii="Arial" w:hAnsi="Arial" w:cs="Arial"/>
          <w:sz w:val="27"/>
          <w:szCs w:val="27"/>
        </w:rPr>
        <w:t>LRC in formulating the final recommendations in the report</w:t>
      </w:r>
      <w:r w:rsidR="00DA14F8" w:rsidRPr="00D8040A">
        <w:rPr>
          <w:rFonts w:ascii="Arial" w:hAnsi="Arial" w:cs="Arial"/>
          <w:sz w:val="27"/>
          <w:szCs w:val="27"/>
        </w:rPr>
        <w:t xml:space="preserve">. </w:t>
      </w:r>
      <w:r w:rsidR="00DA14F8" w:rsidRPr="00D8040A">
        <w:rPr>
          <w:rFonts w:ascii="Arial" w:hAnsi="Arial" w:cs="Arial"/>
          <w:color w:val="000000"/>
          <w:sz w:val="27"/>
          <w:szCs w:val="27"/>
        </w:rPr>
        <w:t xml:space="preserve">The LRC </w:t>
      </w:r>
      <w:r w:rsidR="00DA14F8">
        <w:rPr>
          <w:rFonts w:ascii="Arial" w:hAnsi="Arial" w:cs="Arial"/>
          <w:color w:val="000000"/>
          <w:sz w:val="27"/>
          <w:szCs w:val="27"/>
        </w:rPr>
        <w:t xml:space="preserve">has </w:t>
      </w:r>
      <w:r w:rsidR="00DA14F8" w:rsidRPr="00D8040A">
        <w:rPr>
          <w:rFonts w:ascii="Arial" w:hAnsi="Arial" w:cs="Arial"/>
          <w:color w:val="000000"/>
          <w:sz w:val="27"/>
          <w:szCs w:val="27"/>
        </w:rPr>
        <w:t>further observ</w:t>
      </w:r>
      <w:r w:rsidR="003951D8">
        <w:rPr>
          <w:rFonts w:ascii="Arial" w:hAnsi="Arial" w:cs="Arial"/>
          <w:color w:val="000000"/>
          <w:sz w:val="27"/>
          <w:szCs w:val="27"/>
        </w:rPr>
        <w:t>e</w:t>
      </w:r>
      <w:r w:rsidR="00DA14F8">
        <w:rPr>
          <w:rFonts w:ascii="Arial" w:hAnsi="Arial" w:cs="Arial"/>
          <w:color w:val="000000"/>
          <w:sz w:val="27"/>
          <w:szCs w:val="27"/>
        </w:rPr>
        <w:t>d</w:t>
      </w:r>
      <w:r w:rsidR="00DA14F8" w:rsidRPr="00D8040A">
        <w:rPr>
          <w:rFonts w:ascii="Arial" w:hAnsi="Arial" w:cs="Arial"/>
          <w:color w:val="000000"/>
          <w:sz w:val="27"/>
          <w:szCs w:val="27"/>
        </w:rPr>
        <w:t xml:space="preserve"> the guiding principles of balancing the rights of netizens and the interests of persons in the information technology industry against the need to protect the public’s interest and right not to be disturbed or attacked when using or operating their computer system.</w:t>
      </w:r>
    </w:p>
    <w:p w14:paraId="65DC256B" w14:textId="77777777" w:rsidR="00DA14F8" w:rsidRPr="00D8040A" w:rsidRDefault="00DA14F8" w:rsidP="00DA14F8">
      <w:pPr>
        <w:jc w:val="both"/>
        <w:rPr>
          <w:rFonts w:ascii="Arial" w:hAnsi="Arial" w:cs="Arial"/>
          <w:sz w:val="27"/>
          <w:szCs w:val="27"/>
        </w:rPr>
      </w:pPr>
    </w:p>
    <w:p w14:paraId="49946D7C" w14:textId="77777777" w:rsidR="00DA14F8" w:rsidRPr="00D8040A" w:rsidRDefault="00DA14F8" w:rsidP="00DA14F8">
      <w:pPr>
        <w:jc w:val="both"/>
        <w:rPr>
          <w:rFonts w:ascii="Arial" w:hAnsi="Arial" w:cs="Arial"/>
          <w:sz w:val="27"/>
          <w:szCs w:val="27"/>
        </w:rPr>
      </w:pPr>
      <w:r w:rsidRPr="00D8040A">
        <w:rPr>
          <w:rFonts w:ascii="Arial" w:hAnsi="Arial" w:cs="Arial"/>
          <w:sz w:val="27"/>
          <w:szCs w:val="27"/>
        </w:rPr>
        <w:t>Some of the main final recommendations in the report are:</w:t>
      </w:r>
    </w:p>
    <w:p w14:paraId="5E39124D" w14:textId="77777777" w:rsidR="00DA14F8" w:rsidRPr="00D8040A" w:rsidRDefault="00DA14F8" w:rsidP="00DA14F8">
      <w:pPr>
        <w:rPr>
          <w:rFonts w:ascii="Arial" w:hAnsi="Arial" w:cs="Arial"/>
          <w:sz w:val="27"/>
          <w:szCs w:val="27"/>
        </w:rPr>
      </w:pPr>
    </w:p>
    <w:p w14:paraId="4E7FEF29" w14:textId="203A36B8" w:rsidR="00DA14F8" w:rsidRPr="00D8040A" w:rsidRDefault="00DA14F8" w:rsidP="00DA14F8">
      <w:pPr>
        <w:pStyle w:val="ListParagraph"/>
        <w:numPr>
          <w:ilvl w:val="0"/>
          <w:numId w:val="1"/>
        </w:numPr>
        <w:ind w:leftChars="0"/>
        <w:jc w:val="both"/>
        <w:rPr>
          <w:rFonts w:ascii="Arial" w:hAnsi="Arial" w:cs="Arial"/>
          <w:sz w:val="27"/>
          <w:szCs w:val="27"/>
        </w:rPr>
      </w:pPr>
      <w:proofErr w:type="spellStart"/>
      <w:r w:rsidRPr="00D8040A">
        <w:rPr>
          <w:rFonts w:ascii="Arial" w:hAnsi="Arial" w:cs="Arial"/>
          <w:sz w:val="27"/>
          <w:szCs w:val="27"/>
        </w:rPr>
        <w:lastRenderedPageBreak/>
        <w:t>Unauthorised</w:t>
      </w:r>
      <w:proofErr w:type="spellEnd"/>
      <w:r w:rsidRPr="00D8040A">
        <w:rPr>
          <w:rFonts w:ascii="Arial" w:hAnsi="Arial" w:cs="Arial"/>
          <w:sz w:val="27"/>
          <w:szCs w:val="27"/>
        </w:rPr>
        <w:t xml:space="preserve"> access to program or data without lawful authority should be a summary offence (Access Offence). The defendant’s knowledge that the access is </w:t>
      </w:r>
      <w:proofErr w:type="spellStart"/>
      <w:r w:rsidRPr="00D8040A">
        <w:rPr>
          <w:rFonts w:ascii="Arial" w:hAnsi="Arial" w:cs="Arial"/>
          <w:sz w:val="27"/>
          <w:szCs w:val="27"/>
        </w:rPr>
        <w:t>unauthorised</w:t>
      </w:r>
      <w:proofErr w:type="spellEnd"/>
      <w:r w:rsidRPr="00D8040A">
        <w:rPr>
          <w:rFonts w:ascii="Arial" w:hAnsi="Arial" w:cs="Arial"/>
          <w:sz w:val="27"/>
          <w:szCs w:val="27"/>
        </w:rPr>
        <w:t xml:space="preserve"> is one of the key mental elements of this offence. An aggravated form of offence arises if the </w:t>
      </w:r>
      <w:proofErr w:type="spellStart"/>
      <w:r w:rsidRPr="00D8040A">
        <w:rPr>
          <w:rFonts w:ascii="Arial" w:hAnsi="Arial" w:cs="Arial"/>
          <w:sz w:val="27"/>
          <w:szCs w:val="27"/>
        </w:rPr>
        <w:t>unauthorised</w:t>
      </w:r>
      <w:proofErr w:type="spellEnd"/>
      <w:r w:rsidRPr="00D8040A">
        <w:rPr>
          <w:rFonts w:ascii="Arial" w:hAnsi="Arial" w:cs="Arial"/>
          <w:sz w:val="27"/>
          <w:szCs w:val="27"/>
        </w:rPr>
        <w:t xml:space="preserve"> access is accompanied by an intent to carry out further criminal activity. Apart from a general </w:t>
      </w:r>
      <w:proofErr w:type="spellStart"/>
      <w:r w:rsidRPr="00D8040A">
        <w:rPr>
          <w:rFonts w:ascii="Arial" w:hAnsi="Arial" w:cs="Arial"/>
          <w:sz w:val="27"/>
          <w:szCs w:val="27"/>
        </w:rPr>
        <w:t>defence</w:t>
      </w:r>
      <w:proofErr w:type="spellEnd"/>
      <w:r w:rsidRPr="00D8040A">
        <w:rPr>
          <w:rFonts w:ascii="Arial" w:hAnsi="Arial" w:cs="Arial"/>
          <w:sz w:val="27"/>
          <w:szCs w:val="27"/>
        </w:rPr>
        <w:t xml:space="preserve"> of reasonable excuse, specific </w:t>
      </w:r>
      <w:proofErr w:type="spellStart"/>
      <w:r w:rsidRPr="00D8040A">
        <w:rPr>
          <w:rFonts w:ascii="Arial" w:hAnsi="Arial" w:cs="Arial"/>
          <w:sz w:val="27"/>
          <w:szCs w:val="27"/>
        </w:rPr>
        <w:t>defences</w:t>
      </w:r>
      <w:proofErr w:type="spellEnd"/>
      <w:r w:rsidRPr="00D8040A">
        <w:rPr>
          <w:rFonts w:ascii="Arial" w:hAnsi="Arial" w:cs="Arial"/>
          <w:sz w:val="27"/>
          <w:szCs w:val="27"/>
        </w:rPr>
        <w:t xml:space="preserve"> are recommended to </w:t>
      </w:r>
      <w:r>
        <w:rPr>
          <w:rFonts w:ascii="Arial" w:hAnsi="Arial" w:cs="Arial"/>
          <w:sz w:val="27"/>
          <w:szCs w:val="27"/>
        </w:rPr>
        <w:t>permit</w:t>
      </w:r>
      <w:r w:rsidRPr="00D8040A">
        <w:rPr>
          <w:rFonts w:ascii="Arial" w:hAnsi="Arial" w:cs="Arial"/>
          <w:sz w:val="27"/>
          <w:szCs w:val="27"/>
        </w:rPr>
        <w:t xml:space="preserve"> </w:t>
      </w:r>
      <w:proofErr w:type="spellStart"/>
      <w:r w:rsidRPr="00D8040A">
        <w:rPr>
          <w:rFonts w:ascii="Arial" w:hAnsi="Arial" w:cs="Arial"/>
          <w:sz w:val="27"/>
          <w:szCs w:val="27"/>
        </w:rPr>
        <w:t>unauthorised</w:t>
      </w:r>
      <w:proofErr w:type="spellEnd"/>
      <w:r w:rsidRPr="00D8040A">
        <w:rPr>
          <w:rFonts w:ascii="Arial" w:hAnsi="Arial" w:cs="Arial"/>
          <w:sz w:val="27"/>
          <w:szCs w:val="27"/>
        </w:rPr>
        <w:t xml:space="preserve"> access made for a range of </w:t>
      </w:r>
      <w:r>
        <w:rPr>
          <w:rFonts w:ascii="Arial" w:hAnsi="Arial" w:cs="Arial"/>
          <w:sz w:val="27"/>
          <w:szCs w:val="27"/>
        </w:rPr>
        <w:t xml:space="preserve">specific </w:t>
      </w:r>
      <w:r w:rsidRPr="00D8040A">
        <w:rPr>
          <w:rFonts w:ascii="Arial" w:hAnsi="Arial" w:cs="Arial"/>
          <w:sz w:val="27"/>
          <w:szCs w:val="27"/>
        </w:rPr>
        <w:t>purposes, including cybersecurity purposes, the protection of the interests of vulnerable persons</w:t>
      </w:r>
      <w:r>
        <w:rPr>
          <w:rFonts w:ascii="Arial" w:hAnsi="Arial" w:cs="Arial"/>
          <w:sz w:val="27"/>
          <w:szCs w:val="27"/>
        </w:rPr>
        <w:t xml:space="preserve"> (i.e. children under 16 and mentally incapacitated persons)</w:t>
      </w:r>
      <w:r w:rsidRPr="00D8040A">
        <w:rPr>
          <w:rFonts w:ascii="Arial" w:hAnsi="Arial" w:cs="Arial"/>
          <w:sz w:val="27"/>
          <w:szCs w:val="27"/>
        </w:rPr>
        <w:t>,</w:t>
      </w:r>
      <w:r>
        <w:rPr>
          <w:rFonts w:ascii="Arial" w:hAnsi="Arial" w:cs="Arial"/>
          <w:sz w:val="27"/>
          <w:szCs w:val="27"/>
        </w:rPr>
        <w:t xml:space="preserve"> </w:t>
      </w:r>
      <w:r w:rsidRPr="00D8040A">
        <w:rPr>
          <w:rFonts w:ascii="Arial" w:hAnsi="Arial" w:cs="Arial"/>
          <w:sz w:val="27"/>
          <w:szCs w:val="27"/>
        </w:rPr>
        <w:t>as well as genuine educational, scientific and research purposes.</w:t>
      </w:r>
    </w:p>
    <w:p w14:paraId="1D06D3E9" w14:textId="77777777" w:rsidR="00DA14F8" w:rsidRPr="00D8040A" w:rsidRDefault="00DA14F8" w:rsidP="00DA14F8">
      <w:pPr>
        <w:pStyle w:val="ListParagraph"/>
        <w:ind w:leftChars="0" w:left="720"/>
        <w:jc w:val="both"/>
        <w:rPr>
          <w:rFonts w:ascii="Arial" w:hAnsi="Arial" w:cs="Arial"/>
          <w:sz w:val="27"/>
          <w:szCs w:val="27"/>
        </w:rPr>
      </w:pPr>
    </w:p>
    <w:p w14:paraId="29FC4738" w14:textId="21AF090E" w:rsidR="00DA14F8" w:rsidRPr="00D8040A" w:rsidRDefault="00DA14F8" w:rsidP="00DA14F8">
      <w:pPr>
        <w:pStyle w:val="ListParagraph"/>
        <w:numPr>
          <w:ilvl w:val="0"/>
          <w:numId w:val="1"/>
        </w:numPr>
        <w:ind w:leftChars="0"/>
        <w:jc w:val="both"/>
        <w:rPr>
          <w:rFonts w:ascii="Arial" w:hAnsi="Arial" w:cs="Arial"/>
          <w:sz w:val="27"/>
          <w:szCs w:val="27"/>
        </w:rPr>
      </w:pPr>
      <w:proofErr w:type="spellStart"/>
      <w:r w:rsidRPr="00D8040A">
        <w:rPr>
          <w:rFonts w:ascii="Arial" w:hAnsi="Arial" w:cs="Arial"/>
          <w:sz w:val="27"/>
          <w:szCs w:val="27"/>
        </w:rPr>
        <w:t>Unauthorised</w:t>
      </w:r>
      <w:proofErr w:type="spellEnd"/>
      <w:r w:rsidRPr="00D8040A">
        <w:rPr>
          <w:rFonts w:ascii="Arial" w:hAnsi="Arial" w:cs="Arial"/>
          <w:sz w:val="27"/>
          <w:szCs w:val="27"/>
        </w:rPr>
        <w:t xml:space="preserve"> interception of computer data carried out for a dishonest or criminal purpose should be an offence. This offence would protect both private and non-private communications, and would apply to data generally, including metadata (i</w:t>
      </w:r>
      <w:r>
        <w:rPr>
          <w:rFonts w:ascii="Arial" w:hAnsi="Arial" w:cs="Arial"/>
          <w:sz w:val="27"/>
          <w:szCs w:val="27"/>
        </w:rPr>
        <w:t>.</w:t>
      </w:r>
      <w:r w:rsidRPr="00D8040A">
        <w:rPr>
          <w:rFonts w:ascii="Arial" w:hAnsi="Arial" w:cs="Arial"/>
          <w:sz w:val="27"/>
          <w:szCs w:val="27"/>
        </w:rPr>
        <w:t>e</w:t>
      </w:r>
      <w:r>
        <w:rPr>
          <w:rFonts w:ascii="Arial" w:hAnsi="Arial" w:cs="Arial"/>
          <w:sz w:val="27"/>
          <w:szCs w:val="27"/>
        </w:rPr>
        <w:t>.</w:t>
      </w:r>
      <w:r w:rsidRPr="00D8040A">
        <w:rPr>
          <w:rFonts w:ascii="Arial" w:hAnsi="Arial" w:cs="Arial"/>
          <w:sz w:val="27"/>
          <w:szCs w:val="27"/>
        </w:rPr>
        <w:t xml:space="preserve"> information about a communication), data in transit and data momentarily at rest during transmission, and would therefore offer better protection to communications by members of the public than the existing section 27(b) of the TO, which is predicated on a telecommunications context. As </w:t>
      </w:r>
      <w:r>
        <w:rPr>
          <w:rFonts w:ascii="Arial" w:hAnsi="Arial" w:cs="Arial"/>
          <w:sz w:val="27"/>
          <w:szCs w:val="27"/>
        </w:rPr>
        <w:t>"</w:t>
      </w:r>
      <w:r w:rsidRPr="00D8040A">
        <w:rPr>
          <w:rFonts w:ascii="Arial" w:hAnsi="Arial" w:cs="Arial"/>
          <w:sz w:val="27"/>
          <w:szCs w:val="27"/>
        </w:rPr>
        <w:t>for a dishonest or criminal purpose</w:t>
      </w:r>
      <w:r>
        <w:rPr>
          <w:rFonts w:ascii="Arial" w:hAnsi="Arial" w:cs="Arial"/>
          <w:sz w:val="27"/>
          <w:szCs w:val="27"/>
        </w:rPr>
        <w:t>"</w:t>
      </w:r>
      <w:r w:rsidRPr="00D8040A">
        <w:rPr>
          <w:rFonts w:ascii="Arial" w:hAnsi="Arial" w:cs="Arial"/>
          <w:sz w:val="27"/>
          <w:szCs w:val="27"/>
        </w:rPr>
        <w:t xml:space="preserve"> represents a high evidential threshold, it would not be necessary to provide any specific </w:t>
      </w:r>
      <w:proofErr w:type="spellStart"/>
      <w:r w:rsidRPr="00D8040A">
        <w:rPr>
          <w:rFonts w:ascii="Arial" w:hAnsi="Arial" w:cs="Arial"/>
          <w:sz w:val="27"/>
          <w:szCs w:val="27"/>
        </w:rPr>
        <w:t>defence</w:t>
      </w:r>
      <w:proofErr w:type="spellEnd"/>
      <w:r w:rsidRPr="00D8040A">
        <w:rPr>
          <w:rFonts w:ascii="Arial" w:hAnsi="Arial" w:cs="Arial"/>
          <w:sz w:val="27"/>
          <w:szCs w:val="27"/>
        </w:rPr>
        <w:t xml:space="preserve"> or exemption for professions or genuine businesses that intercept or use computer data in the ordinary course of their operation.</w:t>
      </w:r>
    </w:p>
    <w:p w14:paraId="4E450450" w14:textId="77777777" w:rsidR="00DA14F8" w:rsidRPr="00D8040A" w:rsidRDefault="00DA14F8" w:rsidP="00DA14F8">
      <w:pPr>
        <w:pStyle w:val="ListParagraph"/>
        <w:ind w:leftChars="0" w:left="720" w:hanging="720"/>
        <w:jc w:val="both"/>
        <w:rPr>
          <w:rFonts w:ascii="Arial" w:hAnsi="Arial" w:cs="Arial"/>
          <w:sz w:val="27"/>
          <w:szCs w:val="27"/>
        </w:rPr>
      </w:pPr>
    </w:p>
    <w:p w14:paraId="48C34A27" w14:textId="506EA92B" w:rsidR="00DA14F8" w:rsidRPr="00D8040A" w:rsidRDefault="00DA14F8" w:rsidP="00DA14F8">
      <w:pPr>
        <w:pStyle w:val="ListParagraph"/>
        <w:numPr>
          <w:ilvl w:val="0"/>
          <w:numId w:val="1"/>
        </w:numPr>
        <w:ind w:leftChars="0"/>
        <w:jc w:val="both"/>
        <w:rPr>
          <w:rFonts w:ascii="Arial" w:hAnsi="Arial" w:cs="Arial"/>
          <w:sz w:val="27"/>
          <w:szCs w:val="27"/>
        </w:rPr>
      </w:pPr>
      <w:r w:rsidRPr="00D8040A">
        <w:rPr>
          <w:rFonts w:ascii="Arial" w:hAnsi="Arial" w:cs="Arial"/>
          <w:sz w:val="27"/>
          <w:szCs w:val="27"/>
        </w:rPr>
        <w:t xml:space="preserve">By transposing the existing provisions regarding </w:t>
      </w:r>
      <w:r>
        <w:rPr>
          <w:rFonts w:ascii="Arial" w:hAnsi="Arial" w:cs="Arial"/>
          <w:sz w:val="27"/>
          <w:szCs w:val="27"/>
        </w:rPr>
        <w:t>"</w:t>
      </w:r>
      <w:r w:rsidRPr="00D8040A">
        <w:rPr>
          <w:rFonts w:ascii="Arial" w:hAnsi="Arial" w:cs="Arial"/>
          <w:sz w:val="27"/>
          <w:szCs w:val="27"/>
        </w:rPr>
        <w:t>misuse of a computer</w:t>
      </w:r>
      <w:r>
        <w:rPr>
          <w:rFonts w:ascii="Arial" w:hAnsi="Arial" w:cs="Arial"/>
          <w:sz w:val="27"/>
          <w:szCs w:val="27"/>
        </w:rPr>
        <w:t>"</w:t>
      </w:r>
      <w:r w:rsidRPr="00D8040A">
        <w:rPr>
          <w:rFonts w:ascii="Arial" w:hAnsi="Arial" w:cs="Arial"/>
          <w:sz w:val="27"/>
          <w:szCs w:val="27"/>
        </w:rPr>
        <w:t xml:space="preserve"> in sections 59(1A), 60 and 64(2) of the CO into the new cybercrime legislation, illegal interference with computer data and computer system should be offences (Interference Offences), subject to a general </w:t>
      </w:r>
      <w:proofErr w:type="spellStart"/>
      <w:r w:rsidRPr="00D8040A">
        <w:rPr>
          <w:rFonts w:ascii="Arial" w:hAnsi="Arial" w:cs="Arial"/>
          <w:sz w:val="27"/>
          <w:szCs w:val="27"/>
        </w:rPr>
        <w:t>defence</w:t>
      </w:r>
      <w:proofErr w:type="spellEnd"/>
      <w:r w:rsidRPr="00D8040A">
        <w:rPr>
          <w:rFonts w:ascii="Arial" w:hAnsi="Arial" w:cs="Arial"/>
          <w:sz w:val="27"/>
          <w:szCs w:val="27"/>
        </w:rPr>
        <w:t xml:space="preserve"> of reasonable excuse. Since access to program or data normally precedes interference with computer data or computer system, interference with computer data or computer system for cybersecurity purposes should be a specific </w:t>
      </w:r>
      <w:proofErr w:type="spellStart"/>
      <w:r w:rsidRPr="00D8040A">
        <w:rPr>
          <w:rFonts w:ascii="Arial" w:hAnsi="Arial" w:cs="Arial"/>
          <w:sz w:val="27"/>
          <w:szCs w:val="27"/>
        </w:rPr>
        <w:t>defence</w:t>
      </w:r>
      <w:proofErr w:type="spellEnd"/>
      <w:r w:rsidRPr="00D8040A">
        <w:rPr>
          <w:rFonts w:ascii="Arial" w:hAnsi="Arial" w:cs="Arial"/>
          <w:sz w:val="27"/>
          <w:szCs w:val="27"/>
        </w:rPr>
        <w:t xml:space="preserve"> in addition to the two lawful excuses specified in the existing section 64(2) of the CO (which also apply to the Access Offence).</w:t>
      </w:r>
    </w:p>
    <w:p w14:paraId="070092E3" w14:textId="77777777" w:rsidR="00DA14F8" w:rsidRPr="00D8040A" w:rsidRDefault="00DA14F8" w:rsidP="00DA14F8">
      <w:pPr>
        <w:pStyle w:val="ListParagraph"/>
        <w:ind w:leftChars="0" w:left="720" w:hanging="720"/>
        <w:jc w:val="both"/>
        <w:rPr>
          <w:rFonts w:ascii="Arial" w:hAnsi="Arial" w:cs="Arial"/>
          <w:sz w:val="27"/>
          <w:szCs w:val="27"/>
        </w:rPr>
      </w:pPr>
    </w:p>
    <w:p w14:paraId="3C0FC457" w14:textId="1928CD95" w:rsidR="00DA14F8" w:rsidRPr="00D8040A" w:rsidRDefault="00DA14F8" w:rsidP="00DA14F8">
      <w:pPr>
        <w:pStyle w:val="ListParagraph"/>
        <w:numPr>
          <w:ilvl w:val="0"/>
          <w:numId w:val="1"/>
        </w:numPr>
        <w:ind w:leftChars="0"/>
        <w:jc w:val="both"/>
        <w:rPr>
          <w:rFonts w:ascii="Arial" w:hAnsi="Arial" w:cs="Arial"/>
          <w:sz w:val="27"/>
          <w:szCs w:val="27"/>
        </w:rPr>
      </w:pPr>
      <w:r w:rsidRPr="00D8040A">
        <w:rPr>
          <w:rFonts w:ascii="Arial" w:hAnsi="Arial" w:cs="Arial"/>
          <w:sz w:val="27"/>
          <w:szCs w:val="27"/>
        </w:rPr>
        <w:t xml:space="preserve">Knowingly making available a device, program or data (or a part thereof) for committing a cyber-related crime (or knowingly possessing such a device, program or data for the purpose of making it available) should be an offence. This </w:t>
      </w:r>
      <w:r w:rsidRPr="00D8040A">
        <w:rPr>
          <w:rFonts w:ascii="Arial" w:hAnsi="Arial" w:cs="Arial"/>
          <w:sz w:val="27"/>
          <w:szCs w:val="27"/>
        </w:rPr>
        <w:lastRenderedPageBreak/>
        <w:t>offence would apply so long as the primary use of the device, program or data, determined objectively, is to commit a cyber-related offence, regardless of whether or not it can be used for any legitimate purposes. The aggravated form of the offence would occur if the perpetrator intends that the device, program or data be used (whether by himself or another person) to commit a cyber-related offence. To avoid over-</w:t>
      </w:r>
      <w:proofErr w:type="spellStart"/>
      <w:r w:rsidRPr="00D8040A">
        <w:rPr>
          <w:rFonts w:ascii="Arial" w:hAnsi="Arial" w:cs="Arial"/>
          <w:sz w:val="27"/>
          <w:szCs w:val="27"/>
        </w:rPr>
        <w:t>criminalisation</w:t>
      </w:r>
      <w:proofErr w:type="spellEnd"/>
      <w:r w:rsidRPr="00D8040A">
        <w:rPr>
          <w:rFonts w:ascii="Arial" w:hAnsi="Arial" w:cs="Arial"/>
          <w:sz w:val="27"/>
          <w:szCs w:val="27"/>
        </w:rPr>
        <w:t xml:space="preserve">, a general </w:t>
      </w:r>
      <w:proofErr w:type="spellStart"/>
      <w:r w:rsidRPr="00D8040A">
        <w:rPr>
          <w:rFonts w:ascii="Arial" w:hAnsi="Arial" w:cs="Arial"/>
          <w:sz w:val="27"/>
          <w:szCs w:val="27"/>
        </w:rPr>
        <w:t>defence</w:t>
      </w:r>
      <w:proofErr w:type="spellEnd"/>
      <w:r w:rsidRPr="00D8040A">
        <w:rPr>
          <w:rFonts w:ascii="Arial" w:hAnsi="Arial" w:cs="Arial"/>
          <w:sz w:val="27"/>
          <w:szCs w:val="27"/>
        </w:rPr>
        <w:t xml:space="preserve"> of reasonable excuse and specific </w:t>
      </w:r>
      <w:proofErr w:type="spellStart"/>
      <w:r w:rsidRPr="00D8040A">
        <w:rPr>
          <w:rFonts w:ascii="Arial" w:hAnsi="Arial" w:cs="Arial"/>
          <w:sz w:val="27"/>
          <w:szCs w:val="27"/>
        </w:rPr>
        <w:t>defences</w:t>
      </w:r>
      <w:proofErr w:type="spellEnd"/>
      <w:r w:rsidRPr="00D8040A">
        <w:rPr>
          <w:rFonts w:ascii="Arial" w:hAnsi="Arial" w:cs="Arial"/>
          <w:sz w:val="27"/>
          <w:szCs w:val="27"/>
        </w:rPr>
        <w:t xml:space="preserve"> for cybersecurity, educational, scientific and research purposes are recommended.  Further specific </w:t>
      </w:r>
      <w:proofErr w:type="spellStart"/>
      <w:r w:rsidRPr="00D8040A">
        <w:rPr>
          <w:rFonts w:ascii="Arial" w:hAnsi="Arial" w:cs="Arial"/>
          <w:sz w:val="27"/>
          <w:szCs w:val="27"/>
        </w:rPr>
        <w:t>defences</w:t>
      </w:r>
      <w:proofErr w:type="spellEnd"/>
      <w:r w:rsidRPr="00D8040A">
        <w:rPr>
          <w:rFonts w:ascii="Arial" w:hAnsi="Arial" w:cs="Arial"/>
          <w:sz w:val="27"/>
          <w:szCs w:val="27"/>
        </w:rPr>
        <w:t xml:space="preserve"> that cater to the operation of internet service providers, hosting service providers and automated technology are also available.</w:t>
      </w:r>
    </w:p>
    <w:p w14:paraId="43EC0816" w14:textId="77777777" w:rsidR="00DA14F8" w:rsidRPr="00D8040A" w:rsidRDefault="00DA14F8" w:rsidP="00DA14F8">
      <w:pPr>
        <w:pStyle w:val="ListParagraph"/>
        <w:rPr>
          <w:rFonts w:ascii="Arial" w:hAnsi="Arial" w:cs="Arial"/>
          <w:sz w:val="27"/>
          <w:szCs w:val="27"/>
        </w:rPr>
      </w:pPr>
    </w:p>
    <w:p w14:paraId="50FEFC99" w14:textId="7C5816D7" w:rsidR="00DA14F8" w:rsidRPr="00D8040A" w:rsidRDefault="00DA14F8" w:rsidP="00DA14F8">
      <w:pPr>
        <w:pStyle w:val="ListParagraph"/>
        <w:numPr>
          <w:ilvl w:val="0"/>
          <w:numId w:val="1"/>
        </w:numPr>
        <w:ind w:leftChars="0"/>
        <w:jc w:val="both"/>
        <w:rPr>
          <w:rFonts w:ascii="Arial" w:hAnsi="Arial" w:cs="Arial"/>
          <w:sz w:val="27"/>
          <w:szCs w:val="27"/>
        </w:rPr>
      </w:pPr>
      <w:r w:rsidRPr="00D8040A">
        <w:rPr>
          <w:rFonts w:ascii="Arial" w:hAnsi="Arial" w:cs="Arial"/>
          <w:sz w:val="27"/>
          <w:szCs w:val="27"/>
        </w:rPr>
        <w:t xml:space="preserve">In line with the international norm, </w:t>
      </w:r>
      <w:r w:rsidRPr="00D8040A">
        <w:rPr>
          <w:rFonts w:ascii="Arial" w:hAnsi="Arial" w:cs="Arial" w:hint="eastAsia"/>
          <w:sz w:val="27"/>
          <w:szCs w:val="27"/>
        </w:rPr>
        <w:t>Hong Kong law</w:t>
      </w:r>
      <w:r w:rsidRPr="00D8040A">
        <w:rPr>
          <w:rFonts w:ascii="Arial" w:hAnsi="Arial" w:cs="Arial"/>
          <w:sz w:val="27"/>
          <w:szCs w:val="27"/>
        </w:rPr>
        <w:t xml:space="preserve"> should provide for the</w:t>
      </w:r>
      <w:r w:rsidRPr="00D8040A">
        <w:rPr>
          <w:rFonts w:ascii="Arial" w:hAnsi="Arial" w:cs="Arial" w:hint="eastAsia"/>
          <w:sz w:val="27"/>
          <w:szCs w:val="27"/>
        </w:rPr>
        <w:t xml:space="preserve"> extra-territorial application of </w:t>
      </w:r>
      <w:r w:rsidRPr="00D8040A">
        <w:rPr>
          <w:rFonts w:ascii="Arial" w:hAnsi="Arial" w:cs="Arial"/>
          <w:sz w:val="27"/>
          <w:szCs w:val="27"/>
        </w:rPr>
        <w:t>the five proposed cyber-dependent offences</w:t>
      </w:r>
      <w:r w:rsidRPr="00D8040A">
        <w:rPr>
          <w:rFonts w:ascii="Arial" w:hAnsi="Arial" w:cs="Arial" w:hint="eastAsia"/>
          <w:sz w:val="27"/>
          <w:szCs w:val="27"/>
        </w:rPr>
        <w:t xml:space="preserve">. </w:t>
      </w:r>
      <w:r w:rsidRPr="00D8040A">
        <w:rPr>
          <w:rFonts w:ascii="Arial" w:hAnsi="Arial" w:cs="Arial"/>
          <w:sz w:val="27"/>
          <w:szCs w:val="27"/>
        </w:rPr>
        <w:t>Hong Kong courts should have jurisdiction in a case where connections with Hong Kong exist. This includes cases where the perpetrator’s act has caused or may cause serious damage to Hong Kong, or where the victim was physically present in Hong Kong at the time when the offence was committed.</w:t>
      </w:r>
    </w:p>
    <w:p w14:paraId="612D53CB" w14:textId="77777777" w:rsidR="00DA14F8" w:rsidRPr="00D8040A" w:rsidRDefault="00DA14F8" w:rsidP="00DA14F8">
      <w:pPr>
        <w:pStyle w:val="ListParagraph"/>
        <w:rPr>
          <w:rFonts w:ascii="Arial" w:hAnsi="Arial" w:cs="Arial"/>
          <w:sz w:val="27"/>
          <w:szCs w:val="27"/>
        </w:rPr>
      </w:pPr>
    </w:p>
    <w:p w14:paraId="22F48743" w14:textId="05FE4E41" w:rsidR="00DA14F8" w:rsidRPr="00FD702B" w:rsidRDefault="00DA14F8" w:rsidP="00DA14F8">
      <w:pPr>
        <w:pStyle w:val="ListParagraph"/>
        <w:numPr>
          <w:ilvl w:val="0"/>
          <w:numId w:val="1"/>
        </w:numPr>
        <w:ind w:leftChars="0"/>
        <w:jc w:val="both"/>
        <w:rPr>
          <w:rFonts w:ascii="Arial" w:hAnsi="Arial" w:cs="Arial"/>
          <w:sz w:val="27"/>
          <w:szCs w:val="27"/>
        </w:rPr>
      </w:pPr>
      <w:r w:rsidRPr="00D8040A">
        <w:rPr>
          <w:rFonts w:ascii="Arial" w:hAnsi="Arial" w:cs="Arial"/>
          <w:sz w:val="27"/>
          <w:szCs w:val="27"/>
        </w:rPr>
        <w:t>As the severity of the harm caused by cybercrime has a wide range, each of the five proposed cyber-dependent offences has two maximum sentences in general, one applicable to summary convictions (two years</w:t>
      </w:r>
      <w:r>
        <w:rPr>
          <w:rFonts w:ascii="Arial" w:hAnsi="Arial" w:cs="Arial" w:hint="eastAsia"/>
          <w:sz w:val="27"/>
          <w:szCs w:val="27"/>
        </w:rPr>
        <w:t>'</w:t>
      </w:r>
      <w:r w:rsidRPr="00D8040A">
        <w:rPr>
          <w:rFonts w:ascii="Arial" w:hAnsi="Arial" w:cs="Arial"/>
          <w:sz w:val="27"/>
          <w:szCs w:val="27"/>
        </w:rPr>
        <w:t xml:space="preserve"> imprisonment) and the other </w:t>
      </w:r>
      <w:proofErr w:type="spellStart"/>
      <w:r w:rsidRPr="00D8040A">
        <w:rPr>
          <w:rFonts w:ascii="Arial" w:hAnsi="Arial" w:cs="Arial"/>
          <w:sz w:val="27"/>
          <w:szCs w:val="27"/>
        </w:rPr>
        <w:t>to</w:t>
      </w:r>
      <w:proofErr w:type="spellEnd"/>
      <w:r w:rsidRPr="00D8040A">
        <w:rPr>
          <w:rFonts w:ascii="Arial" w:hAnsi="Arial" w:cs="Arial"/>
          <w:sz w:val="27"/>
          <w:szCs w:val="27"/>
        </w:rPr>
        <w:t xml:space="preserve"> convictions on indictment (14 years</w:t>
      </w:r>
      <w:r>
        <w:rPr>
          <w:rFonts w:ascii="Arial" w:hAnsi="Arial" w:cs="Arial" w:hint="eastAsia"/>
          <w:sz w:val="27"/>
          <w:szCs w:val="27"/>
        </w:rPr>
        <w:t>'</w:t>
      </w:r>
      <w:r w:rsidRPr="00D8040A">
        <w:rPr>
          <w:rFonts w:ascii="Arial" w:hAnsi="Arial" w:cs="Arial"/>
          <w:sz w:val="27"/>
          <w:szCs w:val="27"/>
        </w:rPr>
        <w:t xml:space="preserve"> imprisonment). An exception is the aggravated form of the Interference Offences involving a danger to life (e</w:t>
      </w:r>
      <w:r>
        <w:rPr>
          <w:rFonts w:ascii="Arial" w:hAnsi="Arial" w:cs="Arial" w:hint="eastAsia"/>
          <w:sz w:val="27"/>
          <w:szCs w:val="27"/>
        </w:rPr>
        <w:t>.</w:t>
      </w:r>
      <w:r w:rsidRPr="00D8040A">
        <w:rPr>
          <w:rFonts w:ascii="Arial" w:hAnsi="Arial" w:cs="Arial"/>
          <w:sz w:val="27"/>
          <w:szCs w:val="27"/>
        </w:rPr>
        <w:t>g</w:t>
      </w:r>
      <w:r>
        <w:rPr>
          <w:rFonts w:ascii="Arial" w:hAnsi="Arial" w:cs="Arial" w:hint="eastAsia"/>
          <w:sz w:val="27"/>
          <w:szCs w:val="27"/>
        </w:rPr>
        <w:t>.</w:t>
      </w:r>
      <w:r w:rsidRPr="00D8040A">
        <w:rPr>
          <w:rFonts w:ascii="Arial" w:hAnsi="Arial" w:cs="Arial"/>
          <w:sz w:val="27"/>
          <w:szCs w:val="27"/>
        </w:rPr>
        <w:t xml:space="preserve"> interference with a railway signal system). The proposed maximum penalty for it is life imprisonment which is consistent with that of the aggravated offence of criminal damage already </w:t>
      </w:r>
      <w:r>
        <w:rPr>
          <w:rFonts w:ascii="Arial" w:hAnsi="Arial" w:cs="Arial"/>
          <w:sz w:val="27"/>
          <w:szCs w:val="27"/>
        </w:rPr>
        <w:t>prescribed under</w:t>
      </w:r>
      <w:r w:rsidRPr="00D8040A">
        <w:rPr>
          <w:rFonts w:ascii="Arial" w:hAnsi="Arial" w:cs="Arial"/>
          <w:sz w:val="27"/>
          <w:szCs w:val="27"/>
        </w:rPr>
        <w:t xml:space="preserve"> the c</w:t>
      </w:r>
      <w:r>
        <w:rPr>
          <w:rFonts w:ascii="Arial" w:hAnsi="Arial" w:cs="Arial"/>
          <w:sz w:val="27"/>
          <w:szCs w:val="27"/>
        </w:rPr>
        <w:t>urrent CO.</w:t>
      </w:r>
    </w:p>
    <w:p w14:paraId="19F5DA20" w14:textId="6DC5A8F2" w:rsidR="00DA14F8" w:rsidRPr="00FD702B" w:rsidRDefault="00DA14F8" w:rsidP="00DA14F8">
      <w:pPr>
        <w:pStyle w:val="NormalWeb"/>
        <w:shd w:val="clear" w:color="auto" w:fill="FFFFFF"/>
        <w:jc w:val="both"/>
        <w:rPr>
          <w:rFonts w:ascii="Arial" w:hAnsi="Arial" w:cs="Arial"/>
          <w:color w:val="000000"/>
          <w:sz w:val="27"/>
          <w:szCs w:val="27"/>
        </w:rPr>
      </w:pPr>
      <w:r>
        <w:rPr>
          <w:rFonts w:ascii="Arial" w:hAnsi="Arial" w:cs="Arial"/>
          <w:color w:val="000000"/>
          <w:sz w:val="27"/>
          <w:szCs w:val="27"/>
        </w:rPr>
        <w:t xml:space="preserve">The report and its executive summary can be accessed on the website of the LRC at </w:t>
      </w:r>
      <w:hyperlink r:id="rId8" w:history="1">
        <w:r w:rsidRPr="0003080D">
          <w:rPr>
            <w:rStyle w:val="Hyperlink"/>
            <w:rFonts w:ascii="Arial" w:hAnsi="Arial" w:cs="Arial"/>
            <w:sz w:val="27"/>
            <w:szCs w:val="27"/>
          </w:rPr>
          <w:t>www.hkreform.gov.hk</w:t>
        </w:r>
      </w:hyperlink>
      <w:r>
        <w:rPr>
          <w:rFonts w:ascii="Arial" w:hAnsi="Arial" w:cs="Arial"/>
          <w:color w:val="000000"/>
          <w:sz w:val="27"/>
          <w:szCs w:val="27"/>
        </w:rPr>
        <w:t xml:space="preserve">. Hard copies are also available on request from the Secretariat of the LRC at 9/F, Champion Tower, </w:t>
      </w:r>
      <w:r w:rsidRPr="005E2F7B">
        <w:rPr>
          <w:rFonts w:ascii="Arial" w:eastAsiaTheme="minorEastAsia" w:hAnsi="Arial" w:cs="Arial"/>
          <w:color w:val="000000"/>
          <w:sz w:val="27"/>
          <w:szCs w:val="27"/>
        </w:rPr>
        <w:t>3</w:t>
      </w:r>
      <w:r>
        <w:rPr>
          <w:rFonts w:ascii="Arial" w:hAnsi="Arial" w:cs="Arial"/>
          <w:color w:val="000000"/>
          <w:sz w:val="27"/>
          <w:szCs w:val="27"/>
        </w:rPr>
        <w:t xml:space="preserve"> Garden Road, Central, Hong Kong</w:t>
      </w:r>
      <w:r w:rsidRPr="00BF2543">
        <w:rPr>
          <w:rFonts w:ascii="Arial" w:hAnsi="Arial" w:cs="Arial"/>
          <w:color w:val="000000"/>
          <w:sz w:val="27"/>
          <w:szCs w:val="27"/>
        </w:rPr>
        <w:t>.</w:t>
      </w:r>
    </w:p>
    <w:sectPr w:rsidR="00DA14F8" w:rsidRPr="00FD702B">
      <w:footerReference w:type="default" r:id="rId9"/>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7F3A" w14:textId="77777777" w:rsidR="00CD5F1A" w:rsidRDefault="00CD5F1A" w:rsidP="00CD5F1A">
      <w:r>
        <w:separator/>
      </w:r>
    </w:p>
  </w:endnote>
  <w:endnote w:type="continuationSeparator" w:id="0">
    <w:p w14:paraId="66A39C3F" w14:textId="77777777" w:rsidR="00CD5F1A" w:rsidRDefault="00CD5F1A" w:rsidP="00CD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072571"/>
      <w:docPartObj>
        <w:docPartGallery w:val="Page Numbers (Bottom of Page)"/>
        <w:docPartUnique/>
      </w:docPartObj>
    </w:sdtPr>
    <w:sdtEndPr>
      <w:rPr>
        <w:rFonts w:ascii="Arial" w:hAnsi="Arial" w:cs="Arial"/>
        <w:noProof/>
      </w:rPr>
    </w:sdtEndPr>
    <w:sdtContent>
      <w:p w14:paraId="20948A20" w14:textId="6091ADE5" w:rsidR="00DE780B" w:rsidRPr="00DE780B" w:rsidRDefault="00DE780B">
        <w:pPr>
          <w:pStyle w:val="Footer"/>
          <w:jc w:val="center"/>
          <w:rPr>
            <w:rFonts w:ascii="Arial" w:hAnsi="Arial" w:cs="Arial"/>
          </w:rPr>
        </w:pPr>
        <w:r w:rsidRPr="00DE780B">
          <w:rPr>
            <w:rFonts w:ascii="Arial" w:hAnsi="Arial" w:cs="Arial"/>
          </w:rPr>
          <w:fldChar w:fldCharType="begin"/>
        </w:r>
        <w:r w:rsidRPr="00DE780B">
          <w:rPr>
            <w:rFonts w:ascii="Arial" w:hAnsi="Arial" w:cs="Arial"/>
          </w:rPr>
          <w:instrText xml:space="preserve"> PAGE   \* MERGEFORMAT </w:instrText>
        </w:r>
        <w:r w:rsidRPr="00DE780B">
          <w:rPr>
            <w:rFonts w:ascii="Arial" w:hAnsi="Arial" w:cs="Arial"/>
          </w:rPr>
          <w:fldChar w:fldCharType="separate"/>
        </w:r>
        <w:r w:rsidR="008474B8">
          <w:rPr>
            <w:rFonts w:ascii="Arial" w:hAnsi="Arial" w:cs="Arial"/>
            <w:noProof/>
          </w:rPr>
          <w:t>1</w:t>
        </w:r>
        <w:r w:rsidRPr="00DE780B">
          <w:rPr>
            <w:rFonts w:ascii="Arial" w:hAnsi="Arial" w:cs="Arial"/>
            <w:noProof/>
          </w:rPr>
          <w:fldChar w:fldCharType="end"/>
        </w:r>
      </w:p>
    </w:sdtContent>
  </w:sdt>
  <w:p w14:paraId="103CED04" w14:textId="77777777" w:rsidR="00DE780B" w:rsidRDefault="00DE7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17593" w14:textId="77777777" w:rsidR="00CD5F1A" w:rsidRDefault="00CD5F1A" w:rsidP="00CD5F1A">
      <w:r>
        <w:separator/>
      </w:r>
    </w:p>
  </w:footnote>
  <w:footnote w:type="continuationSeparator" w:id="0">
    <w:p w14:paraId="5E8F63BB" w14:textId="77777777" w:rsidR="00CD5F1A" w:rsidRDefault="00CD5F1A" w:rsidP="00CD5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4867"/>
    <w:multiLevelType w:val="hybridMultilevel"/>
    <w:tmpl w:val="E6BE9282"/>
    <w:lvl w:ilvl="0" w:tplc="A5FA02FC">
      <w:start w:val="1"/>
      <w:numFmt w:val="lowerRoman"/>
      <w:lvlText w:val="(%1)"/>
      <w:lvlJc w:val="left"/>
      <w:pPr>
        <w:ind w:left="720" w:hanging="720"/>
      </w:pPr>
      <w:rPr>
        <w:rFonts w:ascii="Arial" w:hAnsi="Arial" w:cs="Arial" w:hint="default"/>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3E5A99"/>
    <w:multiLevelType w:val="hybridMultilevel"/>
    <w:tmpl w:val="E6BE9282"/>
    <w:lvl w:ilvl="0" w:tplc="A5FA02FC">
      <w:start w:val="1"/>
      <w:numFmt w:val="lowerRoman"/>
      <w:lvlText w:val="(%1)"/>
      <w:lvlJc w:val="left"/>
      <w:pPr>
        <w:ind w:left="720" w:hanging="720"/>
      </w:pPr>
      <w:rPr>
        <w:rFonts w:ascii="Arial" w:hAnsi="Arial" w:cs="Arial" w:hint="default"/>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7E2E86"/>
    <w:multiLevelType w:val="hybridMultilevel"/>
    <w:tmpl w:val="4CDCF566"/>
    <w:lvl w:ilvl="0" w:tplc="D5E674EA">
      <w:numFmt w:val="bullet"/>
      <w:lvlText w:val=""/>
      <w:lvlJc w:val="left"/>
      <w:pPr>
        <w:ind w:left="360" w:hanging="360"/>
      </w:pPr>
      <w:rPr>
        <w:rFonts w:ascii="Wingdings" w:eastAsiaTheme="minorEastAsia" w:hAnsi="Wingdings" w:cs="Arial" w:hint="default"/>
        <w:b/>
        <w:color w:val="0000CC"/>
        <w:sz w:val="22"/>
        <w:szCs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EE36C93"/>
    <w:multiLevelType w:val="hybridMultilevel"/>
    <w:tmpl w:val="7DE09D58"/>
    <w:lvl w:ilvl="0" w:tplc="A13C13B6">
      <w:start w:val="1"/>
      <w:numFmt w:val="lowerRoman"/>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D2A4040"/>
    <w:multiLevelType w:val="hybridMultilevel"/>
    <w:tmpl w:val="7DE09D58"/>
    <w:lvl w:ilvl="0" w:tplc="A13C13B6">
      <w:start w:val="1"/>
      <w:numFmt w:val="lowerRoman"/>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9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835"/>
    <w:rsid w:val="0001799C"/>
    <w:rsid w:val="00020689"/>
    <w:rsid w:val="000433A4"/>
    <w:rsid w:val="000506C9"/>
    <w:rsid w:val="00050FFB"/>
    <w:rsid w:val="00055641"/>
    <w:rsid w:val="00061217"/>
    <w:rsid w:val="000858AF"/>
    <w:rsid w:val="00090BA2"/>
    <w:rsid w:val="000A01BA"/>
    <w:rsid w:val="000A38AD"/>
    <w:rsid w:val="000A42B3"/>
    <w:rsid w:val="000A790E"/>
    <w:rsid w:val="000B0DBA"/>
    <w:rsid w:val="000C428C"/>
    <w:rsid w:val="000C6093"/>
    <w:rsid w:val="000D0F61"/>
    <w:rsid w:val="000E1AA7"/>
    <w:rsid w:val="00106AAC"/>
    <w:rsid w:val="001251F7"/>
    <w:rsid w:val="0014371F"/>
    <w:rsid w:val="00146C98"/>
    <w:rsid w:val="001513EE"/>
    <w:rsid w:val="00161089"/>
    <w:rsid w:val="001651A4"/>
    <w:rsid w:val="00174436"/>
    <w:rsid w:val="00187FA0"/>
    <w:rsid w:val="001B441E"/>
    <w:rsid w:val="001B4835"/>
    <w:rsid w:val="001B5823"/>
    <w:rsid w:val="001D0832"/>
    <w:rsid w:val="001D3003"/>
    <w:rsid w:val="001D5123"/>
    <w:rsid w:val="001E3D3A"/>
    <w:rsid w:val="001E51D0"/>
    <w:rsid w:val="001F6604"/>
    <w:rsid w:val="0020111A"/>
    <w:rsid w:val="002031CC"/>
    <w:rsid w:val="0021704B"/>
    <w:rsid w:val="002278E1"/>
    <w:rsid w:val="00254247"/>
    <w:rsid w:val="00264AF7"/>
    <w:rsid w:val="0026517C"/>
    <w:rsid w:val="00274823"/>
    <w:rsid w:val="002945EE"/>
    <w:rsid w:val="0029492C"/>
    <w:rsid w:val="00296ADE"/>
    <w:rsid w:val="002A699B"/>
    <w:rsid w:val="002B58F8"/>
    <w:rsid w:val="002D2384"/>
    <w:rsid w:val="002D6116"/>
    <w:rsid w:val="002E5684"/>
    <w:rsid w:val="002E6024"/>
    <w:rsid w:val="002E6812"/>
    <w:rsid w:val="002F1DEC"/>
    <w:rsid w:val="0030212A"/>
    <w:rsid w:val="00306CA2"/>
    <w:rsid w:val="003179C6"/>
    <w:rsid w:val="003233D0"/>
    <w:rsid w:val="003250C5"/>
    <w:rsid w:val="00326A28"/>
    <w:rsid w:val="00327AEB"/>
    <w:rsid w:val="00341777"/>
    <w:rsid w:val="00342C6F"/>
    <w:rsid w:val="00343851"/>
    <w:rsid w:val="00344440"/>
    <w:rsid w:val="0034510F"/>
    <w:rsid w:val="003543B6"/>
    <w:rsid w:val="00354D64"/>
    <w:rsid w:val="00357674"/>
    <w:rsid w:val="003577EE"/>
    <w:rsid w:val="003633FD"/>
    <w:rsid w:val="00371720"/>
    <w:rsid w:val="00375BAB"/>
    <w:rsid w:val="00380520"/>
    <w:rsid w:val="00382230"/>
    <w:rsid w:val="00384914"/>
    <w:rsid w:val="003951D8"/>
    <w:rsid w:val="003A2C8C"/>
    <w:rsid w:val="003D3408"/>
    <w:rsid w:val="003F3426"/>
    <w:rsid w:val="003F410F"/>
    <w:rsid w:val="00402388"/>
    <w:rsid w:val="00406535"/>
    <w:rsid w:val="00424C26"/>
    <w:rsid w:val="00427CF9"/>
    <w:rsid w:val="00431DC0"/>
    <w:rsid w:val="004515D3"/>
    <w:rsid w:val="00452A3F"/>
    <w:rsid w:val="00452D72"/>
    <w:rsid w:val="0046022B"/>
    <w:rsid w:val="00461D1A"/>
    <w:rsid w:val="00471329"/>
    <w:rsid w:val="00473FE1"/>
    <w:rsid w:val="00474DFB"/>
    <w:rsid w:val="00481839"/>
    <w:rsid w:val="004909FD"/>
    <w:rsid w:val="004A57CF"/>
    <w:rsid w:val="004A7EEF"/>
    <w:rsid w:val="004B005E"/>
    <w:rsid w:val="004B3C71"/>
    <w:rsid w:val="004C3BB4"/>
    <w:rsid w:val="004C5B7B"/>
    <w:rsid w:val="004F4ACB"/>
    <w:rsid w:val="00503BBB"/>
    <w:rsid w:val="00504296"/>
    <w:rsid w:val="005053C4"/>
    <w:rsid w:val="005125BB"/>
    <w:rsid w:val="00516ACF"/>
    <w:rsid w:val="00534C47"/>
    <w:rsid w:val="00535935"/>
    <w:rsid w:val="005529E8"/>
    <w:rsid w:val="00560D49"/>
    <w:rsid w:val="0056773E"/>
    <w:rsid w:val="00584BC9"/>
    <w:rsid w:val="0058586C"/>
    <w:rsid w:val="0058634C"/>
    <w:rsid w:val="005A06C7"/>
    <w:rsid w:val="005B2371"/>
    <w:rsid w:val="005B77C1"/>
    <w:rsid w:val="005C0278"/>
    <w:rsid w:val="005C2014"/>
    <w:rsid w:val="005E2F3D"/>
    <w:rsid w:val="005E3D97"/>
    <w:rsid w:val="005F1C77"/>
    <w:rsid w:val="006055F4"/>
    <w:rsid w:val="00620312"/>
    <w:rsid w:val="006240C0"/>
    <w:rsid w:val="006323F5"/>
    <w:rsid w:val="00632CFF"/>
    <w:rsid w:val="00647006"/>
    <w:rsid w:val="0069797A"/>
    <w:rsid w:val="00697F95"/>
    <w:rsid w:val="006A0653"/>
    <w:rsid w:val="006B2604"/>
    <w:rsid w:val="006B36F0"/>
    <w:rsid w:val="006B498E"/>
    <w:rsid w:val="006B5CEF"/>
    <w:rsid w:val="006B7642"/>
    <w:rsid w:val="006B7D63"/>
    <w:rsid w:val="006C48A8"/>
    <w:rsid w:val="006C6412"/>
    <w:rsid w:val="006C78AC"/>
    <w:rsid w:val="006D109F"/>
    <w:rsid w:val="006D6050"/>
    <w:rsid w:val="006E27E2"/>
    <w:rsid w:val="006E529A"/>
    <w:rsid w:val="006E6063"/>
    <w:rsid w:val="006F45D6"/>
    <w:rsid w:val="00702CFC"/>
    <w:rsid w:val="00704A6E"/>
    <w:rsid w:val="007129FD"/>
    <w:rsid w:val="00713AE3"/>
    <w:rsid w:val="0071546C"/>
    <w:rsid w:val="007253D4"/>
    <w:rsid w:val="00726625"/>
    <w:rsid w:val="00726741"/>
    <w:rsid w:val="00731E8B"/>
    <w:rsid w:val="00743703"/>
    <w:rsid w:val="00760982"/>
    <w:rsid w:val="007617F9"/>
    <w:rsid w:val="00762DB7"/>
    <w:rsid w:val="00763007"/>
    <w:rsid w:val="007867F9"/>
    <w:rsid w:val="00791E28"/>
    <w:rsid w:val="007B387D"/>
    <w:rsid w:val="007D2336"/>
    <w:rsid w:val="007E4D1C"/>
    <w:rsid w:val="008056A7"/>
    <w:rsid w:val="008266A8"/>
    <w:rsid w:val="008474B8"/>
    <w:rsid w:val="00863E60"/>
    <w:rsid w:val="00867001"/>
    <w:rsid w:val="0088706D"/>
    <w:rsid w:val="008B352F"/>
    <w:rsid w:val="008B66F0"/>
    <w:rsid w:val="008C05FC"/>
    <w:rsid w:val="008D0C1E"/>
    <w:rsid w:val="008D49C9"/>
    <w:rsid w:val="008F4C51"/>
    <w:rsid w:val="00906DAF"/>
    <w:rsid w:val="0091048B"/>
    <w:rsid w:val="009124D6"/>
    <w:rsid w:val="009129D2"/>
    <w:rsid w:val="0091452E"/>
    <w:rsid w:val="00917A57"/>
    <w:rsid w:val="00921002"/>
    <w:rsid w:val="00924A1E"/>
    <w:rsid w:val="009433A8"/>
    <w:rsid w:val="0095371D"/>
    <w:rsid w:val="009701BC"/>
    <w:rsid w:val="009A0ECA"/>
    <w:rsid w:val="009B3905"/>
    <w:rsid w:val="009B4016"/>
    <w:rsid w:val="009B5C87"/>
    <w:rsid w:val="009C41AD"/>
    <w:rsid w:val="009D2BD0"/>
    <w:rsid w:val="009E0EA7"/>
    <w:rsid w:val="009E36D9"/>
    <w:rsid w:val="009E55C7"/>
    <w:rsid w:val="009F2EDB"/>
    <w:rsid w:val="00A01D5A"/>
    <w:rsid w:val="00A12773"/>
    <w:rsid w:val="00A13648"/>
    <w:rsid w:val="00A15469"/>
    <w:rsid w:val="00A20244"/>
    <w:rsid w:val="00A26A28"/>
    <w:rsid w:val="00A416D1"/>
    <w:rsid w:val="00A51476"/>
    <w:rsid w:val="00A71152"/>
    <w:rsid w:val="00A72BDB"/>
    <w:rsid w:val="00A74480"/>
    <w:rsid w:val="00A87FF1"/>
    <w:rsid w:val="00A91AFC"/>
    <w:rsid w:val="00A9499D"/>
    <w:rsid w:val="00AA512B"/>
    <w:rsid w:val="00AB2CEB"/>
    <w:rsid w:val="00AC0BF8"/>
    <w:rsid w:val="00AC4122"/>
    <w:rsid w:val="00AD0998"/>
    <w:rsid w:val="00AD1A38"/>
    <w:rsid w:val="00AD5C2E"/>
    <w:rsid w:val="00AF06DD"/>
    <w:rsid w:val="00B02F0E"/>
    <w:rsid w:val="00B039CC"/>
    <w:rsid w:val="00B05C85"/>
    <w:rsid w:val="00B148BB"/>
    <w:rsid w:val="00B337B8"/>
    <w:rsid w:val="00B628E4"/>
    <w:rsid w:val="00B67EB0"/>
    <w:rsid w:val="00B70673"/>
    <w:rsid w:val="00B76E7A"/>
    <w:rsid w:val="00B77A2F"/>
    <w:rsid w:val="00B86428"/>
    <w:rsid w:val="00B908BF"/>
    <w:rsid w:val="00BD37CA"/>
    <w:rsid w:val="00BF2543"/>
    <w:rsid w:val="00BF3953"/>
    <w:rsid w:val="00BF3FEC"/>
    <w:rsid w:val="00BF42F0"/>
    <w:rsid w:val="00BF7062"/>
    <w:rsid w:val="00C006C0"/>
    <w:rsid w:val="00C02C41"/>
    <w:rsid w:val="00C0466C"/>
    <w:rsid w:val="00C15A35"/>
    <w:rsid w:val="00C202F2"/>
    <w:rsid w:val="00C24D3E"/>
    <w:rsid w:val="00C3512B"/>
    <w:rsid w:val="00C44DD7"/>
    <w:rsid w:val="00C55DED"/>
    <w:rsid w:val="00C61791"/>
    <w:rsid w:val="00C66FD7"/>
    <w:rsid w:val="00C67A9E"/>
    <w:rsid w:val="00C80869"/>
    <w:rsid w:val="00C959AB"/>
    <w:rsid w:val="00C96024"/>
    <w:rsid w:val="00CA4592"/>
    <w:rsid w:val="00CA7D49"/>
    <w:rsid w:val="00CB650D"/>
    <w:rsid w:val="00CB67C4"/>
    <w:rsid w:val="00CD01E3"/>
    <w:rsid w:val="00CD54C5"/>
    <w:rsid w:val="00CD5F1A"/>
    <w:rsid w:val="00CD7AEC"/>
    <w:rsid w:val="00CD7C0B"/>
    <w:rsid w:val="00CF4D4B"/>
    <w:rsid w:val="00D0052C"/>
    <w:rsid w:val="00D15149"/>
    <w:rsid w:val="00D216A8"/>
    <w:rsid w:val="00D25FCB"/>
    <w:rsid w:val="00D2719B"/>
    <w:rsid w:val="00D3245D"/>
    <w:rsid w:val="00D41CAB"/>
    <w:rsid w:val="00D51173"/>
    <w:rsid w:val="00D53159"/>
    <w:rsid w:val="00D571FA"/>
    <w:rsid w:val="00D64218"/>
    <w:rsid w:val="00D8040A"/>
    <w:rsid w:val="00D914D5"/>
    <w:rsid w:val="00D952BB"/>
    <w:rsid w:val="00D963F2"/>
    <w:rsid w:val="00D97BF5"/>
    <w:rsid w:val="00DA14F8"/>
    <w:rsid w:val="00DA7DD3"/>
    <w:rsid w:val="00DE29EB"/>
    <w:rsid w:val="00DE49B8"/>
    <w:rsid w:val="00DE665B"/>
    <w:rsid w:val="00DE780B"/>
    <w:rsid w:val="00E02BF4"/>
    <w:rsid w:val="00E158CE"/>
    <w:rsid w:val="00E273AB"/>
    <w:rsid w:val="00E4051F"/>
    <w:rsid w:val="00E420DC"/>
    <w:rsid w:val="00E47A66"/>
    <w:rsid w:val="00E575FA"/>
    <w:rsid w:val="00E60A58"/>
    <w:rsid w:val="00E75D18"/>
    <w:rsid w:val="00E92B94"/>
    <w:rsid w:val="00EA1935"/>
    <w:rsid w:val="00EA2C1C"/>
    <w:rsid w:val="00EA4D6E"/>
    <w:rsid w:val="00ED6DB8"/>
    <w:rsid w:val="00EF04D7"/>
    <w:rsid w:val="00EF186A"/>
    <w:rsid w:val="00EF4FF5"/>
    <w:rsid w:val="00F06EE9"/>
    <w:rsid w:val="00F15199"/>
    <w:rsid w:val="00F30827"/>
    <w:rsid w:val="00F34DCF"/>
    <w:rsid w:val="00F366EB"/>
    <w:rsid w:val="00F36767"/>
    <w:rsid w:val="00F55FD9"/>
    <w:rsid w:val="00F60C01"/>
    <w:rsid w:val="00F651F6"/>
    <w:rsid w:val="00F7614D"/>
    <w:rsid w:val="00F86628"/>
    <w:rsid w:val="00FB35AA"/>
    <w:rsid w:val="00FB70B1"/>
    <w:rsid w:val="00FC5938"/>
    <w:rsid w:val="00FD702B"/>
    <w:rsid w:val="00FD70A2"/>
    <w:rsid w:val="00FE54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A6445D9"/>
  <w15:chartTrackingRefBased/>
  <w15:docId w15:val="{35281F5E-7193-4CD5-A0F1-2D3F0DEC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F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4835"/>
    <w:pPr>
      <w:widowControl/>
      <w:spacing w:before="100" w:beforeAutospacing="1" w:after="100" w:afterAutospacing="1"/>
    </w:pPr>
    <w:rPr>
      <w:rFonts w:ascii="Times New Roman" w:eastAsia="Times New Roman" w:hAnsi="Times New Roman" w:cs="Times New Roman"/>
      <w:kern w:val="0"/>
      <w:szCs w:val="24"/>
    </w:rPr>
  </w:style>
  <w:style w:type="character" w:styleId="Hyperlink">
    <w:name w:val="Hyperlink"/>
    <w:basedOn w:val="DefaultParagraphFont"/>
    <w:uiPriority w:val="99"/>
    <w:unhideWhenUsed/>
    <w:rsid w:val="001B4835"/>
    <w:rPr>
      <w:color w:val="0000FF"/>
      <w:u w:val="single"/>
    </w:rPr>
  </w:style>
  <w:style w:type="character" w:styleId="CommentReference">
    <w:name w:val="annotation reference"/>
    <w:basedOn w:val="DefaultParagraphFont"/>
    <w:uiPriority w:val="99"/>
    <w:semiHidden/>
    <w:unhideWhenUsed/>
    <w:rsid w:val="006B2604"/>
    <w:rPr>
      <w:sz w:val="18"/>
      <w:szCs w:val="18"/>
    </w:rPr>
  </w:style>
  <w:style w:type="paragraph" w:styleId="CommentText">
    <w:name w:val="annotation text"/>
    <w:basedOn w:val="Normal"/>
    <w:link w:val="CommentTextChar"/>
    <w:uiPriority w:val="99"/>
    <w:semiHidden/>
    <w:unhideWhenUsed/>
    <w:rsid w:val="006B2604"/>
  </w:style>
  <w:style w:type="character" w:customStyle="1" w:styleId="CommentTextChar">
    <w:name w:val="Comment Text Char"/>
    <w:basedOn w:val="DefaultParagraphFont"/>
    <w:link w:val="CommentText"/>
    <w:uiPriority w:val="99"/>
    <w:semiHidden/>
    <w:rsid w:val="006B2604"/>
  </w:style>
  <w:style w:type="paragraph" w:styleId="CommentSubject">
    <w:name w:val="annotation subject"/>
    <w:basedOn w:val="CommentText"/>
    <w:next w:val="CommentText"/>
    <w:link w:val="CommentSubjectChar"/>
    <w:uiPriority w:val="99"/>
    <w:semiHidden/>
    <w:unhideWhenUsed/>
    <w:rsid w:val="006B2604"/>
    <w:rPr>
      <w:b/>
      <w:bCs/>
    </w:rPr>
  </w:style>
  <w:style w:type="character" w:customStyle="1" w:styleId="CommentSubjectChar">
    <w:name w:val="Comment Subject Char"/>
    <w:basedOn w:val="CommentTextChar"/>
    <w:link w:val="CommentSubject"/>
    <w:uiPriority w:val="99"/>
    <w:semiHidden/>
    <w:rsid w:val="006B2604"/>
    <w:rPr>
      <w:b/>
      <w:bCs/>
    </w:rPr>
  </w:style>
  <w:style w:type="paragraph" w:styleId="Revision">
    <w:name w:val="Revision"/>
    <w:hidden/>
    <w:uiPriority w:val="99"/>
    <w:semiHidden/>
    <w:rsid w:val="006B2604"/>
  </w:style>
  <w:style w:type="paragraph" w:styleId="BalloonText">
    <w:name w:val="Balloon Text"/>
    <w:basedOn w:val="Normal"/>
    <w:link w:val="BalloonTextChar"/>
    <w:uiPriority w:val="99"/>
    <w:semiHidden/>
    <w:unhideWhenUsed/>
    <w:rsid w:val="006B260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B2604"/>
    <w:rPr>
      <w:rFonts w:asciiTheme="majorHAnsi" w:eastAsiaTheme="majorEastAsia" w:hAnsiTheme="majorHAnsi" w:cstheme="majorBidi"/>
      <w:sz w:val="18"/>
      <w:szCs w:val="18"/>
    </w:rPr>
  </w:style>
  <w:style w:type="paragraph" w:styleId="ListParagraph">
    <w:name w:val="List Paragraph"/>
    <w:basedOn w:val="Normal"/>
    <w:uiPriority w:val="34"/>
    <w:qFormat/>
    <w:rsid w:val="006D6050"/>
    <w:pPr>
      <w:ind w:leftChars="200" w:left="480"/>
    </w:pPr>
  </w:style>
  <w:style w:type="paragraph" w:styleId="Header">
    <w:name w:val="header"/>
    <w:basedOn w:val="Normal"/>
    <w:link w:val="HeaderChar"/>
    <w:uiPriority w:val="99"/>
    <w:unhideWhenUsed/>
    <w:rsid w:val="00CD5F1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D5F1A"/>
    <w:rPr>
      <w:sz w:val="20"/>
      <w:szCs w:val="20"/>
    </w:rPr>
  </w:style>
  <w:style w:type="paragraph" w:styleId="Footer">
    <w:name w:val="footer"/>
    <w:basedOn w:val="Normal"/>
    <w:link w:val="FooterChar"/>
    <w:uiPriority w:val="99"/>
    <w:unhideWhenUsed/>
    <w:rsid w:val="00CD5F1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D5F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490377">
      <w:bodyDiv w:val="1"/>
      <w:marLeft w:val="0"/>
      <w:marRight w:val="0"/>
      <w:marTop w:val="0"/>
      <w:marBottom w:val="0"/>
      <w:divBdr>
        <w:top w:val="none" w:sz="0" w:space="0" w:color="auto"/>
        <w:left w:val="none" w:sz="0" w:space="0" w:color="auto"/>
        <w:bottom w:val="none" w:sz="0" w:space="0" w:color="auto"/>
        <w:right w:val="none" w:sz="0" w:space="0" w:color="auto"/>
      </w:divBdr>
    </w:div>
    <w:div w:id="11034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reform.gov.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233E2-7D1A-42AA-B140-D4700BF3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Cheuk</dc:creator>
  <cp:keywords/>
  <dc:description/>
  <cp:lastModifiedBy>YAU , MY</cp:lastModifiedBy>
  <cp:revision>9</cp:revision>
  <cp:lastPrinted>2026-01-07T06:37:00Z</cp:lastPrinted>
  <dcterms:created xsi:type="dcterms:W3CDTF">2025-12-22T07:21:00Z</dcterms:created>
  <dcterms:modified xsi:type="dcterms:W3CDTF">2026-01-07T06:37:00Z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