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E717E87" w14:textId="77777777" w:rsidR="00382F9F" w:rsidRPr="00F24BB0" w:rsidRDefault="002D5A41" w:rsidP="00382F9F">
      <w:pPr>
        <w:spacing w:line="0" w:lineRule="atLeast"/>
        <w:jc w:val="center"/>
        <w:rPr>
          <w:rFonts w:ascii="Arial Bold" w:hAnsi="Arial Bold" w:cs="Arial"/>
          <w:b/>
          <w:smallCaps/>
          <w:sz w:val="28"/>
          <w:szCs w:val="28"/>
          <w:lang w:val="en-US"/>
        </w:rPr>
      </w:pPr>
      <w:r>
        <w:rPr>
          <w:rFonts w:ascii="Arial Bold" w:hAnsi="Arial Bold" w:cs="Arial"/>
          <w:b/>
          <w:smallCaps/>
          <w:sz w:val="28"/>
          <w:szCs w:val="28"/>
          <w:lang w:val="en-US"/>
        </w:rPr>
        <w:t>The</w:t>
      </w:r>
      <w:r w:rsidR="00382F9F" w:rsidRPr="00F24BB0">
        <w:rPr>
          <w:rFonts w:ascii="Arial Bold" w:hAnsi="Arial Bold" w:cs="Arial"/>
          <w:b/>
          <w:smallCaps/>
          <w:sz w:val="28"/>
          <w:szCs w:val="28"/>
          <w:lang w:val="en-US"/>
        </w:rPr>
        <w:t xml:space="preserve"> </w:t>
      </w:r>
      <w:r>
        <w:rPr>
          <w:rFonts w:ascii="Arial Bold" w:hAnsi="Arial Bold" w:cs="Arial"/>
          <w:b/>
          <w:smallCaps/>
          <w:sz w:val="28"/>
          <w:szCs w:val="28"/>
          <w:lang w:val="en-US"/>
        </w:rPr>
        <w:t>Law</w:t>
      </w:r>
      <w:r w:rsidR="00382F9F" w:rsidRPr="00F24BB0">
        <w:rPr>
          <w:rFonts w:ascii="Arial Bold" w:hAnsi="Arial Bold" w:cs="Arial"/>
          <w:b/>
          <w:smallCaps/>
          <w:sz w:val="28"/>
          <w:szCs w:val="28"/>
          <w:lang w:val="en-US"/>
        </w:rPr>
        <w:t xml:space="preserve"> R</w:t>
      </w:r>
      <w:r>
        <w:rPr>
          <w:rFonts w:ascii="Arial Bold" w:hAnsi="Arial Bold" w:cs="Arial"/>
          <w:b/>
          <w:smallCaps/>
          <w:sz w:val="28"/>
          <w:szCs w:val="28"/>
          <w:lang w:val="en-US"/>
        </w:rPr>
        <w:t>eform Commission</w:t>
      </w:r>
      <w:r w:rsidR="00382F9F" w:rsidRPr="00F24BB0">
        <w:rPr>
          <w:rFonts w:ascii="Arial Bold" w:hAnsi="Arial Bold" w:cs="Arial"/>
          <w:b/>
          <w:smallCaps/>
          <w:sz w:val="28"/>
          <w:szCs w:val="28"/>
          <w:lang w:val="en-US"/>
        </w:rPr>
        <w:t xml:space="preserve"> </w:t>
      </w:r>
      <w:r>
        <w:rPr>
          <w:rFonts w:ascii="Arial Bold" w:hAnsi="Arial Bold" w:cs="Arial"/>
          <w:b/>
          <w:smallCaps/>
          <w:sz w:val="28"/>
          <w:szCs w:val="28"/>
          <w:lang w:val="en-US"/>
        </w:rPr>
        <w:t>of</w:t>
      </w:r>
      <w:r w:rsidR="00382F9F" w:rsidRPr="00F24BB0">
        <w:rPr>
          <w:rFonts w:ascii="Arial Bold" w:hAnsi="Arial Bold" w:cs="Arial"/>
          <w:b/>
          <w:smallCaps/>
          <w:sz w:val="28"/>
          <w:szCs w:val="28"/>
          <w:lang w:val="en-US"/>
        </w:rPr>
        <w:t xml:space="preserve"> H</w:t>
      </w:r>
      <w:r>
        <w:rPr>
          <w:rFonts w:ascii="Arial Bold" w:hAnsi="Arial Bold" w:cs="Arial"/>
          <w:b/>
          <w:smallCaps/>
          <w:sz w:val="28"/>
          <w:szCs w:val="28"/>
          <w:lang w:val="en-US"/>
        </w:rPr>
        <w:t>ong</w:t>
      </w:r>
      <w:r w:rsidR="00382F9F" w:rsidRPr="00F24BB0">
        <w:rPr>
          <w:rFonts w:ascii="Arial Bold" w:hAnsi="Arial Bold" w:cs="Arial"/>
          <w:b/>
          <w:smallCaps/>
          <w:sz w:val="28"/>
          <w:szCs w:val="28"/>
          <w:lang w:val="en-US"/>
        </w:rPr>
        <w:t xml:space="preserve"> K</w:t>
      </w:r>
      <w:r>
        <w:rPr>
          <w:rFonts w:ascii="Arial Bold" w:hAnsi="Arial Bold" w:cs="Arial"/>
          <w:b/>
          <w:smallCaps/>
          <w:sz w:val="28"/>
          <w:szCs w:val="28"/>
          <w:lang w:val="en-US"/>
        </w:rPr>
        <w:t>ong</w:t>
      </w:r>
    </w:p>
    <w:p w14:paraId="730FD0FD" w14:textId="77777777" w:rsidR="00967411" w:rsidRPr="0097346F" w:rsidRDefault="00967411" w:rsidP="007324DB">
      <w:pPr>
        <w:tabs>
          <w:tab w:val="clear" w:pos="1418"/>
          <w:tab w:val="left" w:pos="1440"/>
        </w:tabs>
        <w:jc w:val="center"/>
        <w:rPr>
          <w:rFonts w:ascii="Arial Bold" w:hAnsi="Arial Bold" w:cs="Arial"/>
          <w:smallCaps/>
          <w:lang w:val="en-US"/>
        </w:rPr>
      </w:pPr>
    </w:p>
    <w:p w14:paraId="40D172D8" w14:textId="77777777" w:rsidR="00382F9F" w:rsidRPr="0097346F" w:rsidRDefault="00382F9F" w:rsidP="007324DB">
      <w:pPr>
        <w:tabs>
          <w:tab w:val="clear" w:pos="1418"/>
          <w:tab w:val="left" w:pos="1440"/>
        </w:tabs>
        <w:jc w:val="center"/>
        <w:rPr>
          <w:rFonts w:ascii="Arial Bold" w:hAnsi="Arial Bold" w:cs="Arial"/>
          <w:b/>
          <w:smallCaps/>
          <w:lang w:val="en-US"/>
        </w:rPr>
      </w:pPr>
    </w:p>
    <w:p w14:paraId="3E2FA8E7" w14:textId="77777777" w:rsidR="00A55F12" w:rsidRDefault="002D5A41" w:rsidP="00967411">
      <w:pPr>
        <w:jc w:val="center"/>
        <w:rPr>
          <w:rFonts w:ascii="Arial Bold" w:hAnsi="Arial Bold" w:cs="Arial"/>
          <w:b/>
          <w:smallCaps/>
          <w:sz w:val="32"/>
          <w:szCs w:val="32"/>
          <w:lang w:val="en-US"/>
        </w:rPr>
      </w:pPr>
      <w:r>
        <w:rPr>
          <w:rFonts w:ascii="Arial Bold" w:hAnsi="Arial Bold" w:cs="Arial"/>
          <w:b/>
          <w:smallCaps/>
          <w:sz w:val="32"/>
          <w:szCs w:val="32"/>
          <w:lang w:val="en-US"/>
        </w:rPr>
        <w:t>Report</w:t>
      </w:r>
    </w:p>
    <w:p w14:paraId="456F76FE" w14:textId="77777777" w:rsidR="00DC639D" w:rsidRPr="0097346F" w:rsidRDefault="00DC639D" w:rsidP="00967411">
      <w:pPr>
        <w:jc w:val="center"/>
        <w:rPr>
          <w:rFonts w:ascii="Arial Bold" w:hAnsi="Arial Bold" w:cs="Arial"/>
          <w:b/>
          <w:smallCaps/>
          <w:lang w:val="en-US"/>
        </w:rPr>
      </w:pPr>
    </w:p>
    <w:p w14:paraId="6034B647" w14:textId="77777777" w:rsidR="00DC639D" w:rsidRPr="0097346F" w:rsidRDefault="00DC639D" w:rsidP="00967411">
      <w:pPr>
        <w:jc w:val="center"/>
        <w:rPr>
          <w:rFonts w:ascii="Arial Bold" w:hAnsi="Arial Bold" w:cs="Arial"/>
          <w:b/>
          <w:smallCaps/>
          <w:lang w:val="en-US"/>
        </w:rPr>
      </w:pPr>
    </w:p>
    <w:p w14:paraId="6141B0FC" w14:textId="77777777" w:rsidR="00A55F12" w:rsidRPr="00696207" w:rsidRDefault="00A55F12" w:rsidP="00A55F12">
      <w:pPr>
        <w:spacing w:line="0" w:lineRule="atLeast"/>
        <w:jc w:val="center"/>
        <w:rPr>
          <w:rFonts w:ascii="Arial Bold" w:hAnsi="Arial Bold" w:cs="Arial"/>
          <w:b/>
          <w:smallCaps/>
          <w:sz w:val="32"/>
          <w:szCs w:val="32"/>
          <w:lang w:val="en-US"/>
        </w:rPr>
      </w:pPr>
      <w:r w:rsidRPr="00696207">
        <w:rPr>
          <w:rFonts w:ascii="Arial Bold" w:hAnsi="Arial Bold" w:cs="Arial"/>
          <w:b/>
          <w:smallCaps/>
          <w:sz w:val="32"/>
          <w:szCs w:val="32"/>
          <w:lang w:val="en-US"/>
        </w:rPr>
        <w:t>C</w:t>
      </w:r>
      <w:r w:rsidR="002D5A41" w:rsidRPr="00696207">
        <w:rPr>
          <w:rFonts w:ascii="Arial Bold" w:hAnsi="Arial Bold" w:cs="Arial"/>
          <w:b/>
          <w:smallCaps/>
          <w:sz w:val="32"/>
          <w:szCs w:val="32"/>
          <w:lang w:val="en-US"/>
        </w:rPr>
        <w:t>ausing</w:t>
      </w:r>
      <w:r w:rsidRPr="00696207">
        <w:rPr>
          <w:rFonts w:ascii="Arial Bold" w:hAnsi="Arial Bold" w:cs="Arial"/>
          <w:b/>
          <w:smallCaps/>
          <w:sz w:val="32"/>
          <w:szCs w:val="32"/>
          <w:lang w:val="en-US"/>
        </w:rPr>
        <w:t xml:space="preserve"> </w:t>
      </w:r>
      <w:r w:rsidR="002D5A41" w:rsidRPr="00696207">
        <w:rPr>
          <w:rFonts w:ascii="Arial Bold" w:hAnsi="Arial Bold" w:cs="Arial"/>
          <w:b/>
          <w:smallCaps/>
          <w:sz w:val="32"/>
          <w:szCs w:val="32"/>
          <w:lang w:val="en-US"/>
        </w:rPr>
        <w:t>or</w:t>
      </w:r>
      <w:r w:rsidRPr="00696207">
        <w:rPr>
          <w:rFonts w:ascii="Arial Bold" w:hAnsi="Arial Bold" w:cs="Arial"/>
          <w:b/>
          <w:smallCaps/>
          <w:sz w:val="32"/>
          <w:szCs w:val="32"/>
          <w:lang w:val="en-US"/>
        </w:rPr>
        <w:t xml:space="preserve"> A</w:t>
      </w:r>
      <w:r w:rsidR="002D5A41" w:rsidRPr="00696207">
        <w:rPr>
          <w:rFonts w:ascii="Arial Bold" w:hAnsi="Arial Bold" w:cs="Arial"/>
          <w:b/>
          <w:smallCaps/>
          <w:sz w:val="32"/>
          <w:szCs w:val="32"/>
          <w:lang w:val="en-US"/>
        </w:rPr>
        <w:t>llowing</w:t>
      </w:r>
      <w:r w:rsidRPr="00696207">
        <w:rPr>
          <w:rFonts w:ascii="Arial Bold" w:hAnsi="Arial Bold" w:cs="Arial"/>
          <w:b/>
          <w:smallCaps/>
          <w:sz w:val="32"/>
          <w:szCs w:val="32"/>
          <w:lang w:val="en-US"/>
        </w:rPr>
        <w:t xml:space="preserve"> T</w:t>
      </w:r>
      <w:r w:rsidR="002D5A41" w:rsidRPr="00696207">
        <w:rPr>
          <w:rFonts w:ascii="Arial Bold" w:hAnsi="Arial Bold" w:cs="Arial"/>
          <w:b/>
          <w:smallCaps/>
          <w:sz w:val="32"/>
          <w:szCs w:val="32"/>
          <w:lang w:val="en-US"/>
        </w:rPr>
        <w:t>he</w:t>
      </w:r>
      <w:r w:rsidRPr="00696207">
        <w:rPr>
          <w:rFonts w:ascii="Arial Bold" w:hAnsi="Arial Bold" w:cs="Arial"/>
          <w:b/>
          <w:smallCaps/>
          <w:sz w:val="32"/>
          <w:szCs w:val="32"/>
          <w:lang w:val="en-US"/>
        </w:rPr>
        <w:t xml:space="preserve"> D</w:t>
      </w:r>
      <w:r w:rsidR="002D5A41" w:rsidRPr="00696207">
        <w:rPr>
          <w:rFonts w:ascii="Arial Bold" w:hAnsi="Arial Bold" w:cs="Arial"/>
          <w:b/>
          <w:smallCaps/>
          <w:sz w:val="32"/>
          <w:szCs w:val="32"/>
          <w:lang w:val="en-US"/>
        </w:rPr>
        <w:t>eath</w:t>
      </w:r>
      <w:r w:rsidRPr="00696207">
        <w:rPr>
          <w:rFonts w:ascii="Arial Bold" w:hAnsi="Arial Bold" w:cs="Arial"/>
          <w:b/>
          <w:smallCaps/>
          <w:sz w:val="32"/>
          <w:szCs w:val="32"/>
          <w:lang w:val="en-US"/>
        </w:rPr>
        <w:t xml:space="preserve"> </w:t>
      </w:r>
      <w:r w:rsidR="002D5A41" w:rsidRPr="00696207">
        <w:rPr>
          <w:rFonts w:ascii="Arial Bold" w:hAnsi="Arial Bold" w:cs="Arial"/>
          <w:b/>
          <w:smallCaps/>
          <w:sz w:val="32"/>
          <w:szCs w:val="32"/>
          <w:lang w:val="en-US"/>
        </w:rPr>
        <w:t>or</w:t>
      </w:r>
      <w:r w:rsidRPr="00696207">
        <w:rPr>
          <w:rFonts w:ascii="Arial Bold" w:hAnsi="Arial Bold" w:cs="Arial"/>
          <w:b/>
          <w:smallCaps/>
          <w:sz w:val="32"/>
          <w:szCs w:val="32"/>
          <w:lang w:val="en-US"/>
        </w:rPr>
        <w:t xml:space="preserve"> S</w:t>
      </w:r>
      <w:r w:rsidR="002D5A41" w:rsidRPr="00696207">
        <w:rPr>
          <w:rFonts w:ascii="Arial Bold" w:hAnsi="Arial Bold" w:cs="Arial"/>
          <w:b/>
          <w:smallCaps/>
          <w:sz w:val="32"/>
          <w:szCs w:val="32"/>
          <w:lang w:val="en-US"/>
        </w:rPr>
        <w:t>erious</w:t>
      </w:r>
      <w:r w:rsidRPr="00696207">
        <w:rPr>
          <w:rFonts w:ascii="Arial Bold" w:hAnsi="Arial Bold" w:cs="Arial"/>
          <w:b/>
          <w:smallCaps/>
          <w:sz w:val="32"/>
          <w:szCs w:val="32"/>
          <w:lang w:val="en-US"/>
        </w:rPr>
        <w:t xml:space="preserve"> H</w:t>
      </w:r>
      <w:r w:rsidR="002D5A41" w:rsidRPr="00696207">
        <w:rPr>
          <w:rFonts w:ascii="Arial Bold" w:hAnsi="Arial Bold" w:cs="Arial"/>
          <w:b/>
          <w:smallCaps/>
          <w:sz w:val="32"/>
          <w:szCs w:val="32"/>
          <w:lang w:val="en-US"/>
        </w:rPr>
        <w:t>arm</w:t>
      </w:r>
    </w:p>
    <w:p w14:paraId="302FA2AB" w14:textId="77777777" w:rsidR="00A55F12" w:rsidRPr="00696207" w:rsidRDefault="002D5A41" w:rsidP="00A55F12">
      <w:pPr>
        <w:spacing w:line="0" w:lineRule="atLeast"/>
        <w:jc w:val="center"/>
        <w:rPr>
          <w:rFonts w:ascii="Arial Bold" w:hAnsi="Arial Bold" w:cs="Arial"/>
          <w:b/>
          <w:smallCaps/>
          <w:sz w:val="32"/>
          <w:szCs w:val="32"/>
          <w:lang w:val="en-US"/>
        </w:rPr>
      </w:pPr>
      <w:r w:rsidRPr="00696207">
        <w:rPr>
          <w:rFonts w:ascii="Arial Bold" w:hAnsi="Arial Bold" w:cs="Arial"/>
          <w:b/>
          <w:smallCaps/>
          <w:sz w:val="32"/>
          <w:szCs w:val="32"/>
          <w:lang w:val="en-US"/>
        </w:rPr>
        <w:t>of A Child or Vulnerable Adult</w:t>
      </w:r>
    </w:p>
    <w:p w14:paraId="2E803BE9" w14:textId="77777777" w:rsidR="00382F9F" w:rsidRPr="0097346F" w:rsidRDefault="00382F9F" w:rsidP="00E80748">
      <w:pPr>
        <w:spacing w:line="0" w:lineRule="atLeast"/>
        <w:jc w:val="center"/>
        <w:rPr>
          <w:rFonts w:ascii="Arial Bold" w:hAnsi="Arial Bold" w:cs="Arial"/>
          <w:b/>
          <w:smallCaps/>
          <w:lang w:val="en-US"/>
        </w:rPr>
      </w:pPr>
    </w:p>
    <w:p w14:paraId="08871F8E" w14:textId="77777777" w:rsidR="00A55F12" w:rsidRPr="0097346F" w:rsidRDefault="00A55F12" w:rsidP="00E80748">
      <w:pPr>
        <w:spacing w:line="0" w:lineRule="atLeast"/>
        <w:jc w:val="center"/>
        <w:rPr>
          <w:rFonts w:ascii="Arial Bold" w:hAnsi="Arial Bold" w:cs="Arial"/>
          <w:b/>
          <w:smallCaps/>
          <w:lang w:val="en-US"/>
        </w:rPr>
      </w:pPr>
    </w:p>
    <w:p w14:paraId="42D2501F" w14:textId="77777777" w:rsidR="00967411" w:rsidRPr="00DC4CA5" w:rsidRDefault="00186831" w:rsidP="00E80748">
      <w:pPr>
        <w:spacing w:line="0" w:lineRule="atLeast"/>
        <w:jc w:val="center"/>
        <w:rPr>
          <w:rFonts w:ascii="Arial Bold" w:hAnsi="Arial Bold" w:cs="Arial"/>
          <w:b/>
          <w:smallCaps/>
          <w:sz w:val="28"/>
          <w:szCs w:val="28"/>
          <w:lang w:val="en-US"/>
        </w:rPr>
      </w:pPr>
      <w:r w:rsidRPr="00DC4CA5">
        <w:rPr>
          <w:rFonts w:ascii="Arial Bold" w:hAnsi="Arial Bold" w:cs="Arial"/>
          <w:b/>
          <w:smallCaps/>
          <w:sz w:val="28"/>
          <w:szCs w:val="28"/>
          <w:lang w:val="en-US"/>
        </w:rPr>
        <w:t>E</w:t>
      </w:r>
      <w:r w:rsidR="002D5A41" w:rsidRPr="00DC4CA5">
        <w:rPr>
          <w:rFonts w:ascii="Arial Bold" w:hAnsi="Arial Bold" w:cs="Arial"/>
          <w:b/>
          <w:smallCaps/>
          <w:sz w:val="28"/>
          <w:szCs w:val="28"/>
          <w:lang w:val="en-US"/>
        </w:rPr>
        <w:t>xecutive</w:t>
      </w:r>
      <w:r w:rsidRPr="00DC4CA5">
        <w:rPr>
          <w:rFonts w:ascii="Arial Bold" w:hAnsi="Arial Bold" w:cs="Arial"/>
          <w:b/>
          <w:smallCaps/>
          <w:sz w:val="28"/>
          <w:szCs w:val="28"/>
          <w:lang w:val="en-US"/>
        </w:rPr>
        <w:t xml:space="preserve"> S</w:t>
      </w:r>
      <w:r w:rsidR="002D5A41" w:rsidRPr="00DC4CA5">
        <w:rPr>
          <w:rFonts w:ascii="Arial Bold" w:hAnsi="Arial Bold" w:cs="Arial"/>
          <w:b/>
          <w:smallCaps/>
          <w:sz w:val="28"/>
          <w:szCs w:val="28"/>
          <w:lang w:val="en-US"/>
        </w:rPr>
        <w:t>ummary</w:t>
      </w:r>
    </w:p>
    <w:p w14:paraId="19587E52" w14:textId="77777777" w:rsidR="00186831" w:rsidRPr="00186831" w:rsidRDefault="00186831" w:rsidP="00E80748">
      <w:pPr>
        <w:spacing w:line="0" w:lineRule="atLeast"/>
        <w:jc w:val="center"/>
        <w:rPr>
          <w:rFonts w:cs="Arial"/>
          <w:b/>
          <w:smallCaps/>
          <w:lang w:val="en-US"/>
        </w:rPr>
      </w:pPr>
    </w:p>
    <w:p w14:paraId="72F2C715" w14:textId="77777777" w:rsidR="00E80748" w:rsidRDefault="00E80748" w:rsidP="00E80748">
      <w:pPr>
        <w:spacing w:line="0" w:lineRule="atLeast"/>
        <w:jc w:val="center"/>
        <w:rPr>
          <w:b/>
          <w:smallCaps/>
        </w:rPr>
      </w:pPr>
    </w:p>
    <w:p w14:paraId="66CC72C7" w14:textId="77777777" w:rsidR="00BF1355" w:rsidRDefault="00BF1355" w:rsidP="00E80748">
      <w:pPr>
        <w:spacing w:line="0" w:lineRule="atLeast"/>
        <w:jc w:val="center"/>
        <w:rPr>
          <w:b/>
          <w:smallCaps/>
        </w:rPr>
      </w:pPr>
    </w:p>
    <w:p w14:paraId="4C5C29C3" w14:textId="77777777" w:rsidR="00931B59" w:rsidRPr="00E80748" w:rsidRDefault="00931B59" w:rsidP="00E80748">
      <w:pPr>
        <w:spacing w:line="0" w:lineRule="atLeast"/>
        <w:jc w:val="center"/>
        <w:rPr>
          <w:b/>
          <w:smallCaps/>
        </w:rPr>
      </w:pPr>
    </w:p>
    <w:p w14:paraId="06BB0625" w14:textId="77777777" w:rsidR="00F30553" w:rsidRDefault="00634857" w:rsidP="00634857">
      <w:pPr>
        <w:rPr>
          <w:rFonts w:cs="Arial"/>
        </w:rPr>
      </w:pPr>
      <w:r>
        <w:rPr>
          <w:rFonts w:cs="Arial"/>
          <w:i/>
          <w:sz w:val="22"/>
        </w:rPr>
        <w:t xml:space="preserve">(This executive summary is an outline of the Report.  Copies of the full Report can be downloaded from </w:t>
      </w:r>
      <w:r w:rsidRPr="0044469D">
        <w:rPr>
          <w:rFonts w:cs="Arial"/>
          <w:i/>
          <w:sz w:val="22"/>
        </w:rPr>
        <w:t xml:space="preserve">the Commission's website at: </w:t>
      </w:r>
      <w:hyperlink r:id="rId8" w:history="1">
        <w:r w:rsidRPr="00634857">
          <w:rPr>
            <w:rStyle w:val="Hyperlink"/>
            <w:rFonts w:cs="Arial"/>
            <w:i/>
            <w:color w:val="auto"/>
            <w:sz w:val="22"/>
          </w:rPr>
          <w:t>http://www.hkreform.gov.hk</w:t>
        </w:r>
      </w:hyperlink>
      <w:r>
        <w:rPr>
          <w:rFonts w:cs="Arial"/>
          <w:i/>
          <w:sz w:val="22"/>
        </w:rPr>
        <w:t xml:space="preserve"> or </w:t>
      </w:r>
      <w:r w:rsidRPr="0012401C">
        <w:rPr>
          <w:rFonts w:cs="Arial"/>
          <w:i/>
          <w:sz w:val="22"/>
        </w:rPr>
        <w:t>obtained from the Secretariat of the Law Reform Commission, 4th Floor, East Wing, Justice Place, 18 Lower Albert Road, Central, Hong Kong</w:t>
      </w:r>
      <w:r>
        <w:rPr>
          <w:rFonts w:cs="Arial"/>
          <w:i/>
          <w:sz w:val="22"/>
        </w:rPr>
        <w:t>.)</w:t>
      </w:r>
      <w:r w:rsidRPr="00851481">
        <w:rPr>
          <w:rFonts w:cs="Arial"/>
          <w:i/>
          <w:sz w:val="22"/>
        </w:rPr>
        <w:t xml:space="preserve"> </w:t>
      </w:r>
    </w:p>
    <w:p w14:paraId="4FE766EC" w14:textId="77777777" w:rsidR="009D24AE" w:rsidRDefault="009D24AE" w:rsidP="009D24AE">
      <w:pPr>
        <w:snapToGrid/>
        <w:spacing w:line="0" w:lineRule="atLeast"/>
        <w:rPr>
          <w:lang w:val="en-US"/>
        </w:rPr>
      </w:pPr>
    </w:p>
    <w:p w14:paraId="7B644F63" w14:textId="77777777" w:rsidR="00492B28" w:rsidRDefault="00492B28" w:rsidP="009D24AE">
      <w:pPr>
        <w:snapToGrid/>
        <w:spacing w:line="0" w:lineRule="atLeast"/>
        <w:rPr>
          <w:lang w:val="en-US"/>
        </w:rPr>
      </w:pPr>
    </w:p>
    <w:p w14:paraId="52467922" w14:textId="77777777" w:rsidR="00534954" w:rsidRDefault="00534954" w:rsidP="009D24AE">
      <w:pPr>
        <w:snapToGrid/>
        <w:spacing w:line="0" w:lineRule="atLeast"/>
        <w:rPr>
          <w:lang w:val="en-US"/>
        </w:rPr>
      </w:pPr>
    </w:p>
    <w:p w14:paraId="74A1E40A" w14:textId="77777777" w:rsidR="00330B5C" w:rsidRPr="00192FED" w:rsidRDefault="00C33CBC" w:rsidP="009D24AE">
      <w:pPr>
        <w:snapToGrid/>
        <w:spacing w:line="0" w:lineRule="atLeast"/>
        <w:rPr>
          <w:b/>
          <w:sz w:val="28"/>
          <w:szCs w:val="28"/>
          <w:lang w:val="en-US"/>
        </w:rPr>
      </w:pPr>
      <w:r>
        <w:rPr>
          <w:b/>
          <w:sz w:val="28"/>
          <w:szCs w:val="28"/>
          <w:lang w:val="en-US"/>
        </w:rPr>
        <w:t>Consultation exercise</w:t>
      </w:r>
    </w:p>
    <w:p w14:paraId="01B659E9" w14:textId="77777777" w:rsidR="002532AD" w:rsidRPr="002532AD" w:rsidRDefault="002532AD" w:rsidP="002532AD">
      <w:pPr>
        <w:widowControl/>
        <w:tabs>
          <w:tab w:val="clear" w:pos="1418"/>
        </w:tabs>
        <w:adjustRightInd/>
        <w:rPr>
          <w:szCs w:val="20"/>
        </w:rPr>
      </w:pPr>
    </w:p>
    <w:p w14:paraId="4BA3DFF0" w14:textId="77777777" w:rsidR="002532AD" w:rsidRPr="002532AD" w:rsidRDefault="005E4008" w:rsidP="002532AD">
      <w:pPr>
        <w:widowControl/>
        <w:tabs>
          <w:tab w:val="clear" w:pos="1418"/>
        </w:tabs>
        <w:adjustRightInd/>
        <w:rPr>
          <w:szCs w:val="20"/>
        </w:rPr>
      </w:pPr>
      <w:r>
        <w:rPr>
          <w:szCs w:val="20"/>
        </w:rPr>
        <w:t>1</w:t>
      </w:r>
      <w:r w:rsidR="00DE5F03">
        <w:rPr>
          <w:szCs w:val="20"/>
        </w:rPr>
        <w:t>.</w:t>
      </w:r>
      <w:r w:rsidR="002532AD" w:rsidRPr="002532AD">
        <w:rPr>
          <w:szCs w:val="20"/>
        </w:rPr>
        <w:tab/>
      </w:r>
      <w:r w:rsidR="002532AD" w:rsidRPr="002532AD">
        <w:rPr>
          <w:szCs w:val="20"/>
        </w:rPr>
        <w:tab/>
      </w:r>
      <w:r w:rsidR="00A82C76">
        <w:rPr>
          <w:szCs w:val="20"/>
        </w:rPr>
        <w:t xml:space="preserve">In May 2019, the Law Reform Commission’s </w:t>
      </w:r>
      <w:proofErr w:type="gramStart"/>
      <w:r w:rsidR="00A82C76">
        <w:rPr>
          <w:szCs w:val="20"/>
        </w:rPr>
        <w:t>C</w:t>
      </w:r>
      <w:r w:rsidR="00086FF5">
        <w:rPr>
          <w:szCs w:val="20"/>
        </w:rPr>
        <w:t>ausing</w:t>
      </w:r>
      <w:proofErr w:type="gramEnd"/>
      <w:r w:rsidR="00A82C76">
        <w:rPr>
          <w:szCs w:val="20"/>
        </w:rPr>
        <w:t xml:space="preserve"> or Allowing the Death of a Child or Vulnerable Adult Sub-committee published the Consultation Paper on Causing or Allowing the Death or Serious Harm of a Child or Vulnerable Adult</w:t>
      </w:r>
      <w:r w:rsidR="006F0DBF">
        <w:rPr>
          <w:szCs w:val="20"/>
        </w:rPr>
        <w:t xml:space="preserve"> (“</w:t>
      </w:r>
      <w:r w:rsidR="006F0DBF" w:rsidRPr="003029C1">
        <w:rPr>
          <w:b/>
          <w:szCs w:val="20"/>
        </w:rPr>
        <w:t>CP</w:t>
      </w:r>
      <w:r w:rsidR="006F0DBF">
        <w:rPr>
          <w:szCs w:val="20"/>
        </w:rPr>
        <w:t>”)</w:t>
      </w:r>
      <w:r w:rsidR="00B97CF5">
        <w:rPr>
          <w:szCs w:val="20"/>
        </w:rPr>
        <w:t xml:space="preserve">, pursuant to the </w:t>
      </w:r>
      <w:r w:rsidR="00F3679D">
        <w:rPr>
          <w:szCs w:val="20"/>
        </w:rPr>
        <w:t>terms of reference</w:t>
      </w:r>
      <w:r w:rsidR="002532AD" w:rsidRPr="002532AD">
        <w:rPr>
          <w:szCs w:val="20"/>
        </w:rPr>
        <w:t>:</w:t>
      </w:r>
    </w:p>
    <w:p w14:paraId="68D2DF0B" w14:textId="77777777" w:rsidR="002532AD" w:rsidRPr="002532AD" w:rsidRDefault="002532AD" w:rsidP="002532AD">
      <w:pPr>
        <w:widowControl/>
        <w:tabs>
          <w:tab w:val="clear" w:pos="1418"/>
        </w:tabs>
        <w:adjustRightInd/>
        <w:rPr>
          <w:szCs w:val="20"/>
        </w:rPr>
      </w:pPr>
    </w:p>
    <w:p w14:paraId="7CC38634" w14:textId="77777777" w:rsidR="002532AD" w:rsidRDefault="002532AD" w:rsidP="0097346F">
      <w:pPr>
        <w:widowControl/>
        <w:tabs>
          <w:tab w:val="clear" w:pos="1418"/>
        </w:tabs>
        <w:adjustRightInd/>
        <w:ind w:left="720" w:right="720"/>
        <w:rPr>
          <w:rFonts w:cs="Arial"/>
          <w:i/>
          <w:szCs w:val="20"/>
        </w:rPr>
      </w:pPr>
      <w:r w:rsidRPr="002532AD">
        <w:rPr>
          <w:rFonts w:cs="Arial"/>
          <w:i/>
          <w:szCs w:val="20"/>
        </w:rPr>
        <w:t>“To review the law, both substantive and procedural, relating to the criminal liability of parents or carers of children and vulnerable adults when the child or vulnerable adult dies or is seriously injured as a result of an unlawful act while within their care, having particular regard to reforms in other jurisdictions, and to recommend such changes in the law as may be thought appropriate.”</w:t>
      </w:r>
    </w:p>
    <w:p w14:paraId="74007797" w14:textId="77777777" w:rsidR="00CE2046" w:rsidRPr="002532AD" w:rsidRDefault="00CE2046" w:rsidP="002532AD">
      <w:pPr>
        <w:widowControl/>
        <w:tabs>
          <w:tab w:val="clear" w:pos="1418"/>
        </w:tabs>
        <w:adjustRightInd/>
        <w:ind w:left="900" w:right="720"/>
        <w:rPr>
          <w:rFonts w:cs="Arial"/>
          <w:i/>
          <w:szCs w:val="20"/>
        </w:rPr>
      </w:pPr>
    </w:p>
    <w:p w14:paraId="50F8E20D" w14:textId="0334F147" w:rsidR="006F0DBF" w:rsidRPr="006F0DBF" w:rsidRDefault="006F0DBF" w:rsidP="00414587">
      <w:pPr>
        <w:widowControl/>
        <w:tabs>
          <w:tab w:val="clear" w:pos="1418"/>
        </w:tabs>
        <w:adjustRightInd/>
        <w:rPr>
          <w:szCs w:val="20"/>
        </w:rPr>
      </w:pPr>
      <w:r w:rsidRPr="006F0DBF">
        <w:rPr>
          <w:szCs w:val="20"/>
        </w:rPr>
        <w:t>2.</w:t>
      </w:r>
      <w:r>
        <w:rPr>
          <w:szCs w:val="20"/>
        </w:rPr>
        <w:tab/>
      </w:r>
      <w:r>
        <w:rPr>
          <w:szCs w:val="20"/>
        </w:rPr>
        <w:tab/>
        <w:t>The Sub-committee recommend</w:t>
      </w:r>
      <w:r w:rsidR="00BB20FF">
        <w:rPr>
          <w:szCs w:val="20"/>
        </w:rPr>
        <w:t>s</w:t>
      </w:r>
      <w:r>
        <w:rPr>
          <w:szCs w:val="20"/>
        </w:rPr>
        <w:t xml:space="preserve"> in</w:t>
      </w:r>
      <w:r w:rsidR="00BB20FF">
        <w:rPr>
          <w:szCs w:val="20"/>
        </w:rPr>
        <w:t xml:space="preserve">troducing a new offence of </w:t>
      </w:r>
      <w:r w:rsidR="00BB20FF" w:rsidRPr="00BB20FF">
        <w:rPr>
          <w:i/>
          <w:szCs w:val="20"/>
        </w:rPr>
        <w:t>“failure to protect”</w:t>
      </w:r>
      <w:r w:rsidR="00BB20FF">
        <w:rPr>
          <w:szCs w:val="20"/>
        </w:rPr>
        <w:t xml:space="preserve"> to </w:t>
      </w:r>
      <w:r w:rsidR="003D72AE">
        <w:rPr>
          <w:szCs w:val="20"/>
        </w:rPr>
        <w:t>be added to</w:t>
      </w:r>
      <w:r w:rsidR="00BB20FF">
        <w:rPr>
          <w:szCs w:val="20"/>
        </w:rPr>
        <w:t xml:space="preserve"> the Offences against the Person Ordinance (Cap 212) (“</w:t>
      </w:r>
      <w:r w:rsidR="00BB20FF" w:rsidRPr="003029C1">
        <w:rPr>
          <w:b/>
          <w:szCs w:val="20"/>
        </w:rPr>
        <w:t>OAPO</w:t>
      </w:r>
      <w:r w:rsidR="00BB20FF">
        <w:rPr>
          <w:szCs w:val="20"/>
        </w:rPr>
        <w:t xml:space="preserve">”) </w:t>
      </w:r>
      <w:r w:rsidR="00F86CF0">
        <w:rPr>
          <w:szCs w:val="20"/>
        </w:rPr>
        <w:t>(</w:t>
      </w:r>
      <w:r w:rsidR="00E9662E">
        <w:rPr>
          <w:szCs w:val="20"/>
        </w:rPr>
        <w:t xml:space="preserve">the </w:t>
      </w:r>
      <w:r w:rsidR="00F86CF0">
        <w:rPr>
          <w:szCs w:val="20"/>
        </w:rPr>
        <w:t>“</w:t>
      </w:r>
      <w:r w:rsidR="00F86CF0" w:rsidRPr="007702F8">
        <w:rPr>
          <w:b/>
          <w:szCs w:val="20"/>
        </w:rPr>
        <w:t>proposed offence</w:t>
      </w:r>
      <w:r w:rsidR="00F86CF0">
        <w:rPr>
          <w:szCs w:val="20"/>
        </w:rPr>
        <w:t>”</w:t>
      </w:r>
      <w:r w:rsidR="00650847">
        <w:rPr>
          <w:szCs w:val="20"/>
        </w:rPr>
        <w:t>, see draft Bill at Annex 1 of the Report</w:t>
      </w:r>
      <w:r w:rsidR="00F86CF0">
        <w:rPr>
          <w:szCs w:val="20"/>
        </w:rPr>
        <w:t>)</w:t>
      </w:r>
      <w:r w:rsidR="00744E0F">
        <w:rPr>
          <w:szCs w:val="20"/>
        </w:rPr>
        <w:t xml:space="preserve">.  The proposed offence </w:t>
      </w:r>
      <w:r w:rsidR="00263F7F">
        <w:rPr>
          <w:szCs w:val="20"/>
        </w:rPr>
        <w:t xml:space="preserve">imposes criminal liability on bystanders to </w:t>
      </w:r>
      <w:r w:rsidR="00BB20FF">
        <w:rPr>
          <w:szCs w:val="20"/>
        </w:rPr>
        <w:t xml:space="preserve">deal with the problem of </w:t>
      </w:r>
      <w:r w:rsidR="00BB20FF" w:rsidRPr="00BB20FF">
        <w:rPr>
          <w:i/>
          <w:szCs w:val="20"/>
        </w:rPr>
        <w:t>“which of you did it”</w:t>
      </w:r>
      <w:r w:rsidR="00BB20FF">
        <w:rPr>
          <w:szCs w:val="20"/>
        </w:rPr>
        <w:t xml:space="preserve"> cases, where</w:t>
      </w:r>
      <w:r w:rsidR="007E1A90">
        <w:rPr>
          <w:szCs w:val="20"/>
        </w:rPr>
        <w:t xml:space="preserve"> </w:t>
      </w:r>
      <w:r w:rsidR="00FD725A">
        <w:rPr>
          <w:szCs w:val="20"/>
        </w:rPr>
        <w:t xml:space="preserve">a victim of abuse dies </w:t>
      </w:r>
      <w:r w:rsidR="00AD5F93">
        <w:rPr>
          <w:szCs w:val="20"/>
        </w:rPr>
        <w:t xml:space="preserve">or suffers serious harm </w:t>
      </w:r>
      <w:r w:rsidR="00FD725A">
        <w:rPr>
          <w:szCs w:val="20"/>
        </w:rPr>
        <w:t xml:space="preserve">and </w:t>
      </w:r>
      <w:r w:rsidR="00F86CF0">
        <w:rPr>
          <w:szCs w:val="20"/>
        </w:rPr>
        <w:t xml:space="preserve">all accused parties </w:t>
      </w:r>
      <w:r w:rsidR="003D45DC">
        <w:rPr>
          <w:szCs w:val="20"/>
        </w:rPr>
        <w:t>are</w:t>
      </w:r>
      <w:r w:rsidR="007E1A90">
        <w:rPr>
          <w:szCs w:val="20"/>
        </w:rPr>
        <w:t xml:space="preserve"> acquitted</w:t>
      </w:r>
      <w:r w:rsidR="00F86CF0">
        <w:rPr>
          <w:szCs w:val="20"/>
        </w:rPr>
        <w:t xml:space="preserve"> of murder</w:t>
      </w:r>
      <w:r w:rsidR="00AD5F93">
        <w:rPr>
          <w:szCs w:val="20"/>
        </w:rPr>
        <w:t>,</w:t>
      </w:r>
      <w:r w:rsidR="00F86CF0">
        <w:rPr>
          <w:szCs w:val="20"/>
        </w:rPr>
        <w:t xml:space="preserve"> manslaughter </w:t>
      </w:r>
      <w:r w:rsidR="00AD5F93">
        <w:rPr>
          <w:szCs w:val="20"/>
        </w:rPr>
        <w:t xml:space="preserve">or other causative offences </w:t>
      </w:r>
      <w:r w:rsidR="007E1A90">
        <w:rPr>
          <w:szCs w:val="20"/>
        </w:rPr>
        <w:t xml:space="preserve">because it </w:t>
      </w:r>
      <w:r w:rsidR="00243F1F">
        <w:rPr>
          <w:szCs w:val="20"/>
        </w:rPr>
        <w:t xml:space="preserve">cannot be proven beyond reasonable doubt which one of them </w:t>
      </w:r>
      <w:r w:rsidR="003D45DC">
        <w:rPr>
          <w:szCs w:val="20"/>
        </w:rPr>
        <w:t>is</w:t>
      </w:r>
      <w:r w:rsidR="00243F1F">
        <w:rPr>
          <w:szCs w:val="20"/>
        </w:rPr>
        <w:t xml:space="preserve"> directly responsible.  The situation is often further complicated by the </w:t>
      </w:r>
      <w:r w:rsidR="00407501">
        <w:rPr>
          <w:szCs w:val="20"/>
        </w:rPr>
        <w:t xml:space="preserve">silence of the </w:t>
      </w:r>
      <w:r w:rsidR="00243F1F">
        <w:rPr>
          <w:szCs w:val="20"/>
        </w:rPr>
        <w:t>suspects and other family members</w:t>
      </w:r>
      <w:r w:rsidR="00C46776">
        <w:rPr>
          <w:szCs w:val="20"/>
        </w:rPr>
        <w:t xml:space="preserve"> w</w:t>
      </w:r>
      <w:r w:rsidR="007E1A90">
        <w:rPr>
          <w:szCs w:val="20"/>
        </w:rPr>
        <w:t>hen the victim cannot speak up for himself</w:t>
      </w:r>
      <w:r w:rsidR="00BB20FF">
        <w:rPr>
          <w:szCs w:val="20"/>
        </w:rPr>
        <w:t>.</w:t>
      </w:r>
      <w:r>
        <w:rPr>
          <w:szCs w:val="20"/>
        </w:rPr>
        <w:t xml:space="preserve"> </w:t>
      </w:r>
      <w:r w:rsidR="00BB20FF">
        <w:rPr>
          <w:szCs w:val="20"/>
        </w:rPr>
        <w:t xml:space="preserve"> </w:t>
      </w:r>
    </w:p>
    <w:p w14:paraId="7704F2D9" w14:textId="77777777" w:rsidR="00992766" w:rsidRDefault="00992766" w:rsidP="00192FED">
      <w:pPr>
        <w:widowControl/>
        <w:tabs>
          <w:tab w:val="clear" w:pos="1418"/>
        </w:tabs>
        <w:adjustRightInd/>
        <w:rPr>
          <w:lang w:val="en-US"/>
        </w:rPr>
      </w:pPr>
    </w:p>
    <w:p w14:paraId="13E55EC7" w14:textId="77777777" w:rsidR="00EA331D" w:rsidRDefault="00534954" w:rsidP="00192FED">
      <w:pPr>
        <w:widowControl/>
        <w:tabs>
          <w:tab w:val="clear" w:pos="1418"/>
        </w:tabs>
        <w:adjustRightInd/>
        <w:rPr>
          <w:rFonts w:cs="Arial"/>
          <w:lang w:val="en-US"/>
        </w:rPr>
      </w:pPr>
      <w:r>
        <w:rPr>
          <w:lang w:val="en-US"/>
        </w:rPr>
        <w:lastRenderedPageBreak/>
        <w:t>3</w:t>
      </w:r>
      <w:r w:rsidR="005E4008">
        <w:rPr>
          <w:lang w:val="en-US"/>
        </w:rPr>
        <w:t>.</w:t>
      </w:r>
      <w:r w:rsidR="005E4008">
        <w:rPr>
          <w:lang w:val="en-US"/>
        </w:rPr>
        <w:tab/>
      </w:r>
      <w:r w:rsidR="005E4008">
        <w:rPr>
          <w:lang w:val="en-US"/>
        </w:rPr>
        <w:tab/>
      </w:r>
      <w:r w:rsidR="005E4008">
        <w:rPr>
          <w:rFonts w:cs="Arial"/>
        </w:rPr>
        <w:t xml:space="preserve">The Sub-committee </w:t>
      </w:r>
      <w:r w:rsidR="00605783">
        <w:rPr>
          <w:rFonts w:cs="Arial"/>
        </w:rPr>
        <w:t>received 113</w:t>
      </w:r>
      <w:r w:rsidR="004D1779" w:rsidRPr="00931B59">
        <w:rPr>
          <w:rStyle w:val="FootnoteReference"/>
          <w:rFonts w:cs="Arial"/>
          <w:sz w:val="24"/>
          <w:szCs w:val="24"/>
        </w:rPr>
        <w:footnoteReference w:id="1"/>
      </w:r>
      <w:r w:rsidR="00605783">
        <w:rPr>
          <w:rFonts w:cs="Arial"/>
        </w:rPr>
        <w:t xml:space="preserve"> responses from members of the public during the consultation</w:t>
      </w:r>
      <w:r w:rsidR="00ED1FA3">
        <w:rPr>
          <w:rFonts w:cs="Arial"/>
        </w:rPr>
        <w:t>.</w:t>
      </w:r>
      <w:r w:rsidR="00BA5DEE">
        <w:rPr>
          <w:rFonts w:cs="Arial"/>
        </w:rPr>
        <w:t xml:space="preserve">  We are most grateful to all those who have commented on the CP.</w:t>
      </w:r>
      <w:r w:rsidR="00ED1FA3">
        <w:rPr>
          <w:rFonts w:cs="Arial"/>
        </w:rPr>
        <w:t xml:space="preserve"> </w:t>
      </w:r>
    </w:p>
    <w:p w14:paraId="6171BA27" w14:textId="77777777" w:rsidR="00EA331D" w:rsidRDefault="00EA331D" w:rsidP="00EA331D">
      <w:pPr>
        <w:widowControl/>
        <w:tabs>
          <w:tab w:val="clear" w:pos="1418"/>
        </w:tabs>
        <w:adjustRightInd/>
        <w:rPr>
          <w:rFonts w:cs="Arial"/>
          <w:lang w:val="en-US"/>
        </w:rPr>
      </w:pPr>
    </w:p>
    <w:p w14:paraId="62FF5D68" w14:textId="77777777" w:rsidR="00437E0D" w:rsidRDefault="00437E0D" w:rsidP="002F0EDE">
      <w:pPr>
        <w:widowControl/>
        <w:tabs>
          <w:tab w:val="clear" w:pos="1418"/>
        </w:tabs>
        <w:adjustRightInd/>
        <w:rPr>
          <w:rFonts w:cs="Arial"/>
          <w:bCs/>
          <w:lang w:val="en-US"/>
        </w:rPr>
      </w:pPr>
      <w:bookmarkStart w:id="0" w:name="_Toc460249244"/>
      <w:bookmarkStart w:id="1" w:name="_Toc459106005"/>
      <w:bookmarkStart w:id="2" w:name="_Toc442361794"/>
    </w:p>
    <w:p w14:paraId="79AF468E" w14:textId="77777777" w:rsidR="00FD725A" w:rsidRDefault="00FD725A" w:rsidP="002F0EDE">
      <w:pPr>
        <w:widowControl/>
        <w:tabs>
          <w:tab w:val="clear" w:pos="1418"/>
        </w:tabs>
        <w:adjustRightInd/>
        <w:rPr>
          <w:rFonts w:cs="Arial"/>
          <w:b/>
          <w:bCs/>
          <w:sz w:val="28"/>
          <w:szCs w:val="28"/>
          <w:lang w:val="en-US"/>
        </w:rPr>
      </w:pPr>
      <w:r w:rsidRPr="00D32C94">
        <w:rPr>
          <w:rFonts w:cs="Arial"/>
          <w:b/>
          <w:bCs/>
          <w:sz w:val="28"/>
          <w:szCs w:val="28"/>
          <w:lang w:val="en-US"/>
        </w:rPr>
        <w:t>Structure of this Report</w:t>
      </w:r>
    </w:p>
    <w:p w14:paraId="5432A561" w14:textId="77777777" w:rsidR="00FD725A" w:rsidRPr="00D32C94" w:rsidRDefault="00FD725A" w:rsidP="002F0EDE">
      <w:pPr>
        <w:widowControl/>
        <w:tabs>
          <w:tab w:val="clear" w:pos="1418"/>
        </w:tabs>
        <w:adjustRightInd/>
        <w:rPr>
          <w:rFonts w:cs="Arial"/>
          <w:b/>
          <w:bCs/>
          <w:sz w:val="28"/>
          <w:szCs w:val="28"/>
          <w:lang w:val="en-US"/>
        </w:rPr>
      </w:pPr>
    </w:p>
    <w:p w14:paraId="35FF5461" w14:textId="19510EA4" w:rsidR="006E3396" w:rsidRDefault="006E3396" w:rsidP="006E3396">
      <w:pPr>
        <w:widowControl/>
        <w:tabs>
          <w:tab w:val="clear" w:pos="1418"/>
          <w:tab w:val="left" w:pos="1440"/>
        </w:tabs>
        <w:rPr>
          <w:rFonts w:eastAsiaTheme="minorEastAsia" w:cs="Arial"/>
        </w:rPr>
      </w:pPr>
      <w:r>
        <w:rPr>
          <w:rFonts w:cs="Arial"/>
        </w:rPr>
        <w:t>4.</w:t>
      </w:r>
      <w:r>
        <w:rPr>
          <w:rFonts w:cs="Arial"/>
        </w:rPr>
        <w:tab/>
      </w:r>
      <w:r w:rsidRPr="00571CCD">
        <w:rPr>
          <w:rFonts w:cs="Arial"/>
        </w:rPr>
        <w:t xml:space="preserve">This Report consists of </w:t>
      </w:r>
      <w:r>
        <w:rPr>
          <w:rFonts w:cs="Arial"/>
        </w:rPr>
        <w:t>ten</w:t>
      </w:r>
      <w:r w:rsidRPr="00571CCD">
        <w:rPr>
          <w:rFonts w:cs="Arial"/>
        </w:rPr>
        <w:t xml:space="preserve"> chapters</w:t>
      </w:r>
      <w:r>
        <w:rPr>
          <w:rFonts w:cs="Arial"/>
        </w:rPr>
        <w:t xml:space="preserve"> </w:t>
      </w:r>
      <w:r w:rsidR="007D20D8">
        <w:rPr>
          <w:rFonts w:cs="Arial"/>
        </w:rPr>
        <w:t>making</w:t>
      </w:r>
      <w:r>
        <w:rPr>
          <w:rFonts w:cs="Arial"/>
        </w:rPr>
        <w:t xml:space="preserve"> 1</w:t>
      </w:r>
      <w:r w:rsidR="00D85FA2">
        <w:rPr>
          <w:rFonts w:cs="Arial"/>
        </w:rPr>
        <w:t>4</w:t>
      </w:r>
      <w:r>
        <w:rPr>
          <w:rFonts w:cs="Arial"/>
        </w:rPr>
        <w:t xml:space="preserve"> Final Recommendations</w:t>
      </w:r>
      <w:r w:rsidRPr="00571CCD">
        <w:rPr>
          <w:rFonts w:cs="Arial"/>
        </w:rPr>
        <w:t>:</w:t>
      </w:r>
      <w:r>
        <w:rPr>
          <w:rFonts w:eastAsiaTheme="minorEastAsia" w:cs="Arial"/>
        </w:rPr>
        <w:t xml:space="preserve"> </w:t>
      </w:r>
    </w:p>
    <w:p w14:paraId="1F54D46C" w14:textId="77777777" w:rsidR="006E3396" w:rsidRDefault="006E3396" w:rsidP="006E3396">
      <w:pPr>
        <w:widowControl/>
        <w:tabs>
          <w:tab w:val="clear" w:pos="1418"/>
          <w:tab w:val="left" w:pos="1440"/>
        </w:tabs>
        <w:rPr>
          <w:rFonts w:eastAsiaTheme="minorEastAsia" w:cs="Arial"/>
        </w:rPr>
      </w:pPr>
    </w:p>
    <w:p w14:paraId="1465FC25" w14:textId="77777777" w:rsidR="006E3396" w:rsidRDefault="00403373" w:rsidP="00414587">
      <w:pPr>
        <w:pStyle w:val="ListParagraph"/>
        <w:widowControl/>
        <w:numPr>
          <w:ilvl w:val="0"/>
          <w:numId w:val="30"/>
        </w:numPr>
        <w:adjustRightInd/>
        <w:spacing w:after="120"/>
        <w:ind w:left="1440" w:hanging="720"/>
        <w:rPr>
          <w:rFonts w:eastAsiaTheme="minorEastAsia" w:cs="Arial"/>
        </w:rPr>
      </w:pPr>
      <w:r>
        <w:rPr>
          <w:rFonts w:eastAsiaTheme="minorEastAsia" w:cs="Arial"/>
        </w:rPr>
        <w:t>C</w:t>
      </w:r>
      <w:r w:rsidR="006E3396">
        <w:rPr>
          <w:rFonts w:eastAsiaTheme="minorEastAsia" w:cs="Arial"/>
        </w:rPr>
        <w:t xml:space="preserve">hapter </w:t>
      </w:r>
      <w:r>
        <w:rPr>
          <w:rFonts w:eastAsiaTheme="minorEastAsia" w:cs="Arial"/>
        </w:rPr>
        <w:t xml:space="preserve">1 </w:t>
      </w:r>
      <w:r w:rsidR="006E3396">
        <w:rPr>
          <w:rFonts w:eastAsiaTheme="minorEastAsia" w:cs="Arial"/>
        </w:rPr>
        <w:t>gives an introduction.</w:t>
      </w:r>
    </w:p>
    <w:p w14:paraId="2786C0CE" w14:textId="77777777" w:rsidR="006E3396" w:rsidRDefault="006E3396" w:rsidP="00414587">
      <w:pPr>
        <w:pStyle w:val="ListParagraph"/>
        <w:widowControl/>
        <w:numPr>
          <w:ilvl w:val="0"/>
          <w:numId w:val="30"/>
        </w:numPr>
        <w:adjustRightInd/>
        <w:spacing w:after="120"/>
        <w:ind w:left="1440" w:hanging="720"/>
        <w:rPr>
          <w:rFonts w:eastAsiaTheme="minorEastAsia" w:cs="Arial"/>
        </w:rPr>
      </w:pPr>
      <w:r>
        <w:rPr>
          <w:rFonts w:eastAsiaTheme="minorEastAsia" w:cs="Arial"/>
        </w:rPr>
        <w:t xml:space="preserve">Chapter 2 gives an overview of the proposed offence of </w:t>
      </w:r>
      <w:r w:rsidRPr="008D28C7">
        <w:rPr>
          <w:rFonts w:eastAsiaTheme="minorEastAsia" w:cs="Arial"/>
          <w:i/>
        </w:rPr>
        <w:t>“failure to protect”</w:t>
      </w:r>
      <w:r>
        <w:rPr>
          <w:rFonts w:eastAsiaTheme="minorEastAsia" w:cs="Arial"/>
          <w:i/>
        </w:rPr>
        <w:t xml:space="preserve"> </w:t>
      </w:r>
      <w:r w:rsidRPr="008D28C7">
        <w:rPr>
          <w:rFonts w:eastAsiaTheme="minorEastAsia" w:cs="Arial"/>
        </w:rPr>
        <w:t>a child or vulnerable person where the child’s or vulnerable person’s death or serious harm results from an unlawful act or neglect</w:t>
      </w:r>
      <w:r>
        <w:rPr>
          <w:rFonts w:eastAsiaTheme="minorEastAsia" w:cs="Arial"/>
        </w:rPr>
        <w:t xml:space="preserve"> (Final Recommendation 1)</w:t>
      </w:r>
      <w:r w:rsidRPr="008D28C7">
        <w:rPr>
          <w:rFonts w:eastAsiaTheme="minorEastAsia" w:cs="Arial"/>
        </w:rPr>
        <w:t>.</w:t>
      </w:r>
    </w:p>
    <w:p w14:paraId="779F5C80" w14:textId="77777777" w:rsidR="006E3396" w:rsidRDefault="006E3396" w:rsidP="00414587">
      <w:pPr>
        <w:pStyle w:val="ListParagraph"/>
        <w:widowControl/>
        <w:numPr>
          <w:ilvl w:val="0"/>
          <w:numId w:val="30"/>
        </w:numPr>
        <w:adjustRightInd/>
        <w:spacing w:after="120"/>
        <w:ind w:left="1440" w:hanging="720"/>
        <w:rPr>
          <w:rFonts w:eastAsiaTheme="minorEastAsia" w:cs="Arial"/>
        </w:rPr>
      </w:pPr>
      <w:r>
        <w:rPr>
          <w:rFonts w:eastAsiaTheme="minorEastAsia" w:cs="Arial"/>
        </w:rPr>
        <w:t>Chapter 3 discusses the relationship of the proposed offence with the OAPO (Final Recommendations 2 and 3).</w:t>
      </w:r>
    </w:p>
    <w:p w14:paraId="37AC8726" w14:textId="77777777" w:rsidR="006E3396" w:rsidRDefault="006E3396" w:rsidP="00414587">
      <w:pPr>
        <w:pStyle w:val="ListParagraph"/>
        <w:widowControl/>
        <w:numPr>
          <w:ilvl w:val="0"/>
          <w:numId w:val="30"/>
        </w:numPr>
        <w:adjustRightInd/>
        <w:spacing w:after="120"/>
        <w:ind w:left="1440" w:hanging="720"/>
        <w:rPr>
          <w:rFonts w:eastAsiaTheme="minorEastAsia" w:cs="Arial"/>
        </w:rPr>
      </w:pPr>
      <w:r w:rsidRPr="00414587">
        <w:rPr>
          <w:rFonts w:eastAsiaTheme="minorEastAsia" w:cs="Arial"/>
          <w:spacing w:val="12"/>
        </w:rPr>
        <w:t xml:space="preserve">Chapter 4 examines the scope of the proposed offence </w:t>
      </w:r>
      <w:r>
        <w:rPr>
          <w:rFonts w:eastAsiaTheme="minorEastAsia" w:cs="Arial"/>
        </w:rPr>
        <w:t>(Final Recommendations 4 and 5).</w:t>
      </w:r>
    </w:p>
    <w:p w14:paraId="70C97EF7" w14:textId="77777777" w:rsidR="006E3396" w:rsidRDefault="006E3396" w:rsidP="00414587">
      <w:pPr>
        <w:pStyle w:val="ListParagraph"/>
        <w:widowControl/>
        <w:numPr>
          <w:ilvl w:val="0"/>
          <w:numId w:val="30"/>
        </w:numPr>
        <w:adjustRightInd/>
        <w:spacing w:after="120"/>
        <w:ind w:left="1440" w:hanging="720"/>
        <w:rPr>
          <w:rFonts w:eastAsiaTheme="minorEastAsia" w:cs="Arial"/>
        </w:rPr>
      </w:pPr>
      <w:r w:rsidRPr="00414587">
        <w:rPr>
          <w:rFonts w:eastAsiaTheme="minorEastAsia" w:cs="Arial"/>
          <w:spacing w:val="12"/>
        </w:rPr>
        <w:t xml:space="preserve">Chapter 5 covers the defendants of the proposed offence </w:t>
      </w:r>
      <w:r>
        <w:rPr>
          <w:rFonts w:eastAsiaTheme="minorEastAsia" w:cs="Arial"/>
        </w:rPr>
        <w:t>(Final Recommendations 6 and 7).</w:t>
      </w:r>
    </w:p>
    <w:p w14:paraId="7D18B27A" w14:textId="77777777" w:rsidR="006E3396" w:rsidRDefault="006E3396" w:rsidP="00414587">
      <w:pPr>
        <w:pStyle w:val="ListParagraph"/>
        <w:widowControl/>
        <w:numPr>
          <w:ilvl w:val="0"/>
          <w:numId w:val="30"/>
        </w:numPr>
        <w:adjustRightInd/>
        <w:spacing w:after="120"/>
        <w:ind w:left="1440" w:hanging="720"/>
        <w:rPr>
          <w:rFonts w:eastAsiaTheme="minorEastAsia" w:cs="Arial"/>
        </w:rPr>
      </w:pPr>
      <w:r w:rsidRPr="00414587">
        <w:rPr>
          <w:rFonts w:eastAsiaTheme="minorEastAsia" w:cs="Arial"/>
          <w:spacing w:val="12"/>
        </w:rPr>
        <w:t xml:space="preserve">Chapter 6 examines the operation of the proposed offence </w:t>
      </w:r>
      <w:r>
        <w:rPr>
          <w:rFonts w:eastAsiaTheme="minorEastAsia" w:cs="Arial"/>
        </w:rPr>
        <w:t>(Final Recommendations 8, 9 and 10).</w:t>
      </w:r>
    </w:p>
    <w:p w14:paraId="3783F020" w14:textId="77777777" w:rsidR="006E3396" w:rsidRDefault="006E3396" w:rsidP="00414587">
      <w:pPr>
        <w:pStyle w:val="ListParagraph"/>
        <w:widowControl/>
        <w:numPr>
          <w:ilvl w:val="0"/>
          <w:numId w:val="30"/>
        </w:numPr>
        <w:adjustRightInd/>
        <w:spacing w:after="120"/>
        <w:ind w:left="1440" w:hanging="720"/>
        <w:rPr>
          <w:rFonts w:eastAsiaTheme="minorEastAsia" w:cs="Arial"/>
        </w:rPr>
      </w:pPr>
      <w:r>
        <w:rPr>
          <w:rFonts w:eastAsiaTheme="minorEastAsia" w:cs="Arial"/>
        </w:rPr>
        <w:t>Chapter 7 addresses evidential matters relating to the proposed offence (Final Recommendation 11).</w:t>
      </w:r>
    </w:p>
    <w:p w14:paraId="5B9FD490" w14:textId="77777777" w:rsidR="006E3396" w:rsidRDefault="006E3396" w:rsidP="00414587">
      <w:pPr>
        <w:pStyle w:val="ListParagraph"/>
        <w:widowControl/>
        <w:numPr>
          <w:ilvl w:val="0"/>
          <w:numId w:val="30"/>
        </w:numPr>
        <w:adjustRightInd/>
        <w:spacing w:after="120"/>
        <w:ind w:left="1440" w:hanging="720"/>
        <w:rPr>
          <w:rFonts w:eastAsiaTheme="minorEastAsia" w:cs="Arial"/>
        </w:rPr>
      </w:pPr>
      <w:r>
        <w:rPr>
          <w:rFonts w:eastAsiaTheme="minorEastAsia" w:cs="Arial"/>
        </w:rPr>
        <w:t>Chapter 8 deals with the maximum penalties for the proposed offence and related procedural matters (Final Recommendations 12, 13 and 14).</w:t>
      </w:r>
    </w:p>
    <w:p w14:paraId="1DAA8975" w14:textId="2E0AB65B" w:rsidR="006E3396" w:rsidRDefault="006E3396" w:rsidP="00414587">
      <w:pPr>
        <w:pStyle w:val="ListParagraph"/>
        <w:widowControl/>
        <w:numPr>
          <w:ilvl w:val="0"/>
          <w:numId w:val="30"/>
        </w:numPr>
        <w:adjustRightInd/>
        <w:spacing w:after="120"/>
        <w:ind w:left="1440" w:hanging="720"/>
        <w:rPr>
          <w:rFonts w:eastAsiaTheme="minorEastAsia" w:cs="Arial"/>
        </w:rPr>
      </w:pPr>
      <w:r>
        <w:rPr>
          <w:rFonts w:eastAsiaTheme="minorEastAsia" w:cs="Arial"/>
        </w:rPr>
        <w:t>Chapter 9 discusses other collateral measures on training and publicity and Respondents’ other observations, including the reporting of abuse.</w:t>
      </w:r>
    </w:p>
    <w:p w14:paraId="32680B9F" w14:textId="77777777" w:rsidR="006E3396" w:rsidRDefault="006E3396" w:rsidP="00414587">
      <w:pPr>
        <w:pStyle w:val="ListParagraph"/>
        <w:widowControl/>
        <w:numPr>
          <w:ilvl w:val="0"/>
          <w:numId w:val="30"/>
        </w:numPr>
        <w:adjustRightInd/>
        <w:ind w:left="1440" w:hanging="720"/>
        <w:rPr>
          <w:rFonts w:eastAsiaTheme="minorEastAsia" w:cs="Arial"/>
        </w:rPr>
      </w:pPr>
      <w:r>
        <w:rPr>
          <w:rFonts w:eastAsiaTheme="minorEastAsia" w:cs="Arial"/>
        </w:rPr>
        <w:t xml:space="preserve">Chapter 10 sets out again, for quick reference, all of our final recommendations made in the previous chapters. </w:t>
      </w:r>
    </w:p>
    <w:p w14:paraId="5C929C7D" w14:textId="77777777" w:rsidR="006E3396" w:rsidRDefault="006E3396" w:rsidP="006E3396">
      <w:pPr>
        <w:widowControl/>
        <w:tabs>
          <w:tab w:val="clear" w:pos="1418"/>
          <w:tab w:val="left" w:pos="1440"/>
        </w:tabs>
        <w:rPr>
          <w:rFonts w:eastAsiaTheme="minorEastAsia" w:cs="Arial"/>
        </w:rPr>
      </w:pPr>
    </w:p>
    <w:p w14:paraId="7F8A5D6B" w14:textId="77777777" w:rsidR="006E3396" w:rsidRPr="008D28C7" w:rsidRDefault="006E3396" w:rsidP="006E3396">
      <w:pPr>
        <w:widowControl/>
        <w:tabs>
          <w:tab w:val="clear" w:pos="1418"/>
          <w:tab w:val="left" w:pos="1440"/>
        </w:tabs>
        <w:rPr>
          <w:rFonts w:eastAsiaTheme="minorEastAsia" w:cs="Arial"/>
        </w:rPr>
      </w:pPr>
      <w:r>
        <w:rPr>
          <w:rFonts w:eastAsiaTheme="minorEastAsia" w:cs="Arial"/>
        </w:rPr>
        <w:t>The draft Bill (</w:t>
      </w:r>
      <w:r w:rsidRPr="009A4161">
        <w:rPr>
          <w:rFonts w:eastAsiaTheme="minorEastAsia" w:cs="Arial"/>
          <w:b/>
        </w:rPr>
        <w:t>Annex 1</w:t>
      </w:r>
      <w:r>
        <w:rPr>
          <w:rFonts w:eastAsiaTheme="minorEastAsia" w:cs="Arial"/>
        </w:rPr>
        <w:t>) and the list of Respondents (</w:t>
      </w:r>
      <w:r w:rsidRPr="008D28C7">
        <w:rPr>
          <w:rFonts w:eastAsiaTheme="minorEastAsia" w:cs="Arial"/>
          <w:b/>
        </w:rPr>
        <w:t>Annex 2</w:t>
      </w:r>
      <w:r>
        <w:rPr>
          <w:rFonts w:eastAsiaTheme="minorEastAsia" w:cs="Arial"/>
        </w:rPr>
        <w:t>) can be found at the end of th</w:t>
      </w:r>
      <w:r w:rsidR="009A7F61">
        <w:rPr>
          <w:rFonts w:eastAsiaTheme="minorEastAsia" w:cs="Arial"/>
        </w:rPr>
        <w:t>e</w:t>
      </w:r>
      <w:r>
        <w:rPr>
          <w:rFonts w:eastAsiaTheme="minorEastAsia" w:cs="Arial"/>
        </w:rPr>
        <w:t xml:space="preserve"> Report.</w:t>
      </w:r>
    </w:p>
    <w:p w14:paraId="7A2ED54B" w14:textId="77777777" w:rsidR="00992766" w:rsidRPr="006E3396" w:rsidRDefault="00992766" w:rsidP="002F0EDE">
      <w:pPr>
        <w:widowControl/>
        <w:tabs>
          <w:tab w:val="clear" w:pos="1418"/>
        </w:tabs>
        <w:adjustRightInd/>
        <w:rPr>
          <w:rFonts w:cs="Arial"/>
          <w:b/>
          <w:bCs/>
        </w:rPr>
      </w:pPr>
    </w:p>
    <w:p w14:paraId="71B98F29" w14:textId="77777777" w:rsidR="00FD725A" w:rsidRDefault="00FD725A" w:rsidP="002F0EDE">
      <w:pPr>
        <w:widowControl/>
        <w:tabs>
          <w:tab w:val="clear" w:pos="1418"/>
        </w:tabs>
        <w:adjustRightInd/>
        <w:rPr>
          <w:rFonts w:cs="Arial"/>
          <w:b/>
          <w:bCs/>
          <w:lang w:val="en-US"/>
        </w:rPr>
      </w:pPr>
    </w:p>
    <w:p w14:paraId="76B60DE7" w14:textId="77777777" w:rsidR="006E3396" w:rsidRDefault="006E3396" w:rsidP="002F0EDE">
      <w:pPr>
        <w:widowControl/>
        <w:tabs>
          <w:tab w:val="clear" w:pos="1418"/>
        </w:tabs>
        <w:adjustRightInd/>
        <w:rPr>
          <w:b/>
          <w:sz w:val="28"/>
          <w:szCs w:val="28"/>
          <w:lang w:val="en-US"/>
        </w:rPr>
      </w:pPr>
    </w:p>
    <w:p w14:paraId="41405A6B" w14:textId="77777777" w:rsidR="006E3396" w:rsidRDefault="006E3396" w:rsidP="002F0EDE">
      <w:pPr>
        <w:widowControl/>
        <w:tabs>
          <w:tab w:val="clear" w:pos="1418"/>
        </w:tabs>
        <w:adjustRightInd/>
        <w:rPr>
          <w:b/>
          <w:sz w:val="28"/>
          <w:szCs w:val="28"/>
          <w:lang w:val="en-US"/>
        </w:rPr>
      </w:pPr>
    </w:p>
    <w:p w14:paraId="5CD98C51" w14:textId="77777777" w:rsidR="00992766" w:rsidRPr="00534954" w:rsidRDefault="00992766" w:rsidP="002F0EDE">
      <w:pPr>
        <w:widowControl/>
        <w:tabs>
          <w:tab w:val="clear" w:pos="1418"/>
        </w:tabs>
        <w:adjustRightInd/>
        <w:rPr>
          <w:b/>
          <w:sz w:val="28"/>
          <w:szCs w:val="28"/>
          <w:lang w:val="en-US"/>
        </w:rPr>
      </w:pPr>
      <w:r w:rsidRPr="00534954">
        <w:rPr>
          <w:b/>
          <w:sz w:val="28"/>
          <w:szCs w:val="28"/>
          <w:lang w:val="en-US"/>
        </w:rPr>
        <w:lastRenderedPageBreak/>
        <w:t xml:space="preserve">Chapter 2: Overview of the proposed offence </w:t>
      </w:r>
      <w:r w:rsidR="003D72AE">
        <w:rPr>
          <w:b/>
          <w:sz w:val="28"/>
          <w:szCs w:val="28"/>
          <w:lang w:val="en-US"/>
        </w:rPr>
        <w:t xml:space="preserve">of </w:t>
      </w:r>
      <w:r w:rsidRPr="00534954">
        <w:rPr>
          <w:b/>
          <w:sz w:val="28"/>
          <w:szCs w:val="28"/>
          <w:lang w:val="en-US"/>
        </w:rPr>
        <w:t>“Failure to protect”</w:t>
      </w:r>
    </w:p>
    <w:p w14:paraId="20E8EA47" w14:textId="77777777" w:rsidR="00992766" w:rsidRDefault="00992766" w:rsidP="002F0EDE">
      <w:pPr>
        <w:widowControl/>
        <w:tabs>
          <w:tab w:val="clear" w:pos="1418"/>
        </w:tabs>
        <w:adjustRightInd/>
        <w:rPr>
          <w:rFonts w:cs="Arial"/>
          <w:b/>
          <w:bCs/>
          <w:lang w:val="en-US"/>
        </w:rPr>
      </w:pPr>
    </w:p>
    <w:bookmarkEnd w:id="0"/>
    <w:bookmarkEnd w:id="1"/>
    <w:bookmarkEnd w:id="2"/>
    <w:p w14:paraId="22705A05" w14:textId="1F6C6DD8" w:rsidR="004F345A" w:rsidRDefault="00613949" w:rsidP="004F345A">
      <w:pPr>
        <w:widowControl/>
        <w:tabs>
          <w:tab w:val="clear" w:pos="1418"/>
        </w:tabs>
        <w:adjustRightInd/>
        <w:rPr>
          <w:rFonts w:cs="Arial"/>
          <w:lang w:val="en-US"/>
        </w:rPr>
      </w:pPr>
      <w:r>
        <w:rPr>
          <w:rFonts w:cs="Arial"/>
          <w:lang w:val="en-US"/>
        </w:rPr>
        <w:t>5</w:t>
      </w:r>
      <w:r w:rsidR="009E2F5A">
        <w:rPr>
          <w:rFonts w:cs="Arial"/>
          <w:lang w:val="en-US"/>
        </w:rPr>
        <w:t>.</w:t>
      </w:r>
      <w:r w:rsidR="009E2F5A">
        <w:rPr>
          <w:rFonts w:cs="Arial"/>
          <w:lang w:val="en-US"/>
        </w:rPr>
        <w:tab/>
      </w:r>
      <w:r w:rsidR="009E2F5A">
        <w:rPr>
          <w:rFonts w:cs="Arial"/>
          <w:lang w:val="en-US"/>
        </w:rPr>
        <w:tab/>
      </w:r>
      <w:r w:rsidR="00665FDA">
        <w:rPr>
          <w:rFonts w:cs="Arial"/>
          <w:lang w:val="en-US"/>
        </w:rPr>
        <w:t xml:space="preserve">Recommendation 1 </w:t>
      </w:r>
      <w:r w:rsidR="001E7440">
        <w:rPr>
          <w:rFonts w:cs="Arial"/>
          <w:lang w:val="en-US"/>
        </w:rPr>
        <w:t xml:space="preserve">in the CP </w:t>
      </w:r>
      <w:r w:rsidR="00665FDA">
        <w:rPr>
          <w:rFonts w:cs="Arial"/>
          <w:lang w:val="en-US"/>
        </w:rPr>
        <w:t>recommends introducing the proposed offence</w:t>
      </w:r>
      <w:r w:rsidR="002A68AC">
        <w:rPr>
          <w:rFonts w:cs="Arial"/>
          <w:lang w:val="en-US"/>
        </w:rPr>
        <w:t xml:space="preserve"> of </w:t>
      </w:r>
      <w:r w:rsidR="002A68AC" w:rsidRPr="00B8789F">
        <w:rPr>
          <w:rFonts w:cs="Arial"/>
          <w:i/>
          <w:lang w:val="en-US"/>
        </w:rPr>
        <w:t>“Failure to protect a child or vulnerable person where the child’s or vulnerable person’s death or serious harm results from an unlawful act or neglect”</w:t>
      </w:r>
      <w:r w:rsidR="00665FDA">
        <w:rPr>
          <w:rFonts w:cs="Arial"/>
          <w:lang w:val="en-US"/>
        </w:rPr>
        <w:t xml:space="preserve">.  </w:t>
      </w:r>
      <w:r w:rsidR="00982D78" w:rsidRPr="006B2A12">
        <w:rPr>
          <w:rFonts w:cs="Arial"/>
          <w:lang w:val="en-US"/>
        </w:rPr>
        <w:t xml:space="preserve">An overwhelming majority of the Respondents that have expressly stated their stance </w:t>
      </w:r>
      <w:r w:rsidR="00FC289D">
        <w:rPr>
          <w:rFonts w:cs="Arial"/>
          <w:lang w:val="en-US"/>
        </w:rPr>
        <w:t>support</w:t>
      </w:r>
      <w:r w:rsidR="00982D78" w:rsidRPr="006B2A12">
        <w:rPr>
          <w:rFonts w:cs="Arial"/>
          <w:lang w:val="en-US"/>
        </w:rPr>
        <w:t xml:space="preserve"> Recommendation 1</w:t>
      </w:r>
      <w:r w:rsidR="004F345A">
        <w:rPr>
          <w:rFonts w:cs="Arial"/>
          <w:lang w:val="en-US"/>
        </w:rPr>
        <w:t xml:space="preserve"> to introduce the proposed offence </w:t>
      </w:r>
      <w:r w:rsidR="005E330A">
        <w:rPr>
          <w:rFonts w:cs="Arial"/>
          <w:lang w:val="en-US"/>
        </w:rPr>
        <w:t xml:space="preserve">because </w:t>
      </w:r>
      <w:r w:rsidR="004F345A">
        <w:rPr>
          <w:rFonts w:cs="Arial"/>
          <w:lang w:val="en-US"/>
        </w:rPr>
        <w:t xml:space="preserve">it </w:t>
      </w:r>
      <w:r w:rsidR="005E330A">
        <w:rPr>
          <w:rFonts w:cs="Arial"/>
          <w:lang w:val="en-US"/>
        </w:rPr>
        <w:t>will strengthen the protection of children and vulnerable persons who are at risk of being seriously abused.</w:t>
      </w:r>
      <w:r w:rsidR="00744E0F">
        <w:rPr>
          <w:rFonts w:cs="Arial"/>
          <w:lang w:val="en-US"/>
        </w:rPr>
        <w:t xml:space="preserve">  </w:t>
      </w:r>
      <w:r w:rsidR="003B12FD">
        <w:rPr>
          <w:rFonts w:cs="Arial"/>
          <w:lang w:val="en-US"/>
        </w:rPr>
        <w:t>Respondents opposing Recommendation 1 are m</w:t>
      </w:r>
      <w:r w:rsidR="00C14A4B">
        <w:rPr>
          <w:rFonts w:cs="Arial"/>
          <w:lang w:val="en-US"/>
        </w:rPr>
        <w:t>ost</w:t>
      </w:r>
      <w:r w:rsidR="003B12FD">
        <w:rPr>
          <w:rFonts w:cs="Arial"/>
          <w:lang w:val="en-US"/>
        </w:rPr>
        <w:t xml:space="preserve">ly social service </w:t>
      </w:r>
      <w:proofErr w:type="spellStart"/>
      <w:r w:rsidR="003B12FD">
        <w:rPr>
          <w:rFonts w:cs="Arial"/>
          <w:lang w:val="en-US"/>
        </w:rPr>
        <w:t>organisations</w:t>
      </w:r>
      <w:proofErr w:type="spellEnd"/>
      <w:r w:rsidR="003B12FD">
        <w:rPr>
          <w:rFonts w:cs="Arial"/>
          <w:lang w:val="en-US"/>
        </w:rPr>
        <w:t xml:space="preserve">.  </w:t>
      </w:r>
      <w:r w:rsidR="00B17AAD">
        <w:rPr>
          <w:rFonts w:cs="Arial"/>
          <w:lang w:val="en-US"/>
        </w:rPr>
        <w:t>Some Respondents have also raised their concerns and suggestions which are</w:t>
      </w:r>
      <w:r w:rsidR="003C3639">
        <w:rPr>
          <w:rFonts w:cs="Arial"/>
          <w:lang w:val="en-US"/>
        </w:rPr>
        <w:t xml:space="preserve"> </w:t>
      </w:r>
      <w:r w:rsidR="001D0FF9">
        <w:rPr>
          <w:rFonts w:cs="Arial"/>
          <w:lang w:val="en-US"/>
        </w:rPr>
        <w:t>addressed</w:t>
      </w:r>
      <w:r w:rsidR="008E19FD">
        <w:rPr>
          <w:rFonts w:cs="Arial"/>
          <w:lang w:val="en-US"/>
        </w:rPr>
        <w:t xml:space="preserve"> in details</w:t>
      </w:r>
      <w:r w:rsidR="001D0FF9">
        <w:rPr>
          <w:rFonts w:cs="Arial"/>
          <w:lang w:val="en-US"/>
        </w:rPr>
        <w:t xml:space="preserve"> in </w:t>
      </w:r>
      <w:r w:rsidR="001D0FF9" w:rsidRPr="008E19FD">
        <w:rPr>
          <w:rFonts w:cs="Arial"/>
          <w:lang w:val="en-US"/>
        </w:rPr>
        <w:t>subsequent chapters of the Report</w:t>
      </w:r>
      <w:r w:rsidR="00F847DA">
        <w:rPr>
          <w:rFonts w:cs="Arial"/>
          <w:lang w:val="en-US"/>
        </w:rPr>
        <w:t xml:space="preserve">. </w:t>
      </w:r>
      <w:r w:rsidR="00725623">
        <w:rPr>
          <w:rFonts w:cs="Arial"/>
          <w:lang w:val="en-US"/>
        </w:rPr>
        <w:t xml:space="preserve"> </w:t>
      </w:r>
      <w:r w:rsidR="004C5C70">
        <w:rPr>
          <w:rFonts w:cs="Arial"/>
          <w:lang w:val="en-US"/>
        </w:rPr>
        <w:t>R</w:t>
      </w:r>
      <w:r w:rsidR="004F345A">
        <w:rPr>
          <w:rFonts w:cs="Arial"/>
          <w:lang w:val="en-US"/>
        </w:rPr>
        <w:t xml:space="preserve">ecommendation </w:t>
      </w:r>
      <w:r w:rsidR="004C5C70">
        <w:rPr>
          <w:rFonts w:cs="Arial"/>
          <w:lang w:val="en-US"/>
        </w:rPr>
        <w:t xml:space="preserve">1 in the CP is maintained </w:t>
      </w:r>
      <w:r w:rsidR="004F345A">
        <w:rPr>
          <w:rFonts w:cs="Arial"/>
          <w:lang w:val="en-US"/>
        </w:rPr>
        <w:t xml:space="preserve">as </w:t>
      </w:r>
      <w:r w:rsidR="004F345A" w:rsidRPr="00714C69">
        <w:rPr>
          <w:rFonts w:cs="Arial"/>
          <w:b/>
          <w:lang w:val="en-US"/>
        </w:rPr>
        <w:t>Final Recommendation 1</w:t>
      </w:r>
      <w:r w:rsidR="004F345A">
        <w:rPr>
          <w:rFonts w:cs="Arial"/>
          <w:lang w:val="en-US"/>
        </w:rPr>
        <w:t>:</w:t>
      </w:r>
    </w:p>
    <w:p w14:paraId="4B3A3C72" w14:textId="77777777" w:rsidR="004F345A" w:rsidRDefault="004F345A" w:rsidP="004F345A">
      <w:pPr>
        <w:widowControl/>
        <w:tabs>
          <w:tab w:val="clear" w:pos="1418"/>
        </w:tabs>
        <w:adjustRightInd/>
        <w:rPr>
          <w:rFonts w:cs="Arial"/>
          <w:lang w:val="en-US"/>
        </w:rPr>
      </w:pPr>
    </w:p>
    <w:p w14:paraId="142DB7F6" w14:textId="77777777" w:rsidR="004F345A" w:rsidRPr="00982D78" w:rsidRDefault="004F345A" w:rsidP="00931B59">
      <w:pPr>
        <w:widowControl/>
        <w:tabs>
          <w:tab w:val="clear" w:pos="1418"/>
        </w:tabs>
        <w:adjustRightInd/>
        <w:ind w:left="720" w:right="720"/>
        <w:rPr>
          <w:rFonts w:cs="Arial"/>
          <w:i/>
          <w:lang w:val="en-US"/>
        </w:rPr>
      </w:pPr>
      <w:r w:rsidRPr="00982D78">
        <w:rPr>
          <w:rFonts w:cs="Arial"/>
          <w:i/>
          <w:lang w:val="en-US"/>
        </w:rPr>
        <w:t xml:space="preserve">“We recommend the introduction of a new offence of </w:t>
      </w:r>
      <w:r>
        <w:rPr>
          <w:rFonts w:cs="Arial"/>
          <w:i/>
          <w:lang w:val="en-US"/>
        </w:rPr>
        <w:t>‘</w:t>
      </w:r>
      <w:r w:rsidRPr="00982D78">
        <w:rPr>
          <w:rFonts w:cs="Arial"/>
          <w:i/>
          <w:iCs/>
          <w:lang w:val="en-US"/>
        </w:rPr>
        <w:t>Failure to protect a child or vulnerable person where the child’s or vulnerable person’s death or serious harm results from an unlawful act or neglect</w:t>
      </w:r>
      <w:r>
        <w:rPr>
          <w:rFonts w:cs="Arial"/>
          <w:i/>
          <w:iCs/>
          <w:lang w:val="en-US"/>
        </w:rPr>
        <w:t>’</w:t>
      </w:r>
      <w:r w:rsidRPr="00982D78">
        <w:rPr>
          <w:rFonts w:cs="Arial"/>
          <w:i/>
          <w:lang w:val="en-US"/>
        </w:rPr>
        <w:t>, to be broadly based on section 14 of the Criminal Law Consolidation Act 1935 in South Australia (as amended by the Criminal Law Consolidation (Criminal Neglect) Amendment Act 2005).”</w:t>
      </w:r>
    </w:p>
    <w:p w14:paraId="38F703FA" w14:textId="77777777" w:rsidR="00F945D4" w:rsidRDefault="00F945D4" w:rsidP="00001427">
      <w:pPr>
        <w:widowControl/>
        <w:tabs>
          <w:tab w:val="clear" w:pos="1418"/>
        </w:tabs>
        <w:adjustRightInd/>
        <w:rPr>
          <w:rFonts w:cs="Arial"/>
          <w:lang w:val="en-US"/>
        </w:rPr>
      </w:pPr>
    </w:p>
    <w:p w14:paraId="77605CB7" w14:textId="77777777" w:rsidR="004F345A" w:rsidRPr="00001427" w:rsidRDefault="004F345A" w:rsidP="00001427">
      <w:pPr>
        <w:widowControl/>
        <w:tabs>
          <w:tab w:val="clear" w:pos="1418"/>
        </w:tabs>
        <w:adjustRightInd/>
        <w:rPr>
          <w:rFonts w:cs="Arial"/>
          <w:lang w:val="en-US"/>
        </w:rPr>
      </w:pPr>
    </w:p>
    <w:p w14:paraId="46D1E2F3" w14:textId="77777777" w:rsidR="00A2752D" w:rsidRPr="00F945D4" w:rsidRDefault="00A2752D" w:rsidP="002F0EDE">
      <w:pPr>
        <w:widowControl/>
        <w:tabs>
          <w:tab w:val="clear" w:pos="1418"/>
        </w:tabs>
        <w:adjustRightInd/>
        <w:rPr>
          <w:b/>
          <w:sz w:val="28"/>
          <w:szCs w:val="28"/>
          <w:lang w:val="en-US"/>
        </w:rPr>
      </w:pPr>
      <w:r w:rsidRPr="00F945D4">
        <w:rPr>
          <w:b/>
          <w:sz w:val="28"/>
          <w:szCs w:val="28"/>
          <w:lang w:val="en-US"/>
        </w:rPr>
        <w:t>Chapter 3: Relationship with Offences against the Person Ordinance (Cap 212)</w:t>
      </w:r>
    </w:p>
    <w:p w14:paraId="7CFC5186" w14:textId="77777777" w:rsidR="00A2752D" w:rsidRDefault="00A2752D" w:rsidP="002F0EDE">
      <w:pPr>
        <w:widowControl/>
        <w:tabs>
          <w:tab w:val="clear" w:pos="1418"/>
        </w:tabs>
        <w:adjustRightInd/>
        <w:rPr>
          <w:rFonts w:cs="Arial"/>
          <w:b/>
          <w:lang w:val="en-US"/>
        </w:rPr>
      </w:pPr>
    </w:p>
    <w:p w14:paraId="76D08C4B" w14:textId="77777777" w:rsidR="002F0EDE" w:rsidRPr="00F945D4" w:rsidRDefault="00C7366B" w:rsidP="002F0EDE">
      <w:pPr>
        <w:widowControl/>
        <w:tabs>
          <w:tab w:val="clear" w:pos="1418"/>
        </w:tabs>
        <w:adjustRightInd/>
        <w:rPr>
          <w:rFonts w:cs="Arial"/>
          <w:b/>
          <w:i/>
          <w:lang w:val="en-US"/>
        </w:rPr>
      </w:pPr>
      <w:r>
        <w:rPr>
          <w:rFonts w:cs="Arial"/>
          <w:b/>
          <w:i/>
          <w:lang w:val="en-US"/>
        </w:rPr>
        <w:t xml:space="preserve">Location </w:t>
      </w:r>
      <w:r w:rsidR="00F847DA">
        <w:rPr>
          <w:rFonts w:cs="Arial"/>
          <w:b/>
          <w:i/>
          <w:lang w:val="en-US"/>
        </w:rPr>
        <w:t xml:space="preserve">of the proposed offence </w:t>
      </w:r>
      <w:r>
        <w:rPr>
          <w:rFonts w:cs="Arial"/>
          <w:b/>
          <w:i/>
          <w:lang w:val="en-US"/>
        </w:rPr>
        <w:t xml:space="preserve">in </w:t>
      </w:r>
      <w:r w:rsidR="008844F1">
        <w:rPr>
          <w:rFonts w:cs="Arial"/>
          <w:b/>
          <w:i/>
          <w:lang w:val="en-US"/>
        </w:rPr>
        <w:t xml:space="preserve">the </w:t>
      </w:r>
      <w:r w:rsidR="00DA1238">
        <w:rPr>
          <w:rFonts w:cs="Arial"/>
          <w:b/>
          <w:i/>
          <w:lang w:val="en-US"/>
        </w:rPr>
        <w:t>OAPO</w:t>
      </w:r>
    </w:p>
    <w:p w14:paraId="39A31AF3" w14:textId="77777777" w:rsidR="002F0EDE" w:rsidRPr="002F0EDE" w:rsidRDefault="002F0EDE" w:rsidP="002F0EDE">
      <w:pPr>
        <w:widowControl/>
        <w:tabs>
          <w:tab w:val="clear" w:pos="1418"/>
        </w:tabs>
        <w:adjustRightInd/>
        <w:rPr>
          <w:rFonts w:cs="Arial"/>
          <w:lang w:val="en-US"/>
        </w:rPr>
      </w:pPr>
    </w:p>
    <w:p w14:paraId="414D9FF0" w14:textId="77777777" w:rsidR="004933EF" w:rsidRDefault="004C5C70" w:rsidP="002F0EDE">
      <w:pPr>
        <w:widowControl/>
        <w:tabs>
          <w:tab w:val="clear" w:pos="1418"/>
        </w:tabs>
        <w:adjustRightInd/>
        <w:rPr>
          <w:rFonts w:cs="Arial"/>
          <w:lang w:val="en-US"/>
        </w:rPr>
      </w:pPr>
      <w:r>
        <w:rPr>
          <w:rFonts w:cs="Arial"/>
          <w:lang w:val="en-US"/>
        </w:rPr>
        <w:t>6</w:t>
      </w:r>
      <w:r w:rsidR="00F238A8">
        <w:rPr>
          <w:rFonts w:cs="Arial"/>
          <w:lang w:val="en-US"/>
        </w:rPr>
        <w:t>.</w:t>
      </w:r>
      <w:r w:rsidR="00F238A8">
        <w:rPr>
          <w:rFonts w:cs="Arial"/>
          <w:lang w:val="en-US"/>
        </w:rPr>
        <w:tab/>
      </w:r>
      <w:r w:rsidR="00F238A8">
        <w:rPr>
          <w:rFonts w:cs="Arial"/>
          <w:lang w:val="en-US"/>
        </w:rPr>
        <w:tab/>
      </w:r>
      <w:r>
        <w:rPr>
          <w:rFonts w:cs="Arial"/>
          <w:lang w:val="en-US"/>
        </w:rPr>
        <w:t xml:space="preserve">Recommendation 2 </w:t>
      </w:r>
      <w:r w:rsidR="001E7440">
        <w:rPr>
          <w:rFonts w:cs="Arial"/>
          <w:lang w:val="en-US"/>
        </w:rPr>
        <w:t xml:space="preserve">in the CP </w:t>
      </w:r>
      <w:r w:rsidR="00665FDA">
        <w:rPr>
          <w:rFonts w:cs="Arial"/>
          <w:lang w:val="en-US"/>
        </w:rPr>
        <w:t xml:space="preserve">deals with the relationship of the proposed offence with the OAPO and </w:t>
      </w:r>
      <w:r w:rsidR="00C55A0A">
        <w:rPr>
          <w:rFonts w:cs="Arial"/>
          <w:lang w:val="en-US"/>
        </w:rPr>
        <w:t xml:space="preserve">recommends </w:t>
      </w:r>
      <w:r>
        <w:rPr>
          <w:rFonts w:cs="Arial"/>
          <w:lang w:val="en-US"/>
        </w:rPr>
        <w:t>that the proposed offence should be comprised in a new section located earlier than section 27</w:t>
      </w:r>
      <w:r w:rsidR="00C55A0A">
        <w:rPr>
          <w:rFonts w:cs="Arial"/>
          <w:lang w:val="en-US"/>
        </w:rPr>
        <w:t xml:space="preserve"> of the OAPO</w:t>
      </w:r>
      <w:r w:rsidR="00B24220">
        <w:rPr>
          <w:rFonts w:cs="Arial"/>
          <w:lang w:val="en-US"/>
        </w:rPr>
        <w:t xml:space="preserve"> to indicate its more serious nature</w:t>
      </w:r>
      <w:r>
        <w:rPr>
          <w:rFonts w:cs="Arial"/>
          <w:lang w:val="en-US"/>
        </w:rPr>
        <w:t xml:space="preserve">.  </w:t>
      </w:r>
      <w:r w:rsidR="004933EF">
        <w:rPr>
          <w:rFonts w:cs="Arial"/>
          <w:lang w:val="en-US"/>
        </w:rPr>
        <w:t>All Respondent</w:t>
      </w:r>
      <w:r w:rsidR="00590E0D">
        <w:rPr>
          <w:rFonts w:cs="Arial"/>
          <w:lang w:val="en-US"/>
        </w:rPr>
        <w:t>s,</w:t>
      </w:r>
      <w:r w:rsidR="004933EF">
        <w:rPr>
          <w:rFonts w:cs="Arial"/>
          <w:lang w:val="en-US"/>
        </w:rPr>
        <w:t xml:space="preserve"> who have</w:t>
      </w:r>
      <w:r w:rsidR="005E725B">
        <w:rPr>
          <w:rFonts w:cs="Arial"/>
          <w:lang w:val="en-US"/>
        </w:rPr>
        <w:t xml:space="preserve"> </w:t>
      </w:r>
      <w:r w:rsidR="004933EF">
        <w:rPr>
          <w:rFonts w:cs="Arial"/>
          <w:lang w:val="en-US"/>
        </w:rPr>
        <w:t>indicated their stance</w:t>
      </w:r>
      <w:r w:rsidR="00590E0D">
        <w:rPr>
          <w:rFonts w:cs="Arial"/>
          <w:lang w:val="en-US"/>
        </w:rPr>
        <w:t>,</w:t>
      </w:r>
      <w:r w:rsidR="004933EF">
        <w:rPr>
          <w:rFonts w:cs="Arial"/>
          <w:lang w:val="en-US"/>
        </w:rPr>
        <w:t xml:space="preserve"> support </w:t>
      </w:r>
      <w:r w:rsidR="00F847DA">
        <w:rPr>
          <w:rFonts w:cs="Arial"/>
          <w:lang w:val="en-US"/>
        </w:rPr>
        <w:t xml:space="preserve">this </w:t>
      </w:r>
      <w:r w:rsidR="009A4161">
        <w:rPr>
          <w:rFonts w:cs="Arial"/>
          <w:lang w:val="en-US"/>
        </w:rPr>
        <w:t>r</w:t>
      </w:r>
      <w:r w:rsidR="004933EF">
        <w:rPr>
          <w:rFonts w:cs="Arial"/>
          <w:lang w:val="en-US"/>
        </w:rPr>
        <w:t xml:space="preserve">ecommendation </w:t>
      </w:r>
      <w:r w:rsidR="00F945D4">
        <w:rPr>
          <w:rFonts w:cs="Arial"/>
          <w:lang w:val="en-US"/>
        </w:rPr>
        <w:t xml:space="preserve">which is </w:t>
      </w:r>
      <w:r w:rsidR="00F847DA">
        <w:rPr>
          <w:rFonts w:cs="Arial"/>
          <w:lang w:val="en-US"/>
        </w:rPr>
        <w:t>therefore adopted</w:t>
      </w:r>
      <w:r w:rsidR="00F945D4">
        <w:rPr>
          <w:rFonts w:cs="Arial"/>
          <w:lang w:val="en-US"/>
        </w:rPr>
        <w:t xml:space="preserve"> as </w:t>
      </w:r>
      <w:r w:rsidR="00F945D4" w:rsidRPr="00714C69">
        <w:rPr>
          <w:rFonts w:cs="Arial"/>
          <w:b/>
          <w:lang w:val="en-US"/>
        </w:rPr>
        <w:t>Final Recommendation 2</w:t>
      </w:r>
      <w:r w:rsidR="004933EF">
        <w:rPr>
          <w:rFonts w:cs="Arial"/>
          <w:lang w:val="en-US"/>
        </w:rPr>
        <w:t>:</w:t>
      </w:r>
    </w:p>
    <w:p w14:paraId="59FD94D9" w14:textId="77777777" w:rsidR="004933EF" w:rsidRDefault="004933EF" w:rsidP="002F0EDE">
      <w:pPr>
        <w:widowControl/>
        <w:tabs>
          <w:tab w:val="clear" w:pos="1418"/>
        </w:tabs>
        <w:adjustRightInd/>
        <w:rPr>
          <w:rFonts w:cs="Arial"/>
          <w:lang w:val="en-US"/>
        </w:rPr>
      </w:pPr>
    </w:p>
    <w:p w14:paraId="704440CA" w14:textId="77777777" w:rsidR="002F0EDE" w:rsidRPr="00F238A8" w:rsidRDefault="00F238A8" w:rsidP="00931B59">
      <w:pPr>
        <w:widowControl/>
        <w:tabs>
          <w:tab w:val="clear" w:pos="1418"/>
        </w:tabs>
        <w:adjustRightInd/>
        <w:ind w:left="720" w:right="720"/>
        <w:rPr>
          <w:rFonts w:cs="Arial"/>
          <w:i/>
          <w:lang w:val="en-US"/>
        </w:rPr>
      </w:pPr>
      <w:r w:rsidRPr="00F238A8">
        <w:rPr>
          <w:rFonts w:cs="Arial"/>
          <w:i/>
          <w:lang w:val="en-US"/>
        </w:rPr>
        <w:t>“</w:t>
      </w:r>
      <w:r w:rsidR="002F0EDE" w:rsidRPr="00F238A8">
        <w:rPr>
          <w:rFonts w:cs="Arial"/>
          <w:i/>
          <w:lang w:val="en-US"/>
        </w:rPr>
        <w:t xml:space="preserve">Subject to the views of the Law Draftsman, we recommend that the proposed offence of </w:t>
      </w:r>
      <w:r w:rsidR="00590E0D">
        <w:rPr>
          <w:rFonts w:cs="Arial"/>
          <w:i/>
          <w:lang w:val="en-US"/>
        </w:rPr>
        <w:t>‘</w:t>
      </w:r>
      <w:r w:rsidR="002F0EDE" w:rsidRPr="00F238A8">
        <w:rPr>
          <w:rFonts w:cs="Arial"/>
          <w:i/>
          <w:iCs/>
          <w:lang w:val="en-US"/>
        </w:rPr>
        <w:t>Failure to protect a child or vulnerable person where the child’s or vulnerable person’s death or serious harm results from an unlawful act or neglect</w:t>
      </w:r>
      <w:r w:rsidR="00590E0D">
        <w:rPr>
          <w:rFonts w:cs="Arial"/>
          <w:i/>
          <w:iCs/>
          <w:lang w:val="en-US"/>
        </w:rPr>
        <w:t>’</w:t>
      </w:r>
      <w:r w:rsidR="002F0EDE" w:rsidRPr="00F238A8">
        <w:rPr>
          <w:rFonts w:cs="Arial"/>
          <w:i/>
          <w:lang w:val="en-US"/>
        </w:rPr>
        <w:t xml:space="preserve"> should be comprised in a new section of the Offences against the Person Ordinance (Cap 212) and should be located earlier in the Ordinance than section 27 of that Ordinance, to indicate the more serious nature of the proposed offence.</w:t>
      </w:r>
      <w:r w:rsidRPr="00F238A8">
        <w:rPr>
          <w:rFonts w:cs="Arial"/>
          <w:i/>
          <w:lang w:val="en-US"/>
        </w:rPr>
        <w:t>”</w:t>
      </w:r>
    </w:p>
    <w:p w14:paraId="05767E2C" w14:textId="77777777" w:rsidR="002F0EDE" w:rsidRPr="002F0EDE" w:rsidRDefault="002F0EDE" w:rsidP="002F0EDE">
      <w:pPr>
        <w:widowControl/>
        <w:tabs>
          <w:tab w:val="clear" w:pos="1418"/>
        </w:tabs>
        <w:adjustRightInd/>
        <w:rPr>
          <w:rFonts w:cs="Arial"/>
          <w:lang w:val="en-US"/>
        </w:rPr>
      </w:pPr>
    </w:p>
    <w:p w14:paraId="2DD309F8" w14:textId="77777777" w:rsidR="002F0EDE" w:rsidRPr="002F0EDE" w:rsidRDefault="002F0EDE" w:rsidP="002F0EDE">
      <w:pPr>
        <w:widowControl/>
        <w:tabs>
          <w:tab w:val="clear" w:pos="1418"/>
        </w:tabs>
        <w:adjustRightInd/>
        <w:rPr>
          <w:rFonts w:cs="Arial"/>
          <w:lang w:val="en-US"/>
        </w:rPr>
      </w:pPr>
    </w:p>
    <w:p w14:paraId="14323A7A" w14:textId="77777777" w:rsidR="00D240BF" w:rsidRDefault="00236942" w:rsidP="000E73BC">
      <w:pPr>
        <w:keepNext/>
        <w:keepLines/>
        <w:widowControl/>
        <w:tabs>
          <w:tab w:val="clear" w:pos="1418"/>
        </w:tabs>
        <w:adjustRightInd/>
        <w:rPr>
          <w:rFonts w:cs="Arial"/>
          <w:b/>
          <w:i/>
          <w:lang w:val="en-US"/>
        </w:rPr>
      </w:pPr>
      <w:r>
        <w:rPr>
          <w:rFonts w:cs="Arial"/>
          <w:b/>
          <w:i/>
          <w:lang w:val="en-US"/>
        </w:rPr>
        <w:lastRenderedPageBreak/>
        <w:t>Increasing maximum penalty of s</w:t>
      </w:r>
      <w:r w:rsidR="00DA1238">
        <w:rPr>
          <w:rFonts w:cs="Arial"/>
          <w:b/>
          <w:i/>
          <w:lang w:val="en-US"/>
        </w:rPr>
        <w:t xml:space="preserve">ection 27 of </w:t>
      </w:r>
      <w:r w:rsidR="00920B7C">
        <w:rPr>
          <w:rFonts w:cs="Arial"/>
          <w:b/>
          <w:i/>
          <w:lang w:val="en-US"/>
        </w:rPr>
        <w:t>the OAPO</w:t>
      </w:r>
      <w:r w:rsidR="00C7366B">
        <w:rPr>
          <w:rFonts w:cs="Arial"/>
          <w:b/>
          <w:i/>
          <w:lang w:val="en-US"/>
        </w:rPr>
        <w:t>;</w:t>
      </w:r>
      <w:r w:rsidR="00920B7C">
        <w:rPr>
          <w:rFonts w:cs="Arial"/>
          <w:b/>
          <w:i/>
          <w:lang w:val="en-US"/>
        </w:rPr>
        <w:t xml:space="preserve"> </w:t>
      </w:r>
    </w:p>
    <w:p w14:paraId="65FA0374" w14:textId="77777777" w:rsidR="002F0EDE" w:rsidRPr="001C6A74" w:rsidRDefault="00D240BF" w:rsidP="000E73BC">
      <w:pPr>
        <w:keepNext/>
        <w:keepLines/>
        <w:widowControl/>
        <w:tabs>
          <w:tab w:val="clear" w:pos="1418"/>
        </w:tabs>
        <w:adjustRightInd/>
        <w:rPr>
          <w:rFonts w:cs="Arial"/>
          <w:b/>
          <w:i/>
          <w:lang w:val="en-US"/>
        </w:rPr>
      </w:pPr>
      <w:proofErr w:type="spellStart"/>
      <w:r>
        <w:rPr>
          <w:rFonts w:cs="Arial"/>
          <w:b/>
          <w:i/>
          <w:lang w:val="en-US"/>
        </w:rPr>
        <w:t>M</w:t>
      </w:r>
      <w:r w:rsidR="00920B7C">
        <w:rPr>
          <w:rFonts w:cs="Arial"/>
          <w:b/>
          <w:i/>
          <w:lang w:val="en-US"/>
        </w:rPr>
        <w:t>ens</w:t>
      </w:r>
      <w:proofErr w:type="spellEnd"/>
      <w:r w:rsidR="00920B7C">
        <w:rPr>
          <w:rFonts w:cs="Arial"/>
          <w:b/>
          <w:i/>
          <w:lang w:val="en-US"/>
        </w:rPr>
        <w:t xml:space="preserve"> rea</w:t>
      </w:r>
      <w:r w:rsidR="00DC2D8A">
        <w:rPr>
          <w:rFonts w:cs="Arial"/>
          <w:b/>
          <w:i/>
          <w:lang w:val="en-US"/>
        </w:rPr>
        <w:t xml:space="preserve"> encompassing subjective viewpoint of </w:t>
      </w:r>
      <w:r w:rsidR="00C7366B">
        <w:rPr>
          <w:rFonts w:cs="Arial"/>
          <w:b/>
          <w:i/>
          <w:lang w:val="en-US"/>
        </w:rPr>
        <w:t>defendant</w:t>
      </w:r>
      <w:r w:rsidR="00DC2D8A">
        <w:rPr>
          <w:rFonts w:cs="Arial"/>
          <w:b/>
          <w:i/>
          <w:lang w:val="en-US"/>
        </w:rPr>
        <w:t>s</w:t>
      </w:r>
    </w:p>
    <w:p w14:paraId="43636EA1" w14:textId="77777777" w:rsidR="002F0EDE" w:rsidRPr="002F0EDE" w:rsidRDefault="002F0EDE" w:rsidP="000E73BC">
      <w:pPr>
        <w:keepNext/>
        <w:keepLines/>
        <w:widowControl/>
        <w:tabs>
          <w:tab w:val="clear" w:pos="1418"/>
        </w:tabs>
        <w:adjustRightInd/>
        <w:rPr>
          <w:rFonts w:cs="Arial"/>
          <w:lang w:val="en-US"/>
        </w:rPr>
      </w:pPr>
    </w:p>
    <w:p w14:paraId="5897E922" w14:textId="77777777" w:rsidR="00CE4A49" w:rsidRDefault="00CE4A49" w:rsidP="000E73BC">
      <w:pPr>
        <w:keepNext/>
        <w:keepLines/>
        <w:widowControl/>
        <w:tabs>
          <w:tab w:val="clear" w:pos="1418"/>
        </w:tabs>
        <w:adjustRightInd/>
        <w:rPr>
          <w:rFonts w:cs="Arial"/>
          <w:lang w:val="en-US"/>
        </w:rPr>
      </w:pPr>
      <w:r>
        <w:rPr>
          <w:rFonts w:cs="Arial"/>
          <w:lang w:val="en-US"/>
        </w:rPr>
        <w:t>7</w:t>
      </w:r>
      <w:r w:rsidR="00F47967">
        <w:rPr>
          <w:rFonts w:cs="Arial"/>
          <w:lang w:val="en-US"/>
        </w:rPr>
        <w:t>.</w:t>
      </w:r>
      <w:r w:rsidR="00F47967">
        <w:rPr>
          <w:rFonts w:cs="Arial"/>
          <w:lang w:val="en-US"/>
        </w:rPr>
        <w:tab/>
      </w:r>
      <w:r w:rsidR="00F47967">
        <w:rPr>
          <w:rFonts w:cs="Arial"/>
          <w:lang w:val="en-US"/>
        </w:rPr>
        <w:tab/>
      </w:r>
      <w:r w:rsidR="00257ED6" w:rsidRPr="000E73BC">
        <w:rPr>
          <w:rFonts w:cs="Arial"/>
          <w:spacing w:val="-2"/>
          <w:lang w:val="en-US"/>
        </w:rPr>
        <w:t xml:space="preserve">Recommendation </w:t>
      </w:r>
      <w:r w:rsidR="00124320" w:rsidRPr="000E73BC">
        <w:rPr>
          <w:rFonts w:cs="Arial"/>
          <w:spacing w:val="-2"/>
          <w:lang w:val="en-US"/>
        </w:rPr>
        <w:t xml:space="preserve">3(a) </w:t>
      </w:r>
      <w:r w:rsidR="00036F44" w:rsidRPr="000E73BC">
        <w:rPr>
          <w:rFonts w:cs="Arial"/>
          <w:spacing w:val="-2"/>
          <w:lang w:val="en-US"/>
        </w:rPr>
        <w:t xml:space="preserve">in the CP </w:t>
      </w:r>
      <w:r w:rsidR="00257ED6" w:rsidRPr="000E73BC">
        <w:rPr>
          <w:rFonts w:cs="Arial"/>
          <w:spacing w:val="-2"/>
          <w:lang w:val="en-US"/>
        </w:rPr>
        <w:t>recommends</w:t>
      </w:r>
      <w:r w:rsidR="00124320" w:rsidRPr="000E73BC">
        <w:rPr>
          <w:rFonts w:cs="Arial"/>
          <w:spacing w:val="-2"/>
          <w:lang w:val="en-US"/>
        </w:rPr>
        <w:t xml:space="preserve"> retain</w:t>
      </w:r>
      <w:r w:rsidR="00257ED6" w:rsidRPr="000E73BC">
        <w:rPr>
          <w:rFonts w:cs="Arial"/>
          <w:spacing w:val="-2"/>
          <w:lang w:val="en-US"/>
        </w:rPr>
        <w:t>ing</w:t>
      </w:r>
      <w:r w:rsidR="00124320" w:rsidRPr="000E73BC">
        <w:rPr>
          <w:rFonts w:cs="Arial"/>
          <w:spacing w:val="-2"/>
          <w:lang w:val="en-US"/>
        </w:rPr>
        <w:t xml:space="preserve"> section 27 </w:t>
      </w:r>
      <w:r w:rsidR="00124320">
        <w:rPr>
          <w:rFonts w:cs="Arial"/>
          <w:lang w:val="en-US"/>
        </w:rPr>
        <w:t xml:space="preserve">of the OAPO </w:t>
      </w:r>
      <w:r w:rsidR="00124320" w:rsidRPr="00124320">
        <w:rPr>
          <w:rFonts w:cs="Arial"/>
          <w:lang w:val="en-US"/>
        </w:rPr>
        <w:t>in its current form</w:t>
      </w:r>
      <w:r w:rsidR="00665FDA">
        <w:rPr>
          <w:rFonts w:cs="Arial"/>
          <w:lang w:val="en-US"/>
        </w:rPr>
        <w:t xml:space="preserve">. </w:t>
      </w:r>
      <w:r w:rsidR="00124320" w:rsidRPr="00124320">
        <w:rPr>
          <w:rFonts w:cs="Arial"/>
          <w:lang w:val="en-US"/>
        </w:rPr>
        <w:t xml:space="preserve"> </w:t>
      </w:r>
      <w:r w:rsidR="00F47967">
        <w:rPr>
          <w:rFonts w:cs="Arial"/>
          <w:lang w:val="en-US"/>
        </w:rPr>
        <w:t xml:space="preserve">A majority of the Respondents who have stated their stance support </w:t>
      </w:r>
      <w:r w:rsidR="00036F44">
        <w:rPr>
          <w:rFonts w:cs="Arial"/>
          <w:lang w:val="en-US"/>
        </w:rPr>
        <w:t xml:space="preserve">this </w:t>
      </w:r>
      <w:r w:rsidR="006E3396">
        <w:rPr>
          <w:rFonts w:cs="Arial"/>
          <w:lang w:val="en-US"/>
        </w:rPr>
        <w:t>r</w:t>
      </w:r>
      <w:r w:rsidR="00F47967">
        <w:rPr>
          <w:rFonts w:cs="Arial"/>
          <w:lang w:val="en-US"/>
        </w:rPr>
        <w:t>ecommendation.</w:t>
      </w:r>
      <w:r w:rsidR="007473DC">
        <w:rPr>
          <w:rFonts w:cs="Arial"/>
          <w:lang w:val="en-US"/>
        </w:rPr>
        <w:t xml:space="preserve"> </w:t>
      </w:r>
      <w:r w:rsidR="00257ED6">
        <w:rPr>
          <w:rFonts w:cs="Arial"/>
          <w:lang w:val="en-US"/>
        </w:rPr>
        <w:t xml:space="preserve"> </w:t>
      </w:r>
      <w:r w:rsidR="00665FDA">
        <w:rPr>
          <w:rFonts w:cs="Arial"/>
          <w:lang w:val="en-US"/>
        </w:rPr>
        <w:t xml:space="preserve">Recommendation 3(b) </w:t>
      </w:r>
      <w:r w:rsidR="00036F44">
        <w:rPr>
          <w:rFonts w:cs="Arial"/>
          <w:lang w:val="en-US"/>
        </w:rPr>
        <w:t xml:space="preserve">in the CP </w:t>
      </w:r>
      <w:r w:rsidR="00257ED6">
        <w:rPr>
          <w:rFonts w:cs="Arial"/>
          <w:lang w:val="en-US"/>
        </w:rPr>
        <w:t>propos</w:t>
      </w:r>
      <w:r w:rsidR="00FB1574">
        <w:rPr>
          <w:rFonts w:cs="Arial"/>
          <w:lang w:val="en-US"/>
        </w:rPr>
        <w:t>es</w:t>
      </w:r>
      <w:r w:rsidR="00257ED6">
        <w:rPr>
          <w:rFonts w:cs="Arial"/>
          <w:lang w:val="en-US"/>
        </w:rPr>
        <w:t xml:space="preserve"> </w:t>
      </w:r>
      <w:r w:rsidR="00665FDA">
        <w:rPr>
          <w:rFonts w:cs="Arial"/>
          <w:lang w:val="en-US"/>
        </w:rPr>
        <w:t>that t</w:t>
      </w:r>
      <w:r w:rsidR="00665FDA" w:rsidRPr="00124320">
        <w:rPr>
          <w:rFonts w:cs="Arial"/>
          <w:lang w:val="en-US"/>
        </w:rPr>
        <w:t xml:space="preserve">he Government </w:t>
      </w:r>
      <w:r w:rsidR="00665FDA">
        <w:rPr>
          <w:rFonts w:cs="Arial"/>
          <w:lang w:val="en-US"/>
        </w:rPr>
        <w:t xml:space="preserve">should </w:t>
      </w:r>
      <w:r w:rsidR="00665FDA" w:rsidRPr="00124320">
        <w:rPr>
          <w:rFonts w:cs="Arial"/>
          <w:lang w:val="en-US"/>
        </w:rPr>
        <w:t>undertake a review of the maximum penalty under section 27(1</w:t>
      </w:r>
      <w:proofErr w:type="gramStart"/>
      <w:r w:rsidR="00665FDA" w:rsidRPr="00124320">
        <w:rPr>
          <w:rFonts w:cs="Arial"/>
          <w:lang w:val="en-US"/>
        </w:rPr>
        <w:t>)(</w:t>
      </w:r>
      <w:proofErr w:type="gramEnd"/>
      <w:r w:rsidR="00665FDA" w:rsidRPr="00124320">
        <w:rPr>
          <w:rFonts w:cs="Arial"/>
          <w:lang w:val="en-US"/>
        </w:rPr>
        <w:t xml:space="preserve">a) of </w:t>
      </w:r>
      <w:r w:rsidR="00665FDA">
        <w:rPr>
          <w:rFonts w:cs="Arial"/>
          <w:lang w:val="en-US"/>
        </w:rPr>
        <w:t xml:space="preserve">the OAPO </w:t>
      </w:r>
      <w:r w:rsidR="00665FDA" w:rsidRPr="00124320">
        <w:rPr>
          <w:rFonts w:cs="Arial"/>
          <w:lang w:val="en-US"/>
        </w:rPr>
        <w:t>with a view to increasing it as appropriate</w:t>
      </w:r>
      <w:r w:rsidR="00665FDA">
        <w:rPr>
          <w:rFonts w:cs="Arial"/>
          <w:lang w:val="en-US"/>
        </w:rPr>
        <w:t xml:space="preserve">.  </w:t>
      </w:r>
      <w:r w:rsidR="00F47967">
        <w:rPr>
          <w:rFonts w:cs="Arial"/>
          <w:lang w:val="en-US"/>
        </w:rPr>
        <w:t xml:space="preserve">There is overwhelming support for </w:t>
      </w:r>
      <w:r w:rsidR="00ED7633">
        <w:rPr>
          <w:rFonts w:cs="Arial"/>
          <w:lang w:val="en-US"/>
        </w:rPr>
        <w:t xml:space="preserve">this </w:t>
      </w:r>
      <w:r w:rsidR="006E3396">
        <w:rPr>
          <w:rFonts w:cs="Arial"/>
          <w:lang w:val="en-US"/>
        </w:rPr>
        <w:t>r</w:t>
      </w:r>
      <w:r w:rsidR="00F47967">
        <w:rPr>
          <w:rFonts w:cs="Arial"/>
          <w:lang w:val="en-US"/>
        </w:rPr>
        <w:t>ecommendation.</w:t>
      </w:r>
      <w:r w:rsidR="001E7C0F">
        <w:rPr>
          <w:rFonts w:cs="Arial"/>
          <w:lang w:val="en-US"/>
        </w:rPr>
        <w:t xml:space="preserve">  We therefore maintain</w:t>
      </w:r>
      <w:r w:rsidR="00FC06D4">
        <w:rPr>
          <w:rFonts w:cs="Arial"/>
          <w:lang w:val="en-US"/>
        </w:rPr>
        <w:t xml:space="preserve"> Recommendation 3(a) and (b)</w:t>
      </w:r>
      <w:r w:rsidR="001E7C0F">
        <w:rPr>
          <w:rFonts w:cs="Arial"/>
          <w:lang w:val="en-US"/>
        </w:rPr>
        <w:t xml:space="preserve"> in the Report.</w:t>
      </w:r>
      <w:r w:rsidR="00F47967">
        <w:rPr>
          <w:rFonts w:cs="Arial"/>
          <w:lang w:val="en-US"/>
        </w:rPr>
        <w:t xml:space="preserve"> </w:t>
      </w:r>
    </w:p>
    <w:p w14:paraId="56D7A49A" w14:textId="77777777" w:rsidR="00CE4A49" w:rsidRDefault="00CE4A49" w:rsidP="002F0EDE">
      <w:pPr>
        <w:widowControl/>
        <w:tabs>
          <w:tab w:val="clear" w:pos="1418"/>
        </w:tabs>
        <w:adjustRightInd/>
        <w:rPr>
          <w:rFonts w:cs="Arial"/>
          <w:lang w:val="en-US"/>
        </w:rPr>
      </w:pPr>
    </w:p>
    <w:p w14:paraId="29D28D53" w14:textId="314D5801" w:rsidR="00F47967" w:rsidRPr="00F47967" w:rsidRDefault="00CE4A49" w:rsidP="002F0EDE">
      <w:pPr>
        <w:widowControl/>
        <w:tabs>
          <w:tab w:val="clear" w:pos="1418"/>
        </w:tabs>
        <w:adjustRightInd/>
        <w:rPr>
          <w:rFonts w:cs="Arial"/>
          <w:lang w:val="en-US"/>
        </w:rPr>
      </w:pPr>
      <w:r>
        <w:rPr>
          <w:rFonts w:cs="Arial"/>
          <w:lang w:val="en-US"/>
        </w:rPr>
        <w:t>8.</w:t>
      </w:r>
      <w:r>
        <w:rPr>
          <w:rFonts w:cs="Arial"/>
          <w:lang w:val="en-US"/>
        </w:rPr>
        <w:tab/>
      </w:r>
      <w:r>
        <w:rPr>
          <w:rFonts w:cs="Arial"/>
          <w:lang w:val="en-US"/>
        </w:rPr>
        <w:tab/>
      </w:r>
      <w:r w:rsidR="00DD68BA">
        <w:rPr>
          <w:rFonts w:cs="Arial"/>
          <w:lang w:val="en-US"/>
        </w:rPr>
        <w:t xml:space="preserve">To address some Respondents’ </w:t>
      </w:r>
      <w:r w:rsidR="001E7C0F">
        <w:rPr>
          <w:rFonts w:cs="Arial"/>
          <w:lang w:val="en-US"/>
        </w:rPr>
        <w:t>concern, we i</w:t>
      </w:r>
      <w:r w:rsidR="00665FDA">
        <w:rPr>
          <w:rFonts w:cs="Arial"/>
          <w:lang w:val="en-US"/>
        </w:rPr>
        <w:t>n addition</w:t>
      </w:r>
      <w:r w:rsidR="001E7C0F">
        <w:rPr>
          <w:rFonts w:cs="Arial"/>
          <w:lang w:val="en-US"/>
        </w:rPr>
        <w:t xml:space="preserve"> recommend in the Report</w:t>
      </w:r>
      <w:r w:rsidR="006D7F2B" w:rsidRPr="006D7F2B">
        <w:rPr>
          <w:rFonts w:cs="Arial"/>
          <w:lang w:val="en-US"/>
        </w:rPr>
        <w:t xml:space="preserve"> the</w:t>
      </w:r>
      <w:r w:rsidR="00AA5C2B">
        <w:rPr>
          <w:rFonts w:cs="Arial"/>
          <w:lang w:val="en-US"/>
        </w:rPr>
        <w:t xml:space="preserve"> following revised </w:t>
      </w:r>
      <w:proofErr w:type="spellStart"/>
      <w:r w:rsidR="006D7F2B" w:rsidRPr="00AE24DC">
        <w:rPr>
          <w:rFonts w:cs="Arial"/>
          <w:i/>
          <w:lang w:val="en-US"/>
        </w:rPr>
        <w:t>mens</w:t>
      </w:r>
      <w:proofErr w:type="spellEnd"/>
      <w:r w:rsidR="006D7F2B" w:rsidRPr="00AE24DC">
        <w:rPr>
          <w:rFonts w:cs="Arial"/>
          <w:i/>
          <w:lang w:val="en-US"/>
        </w:rPr>
        <w:t xml:space="preserve"> rea</w:t>
      </w:r>
      <w:r w:rsidR="006D7F2B" w:rsidRPr="006D7F2B">
        <w:rPr>
          <w:rFonts w:cs="Arial"/>
          <w:lang w:val="en-US"/>
        </w:rPr>
        <w:t xml:space="preserve"> of the proposed offence</w:t>
      </w:r>
      <w:r w:rsidR="00AA5C2B">
        <w:rPr>
          <w:rFonts w:cs="Arial"/>
          <w:lang w:val="en-US"/>
        </w:rPr>
        <w:t>:</w:t>
      </w:r>
      <w:r w:rsidR="006D7F2B" w:rsidRPr="006D7F2B">
        <w:rPr>
          <w:rFonts w:cs="Arial"/>
          <w:lang w:val="en-US"/>
        </w:rPr>
        <w:t xml:space="preserve"> </w:t>
      </w:r>
      <w:r w:rsidR="001E7C0F">
        <w:rPr>
          <w:rFonts w:cs="Arial"/>
          <w:lang w:val="en-US"/>
        </w:rPr>
        <w:t xml:space="preserve">a </w:t>
      </w:r>
      <w:r w:rsidR="006D7F2B" w:rsidRPr="006D7F2B">
        <w:rPr>
          <w:rFonts w:cs="Arial"/>
          <w:lang w:val="en-US"/>
        </w:rPr>
        <w:t xml:space="preserve">defendant </w:t>
      </w:r>
      <w:r w:rsidR="006D7F2B" w:rsidRPr="006D7F2B">
        <w:rPr>
          <w:rFonts w:cs="Arial"/>
          <w:i/>
          <w:lang w:val="en-US"/>
        </w:rPr>
        <w:t xml:space="preserve">“knew, or had reasonable grounds to believe” </w:t>
      </w:r>
      <w:r w:rsidR="006D7F2B" w:rsidRPr="006D7F2B">
        <w:rPr>
          <w:rFonts w:cs="Arial"/>
          <w:lang w:val="en-US"/>
        </w:rPr>
        <w:t xml:space="preserve">that there was a risk that serious harm would be caused to the victim by the unlawful act or neglect.  This is to clarify that this objective test of </w:t>
      </w:r>
      <w:r w:rsidR="006D7F2B" w:rsidRPr="006D7F2B">
        <w:rPr>
          <w:rFonts w:cs="Arial"/>
          <w:i/>
          <w:lang w:val="en-US"/>
        </w:rPr>
        <w:t>“reasonable grounds”</w:t>
      </w:r>
      <w:r w:rsidR="006D7F2B" w:rsidRPr="006D7F2B">
        <w:rPr>
          <w:rFonts w:cs="Arial"/>
          <w:lang w:val="en-US"/>
        </w:rPr>
        <w:t xml:space="preserve"> </w:t>
      </w:r>
      <w:r w:rsidR="00F35530">
        <w:rPr>
          <w:rFonts w:cs="Arial"/>
          <w:lang w:val="en-US"/>
        </w:rPr>
        <w:t xml:space="preserve">will take into account </w:t>
      </w:r>
      <w:r w:rsidR="006D7F2B" w:rsidRPr="006D7F2B">
        <w:rPr>
          <w:rFonts w:cs="Arial"/>
          <w:lang w:val="en-US"/>
        </w:rPr>
        <w:t xml:space="preserve">the viewpoint of the defendant, having regard to all the facts and circumstances known to him.  </w:t>
      </w:r>
      <w:r w:rsidR="001E7C0F">
        <w:rPr>
          <w:rFonts w:cs="Arial"/>
          <w:lang w:val="en-US"/>
        </w:rPr>
        <w:t>O</w:t>
      </w:r>
      <w:r w:rsidR="00674B89">
        <w:rPr>
          <w:rFonts w:cs="Arial"/>
          <w:lang w:val="en-US"/>
        </w:rPr>
        <w:t xml:space="preserve">ur </w:t>
      </w:r>
      <w:r w:rsidR="00674B89" w:rsidRPr="00714C69">
        <w:rPr>
          <w:rFonts w:cs="Arial"/>
          <w:b/>
          <w:lang w:val="en-US"/>
        </w:rPr>
        <w:t>Final Recommendation 3</w:t>
      </w:r>
      <w:r w:rsidR="00A56A38">
        <w:rPr>
          <w:rFonts w:cs="Arial"/>
          <w:b/>
          <w:lang w:val="en-US"/>
        </w:rPr>
        <w:t xml:space="preserve"> </w:t>
      </w:r>
      <w:r w:rsidR="00A56A38" w:rsidRPr="00A56A38">
        <w:rPr>
          <w:rFonts w:cs="Arial"/>
          <w:lang w:val="en-US"/>
        </w:rPr>
        <w:t>is</w:t>
      </w:r>
      <w:r w:rsidR="001E7C0F">
        <w:rPr>
          <w:rFonts w:cs="Arial"/>
          <w:lang w:val="en-US"/>
        </w:rPr>
        <w:t xml:space="preserve"> as follows</w:t>
      </w:r>
      <w:r w:rsidR="00674B89" w:rsidRPr="00A56A38">
        <w:rPr>
          <w:rFonts w:cs="Arial"/>
          <w:lang w:val="en-US"/>
        </w:rPr>
        <w:t>:</w:t>
      </w:r>
      <w:r w:rsidR="00F47967">
        <w:rPr>
          <w:rFonts w:cs="Arial"/>
          <w:lang w:val="en-US"/>
        </w:rPr>
        <w:t xml:space="preserve"> </w:t>
      </w:r>
    </w:p>
    <w:p w14:paraId="0D8479C7" w14:textId="77777777" w:rsidR="00F47967" w:rsidRDefault="00F47967" w:rsidP="002F0EDE">
      <w:pPr>
        <w:widowControl/>
        <w:tabs>
          <w:tab w:val="clear" w:pos="1418"/>
        </w:tabs>
        <w:adjustRightInd/>
        <w:rPr>
          <w:rFonts w:cs="Arial"/>
          <w:i/>
          <w:lang w:val="en-US"/>
        </w:rPr>
      </w:pPr>
    </w:p>
    <w:p w14:paraId="2E408BDB" w14:textId="77777777" w:rsidR="002F0EDE" w:rsidRPr="005E725B" w:rsidRDefault="005E725B" w:rsidP="00931B59">
      <w:pPr>
        <w:widowControl/>
        <w:tabs>
          <w:tab w:val="clear" w:pos="1418"/>
        </w:tabs>
        <w:adjustRightInd/>
        <w:ind w:left="1440" w:right="720" w:hanging="720"/>
        <w:rPr>
          <w:rFonts w:cs="Arial"/>
          <w:i/>
          <w:lang w:val="en-US"/>
        </w:rPr>
      </w:pPr>
      <w:r w:rsidRPr="005E725B">
        <w:rPr>
          <w:rFonts w:cs="Arial"/>
          <w:i/>
          <w:lang w:val="en-US"/>
        </w:rPr>
        <w:t>“</w:t>
      </w:r>
      <w:r w:rsidR="002F0EDE" w:rsidRPr="005E725B">
        <w:rPr>
          <w:rFonts w:cs="Arial"/>
          <w:i/>
          <w:lang w:val="en-US"/>
        </w:rPr>
        <w:t>We recommend:</w:t>
      </w:r>
    </w:p>
    <w:p w14:paraId="7D420BC0" w14:textId="77777777" w:rsidR="005E725B" w:rsidRPr="005E725B" w:rsidRDefault="005E725B" w:rsidP="00931B59">
      <w:pPr>
        <w:widowControl/>
        <w:tabs>
          <w:tab w:val="clear" w:pos="1418"/>
        </w:tabs>
        <w:adjustRightInd/>
        <w:ind w:left="1440" w:right="720" w:hanging="720"/>
        <w:rPr>
          <w:rFonts w:cs="Arial"/>
          <w:i/>
          <w:lang w:val="en-US"/>
        </w:rPr>
      </w:pPr>
    </w:p>
    <w:p w14:paraId="69C9B19E" w14:textId="77777777" w:rsidR="002F0EDE" w:rsidRDefault="002F0EDE" w:rsidP="00931B59">
      <w:pPr>
        <w:widowControl/>
        <w:numPr>
          <w:ilvl w:val="0"/>
          <w:numId w:val="6"/>
        </w:numPr>
        <w:tabs>
          <w:tab w:val="clear" w:pos="1418"/>
        </w:tabs>
        <w:adjustRightInd/>
        <w:ind w:left="1440" w:right="720" w:hanging="720"/>
        <w:rPr>
          <w:rFonts w:cs="Arial"/>
          <w:i/>
          <w:lang w:val="en-US"/>
        </w:rPr>
      </w:pPr>
      <w:r w:rsidRPr="005E725B">
        <w:rPr>
          <w:rFonts w:cs="Arial"/>
          <w:i/>
          <w:lang w:val="en-US"/>
        </w:rPr>
        <w:t xml:space="preserve">subject to (b) below, the retention in its current form of section 27 of the Offences against the Person Ordinance (Cap 212); </w:t>
      </w:r>
    </w:p>
    <w:p w14:paraId="79AFF7C0" w14:textId="77777777" w:rsidR="00DF5656" w:rsidRPr="005E725B" w:rsidRDefault="00DF5656" w:rsidP="00931B59">
      <w:pPr>
        <w:widowControl/>
        <w:tabs>
          <w:tab w:val="clear" w:pos="1418"/>
        </w:tabs>
        <w:adjustRightInd/>
        <w:ind w:left="1440" w:right="720" w:hanging="720"/>
        <w:rPr>
          <w:rFonts w:cs="Arial"/>
          <w:i/>
          <w:lang w:val="en-US"/>
        </w:rPr>
      </w:pPr>
    </w:p>
    <w:p w14:paraId="6EC07C87" w14:textId="77777777" w:rsidR="002F0EDE" w:rsidRDefault="002F0EDE" w:rsidP="00931B59">
      <w:pPr>
        <w:widowControl/>
        <w:numPr>
          <w:ilvl w:val="0"/>
          <w:numId w:val="6"/>
        </w:numPr>
        <w:tabs>
          <w:tab w:val="clear" w:pos="1418"/>
        </w:tabs>
        <w:adjustRightInd/>
        <w:ind w:left="1440" w:right="720" w:hanging="720"/>
        <w:rPr>
          <w:rFonts w:cs="Arial"/>
          <w:i/>
          <w:lang w:val="en-US"/>
        </w:rPr>
      </w:pPr>
      <w:r w:rsidRPr="005E725B">
        <w:rPr>
          <w:rFonts w:cs="Arial"/>
          <w:i/>
          <w:lang w:val="en-US"/>
        </w:rPr>
        <w:t>that the Government undertake a review of the maximum penalty applicable under section 27(1)(a) of the Offences against the Person Ordinance (Cap 212) with a view to increasing it as appropriate; and</w:t>
      </w:r>
    </w:p>
    <w:p w14:paraId="697649F1" w14:textId="77777777" w:rsidR="00E16F0B" w:rsidRDefault="00E16F0B" w:rsidP="00931B59">
      <w:pPr>
        <w:pStyle w:val="ListParagraph"/>
        <w:ind w:left="1440" w:right="720" w:hanging="720"/>
        <w:rPr>
          <w:rFonts w:cs="Arial"/>
          <w:i/>
          <w:lang w:val="en-US"/>
        </w:rPr>
      </w:pPr>
    </w:p>
    <w:p w14:paraId="79FF88F9" w14:textId="77777777" w:rsidR="002F0EDE" w:rsidRPr="005E725B" w:rsidRDefault="002F0EDE" w:rsidP="00931B59">
      <w:pPr>
        <w:widowControl/>
        <w:numPr>
          <w:ilvl w:val="0"/>
          <w:numId w:val="6"/>
        </w:numPr>
        <w:tabs>
          <w:tab w:val="clear" w:pos="1418"/>
        </w:tabs>
        <w:adjustRightInd/>
        <w:ind w:left="1440" w:right="720" w:hanging="720"/>
        <w:rPr>
          <w:rFonts w:cs="Arial"/>
          <w:i/>
          <w:lang w:val="en-US"/>
        </w:rPr>
      </w:pPr>
      <w:r w:rsidRPr="005E725B">
        <w:rPr>
          <w:rFonts w:cs="Arial"/>
          <w:i/>
          <w:lang w:val="en-US"/>
        </w:rPr>
        <w:t>that section 14</w:t>
      </w:r>
      <w:r w:rsidR="00591602">
        <w:rPr>
          <w:rFonts w:cs="Arial"/>
          <w:i/>
          <w:lang w:val="en-US"/>
        </w:rPr>
        <w:t>(1)</w:t>
      </w:r>
      <w:r w:rsidRPr="005E725B">
        <w:rPr>
          <w:rFonts w:cs="Arial"/>
          <w:i/>
          <w:lang w:val="en-US"/>
        </w:rPr>
        <w:t xml:space="preserve">(c) of the Criminal Law Consolidation Act 1935 in South Australia (as amended in 2005) should be adopted in the proposed offence subject to the substitution of the </w:t>
      </w:r>
      <w:proofErr w:type="spellStart"/>
      <w:r w:rsidRPr="005E725B">
        <w:rPr>
          <w:rFonts w:cs="Arial"/>
          <w:i/>
          <w:lang w:val="en-US"/>
        </w:rPr>
        <w:t>mens</w:t>
      </w:r>
      <w:proofErr w:type="spellEnd"/>
      <w:r w:rsidRPr="005E725B">
        <w:rPr>
          <w:rFonts w:cs="Arial"/>
          <w:i/>
          <w:lang w:val="en-US"/>
        </w:rPr>
        <w:t xml:space="preserve"> rea </w:t>
      </w:r>
      <w:r w:rsidR="00590E0D">
        <w:rPr>
          <w:rFonts w:cs="Arial"/>
          <w:i/>
          <w:lang w:val="en-US"/>
        </w:rPr>
        <w:t>‘</w:t>
      </w:r>
      <w:r w:rsidRPr="005E725B">
        <w:rPr>
          <w:rFonts w:cs="Arial"/>
          <w:i/>
          <w:lang w:val="en-US"/>
        </w:rPr>
        <w:t>knew, or had reasonable grounds to believe,</w:t>
      </w:r>
      <w:r w:rsidR="00590E0D">
        <w:rPr>
          <w:rFonts w:cs="Arial"/>
          <w:i/>
          <w:lang w:val="en-US"/>
        </w:rPr>
        <w:t>’</w:t>
      </w:r>
      <w:r w:rsidRPr="005E725B">
        <w:rPr>
          <w:rFonts w:cs="Arial"/>
          <w:i/>
          <w:lang w:val="en-US"/>
        </w:rPr>
        <w:t xml:space="preserve"> for </w:t>
      </w:r>
      <w:r w:rsidR="00590E0D">
        <w:rPr>
          <w:rFonts w:cs="Arial"/>
          <w:i/>
          <w:lang w:val="en-US"/>
        </w:rPr>
        <w:t>‘</w:t>
      </w:r>
      <w:r w:rsidRPr="005E725B">
        <w:rPr>
          <w:rFonts w:cs="Arial"/>
          <w:i/>
          <w:lang w:val="en-US"/>
        </w:rPr>
        <w:t>was, or ought to have been, aware</w:t>
      </w:r>
      <w:r w:rsidR="00590E0D">
        <w:rPr>
          <w:rFonts w:cs="Arial"/>
          <w:i/>
          <w:lang w:val="en-US"/>
        </w:rPr>
        <w:t>’</w:t>
      </w:r>
      <w:r w:rsidRPr="005E725B">
        <w:rPr>
          <w:rFonts w:cs="Arial"/>
          <w:i/>
          <w:lang w:val="en-US"/>
        </w:rPr>
        <w:t xml:space="preserve"> in the provision.</w:t>
      </w:r>
      <w:r w:rsidR="005E725B" w:rsidRPr="005E725B">
        <w:rPr>
          <w:rFonts w:cs="Arial"/>
          <w:i/>
          <w:lang w:val="en-US"/>
        </w:rPr>
        <w:t>”</w:t>
      </w:r>
      <w:r w:rsidR="00E517CD" w:rsidRPr="00931B59">
        <w:rPr>
          <w:rStyle w:val="FootnoteReference"/>
          <w:color w:val="000000"/>
          <w:sz w:val="24"/>
          <w:szCs w:val="24"/>
        </w:rPr>
        <w:footnoteReference w:id="2"/>
      </w:r>
    </w:p>
    <w:p w14:paraId="5B36C446" w14:textId="77777777" w:rsidR="002F0EDE" w:rsidRPr="002F0EDE" w:rsidRDefault="002F0EDE" w:rsidP="002F0EDE">
      <w:pPr>
        <w:widowControl/>
        <w:tabs>
          <w:tab w:val="clear" w:pos="1418"/>
        </w:tabs>
        <w:adjustRightInd/>
        <w:rPr>
          <w:rFonts w:cs="Arial"/>
          <w:lang w:val="en-US"/>
        </w:rPr>
      </w:pPr>
    </w:p>
    <w:p w14:paraId="5F14892B" w14:textId="77777777" w:rsidR="006E5F8D" w:rsidRDefault="00AF365C" w:rsidP="002F0EDE">
      <w:pPr>
        <w:widowControl/>
        <w:tabs>
          <w:tab w:val="clear" w:pos="1418"/>
        </w:tabs>
        <w:adjustRightInd/>
        <w:rPr>
          <w:rFonts w:cs="Arial"/>
          <w:lang w:val="en-US"/>
        </w:rPr>
      </w:pPr>
      <w:r>
        <w:rPr>
          <w:rFonts w:cs="Arial"/>
          <w:lang w:val="en-US"/>
        </w:rPr>
        <w:tab/>
      </w:r>
      <w:r w:rsidR="003E0B77">
        <w:rPr>
          <w:rFonts w:cs="Arial"/>
          <w:lang w:val="en-US"/>
        </w:rPr>
        <w:t xml:space="preserve"> </w:t>
      </w:r>
    </w:p>
    <w:p w14:paraId="31DF2B5C" w14:textId="77777777" w:rsidR="00741E3E" w:rsidRPr="00E345FC" w:rsidRDefault="00741E3E" w:rsidP="000E73BC">
      <w:pPr>
        <w:keepNext/>
        <w:keepLines/>
        <w:widowControl/>
        <w:tabs>
          <w:tab w:val="clear" w:pos="1418"/>
        </w:tabs>
        <w:adjustRightInd/>
        <w:rPr>
          <w:b/>
          <w:sz w:val="28"/>
          <w:szCs w:val="28"/>
          <w:lang w:val="en-US"/>
        </w:rPr>
      </w:pPr>
      <w:r w:rsidRPr="00E345FC">
        <w:rPr>
          <w:b/>
          <w:sz w:val="28"/>
          <w:szCs w:val="28"/>
          <w:lang w:val="en-US"/>
        </w:rPr>
        <w:lastRenderedPageBreak/>
        <w:t>Chapter 4: Scope of the proposed offence</w:t>
      </w:r>
    </w:p>
    <w:p w14:paraId="598F421C" w14:textId="77777777" w:rsidR="00674B89" w:rsidRPr="00E367A2" w:rsidRDefault="00674B89" w:rsidP="000E73BC">
      <w:pPr>
        <w:keepNext/>
        <w:keepLines/>
        <w:widowControl/>
        <w:tabs>
          <w:tab w:val="clear" w:pos="1418"/>
        </w:tabs>
        <w:adjustRightInd/>
        <w:rPr>
          <w:b/>
          <w:lang w:val="en-US"/>
        </w:rPr>
      </w:pPr>
    </w:p>
    <w:p w14:paraId="67E81645" w14:textId="77777777" w:rsidR="002F0EDE" w:rsidRPr="00E345FC" w:rsidRDefault="00BC6265" w:rsidP="000E73BC">
      <w:pPr>
        <w:keepNext/>
        <w:keepLines/>
        <w:widowControl/>
        <w:tabs>
          <w:tab w:val="clear" w:pos="1418"/>
        </w:tabs>
        <w:adjustRightInd/>
        <w:rPr>
          <w:rFonts w:cs="Arial"/>
          <w:b/>
          <w:i/>
          <w:lang w:val="en-US"/>
        </w:rPr>
      </w:pPr>
      <w:r>
        <w:rPr>
          <w:rFonts w:cs="Arial"/>
          <w:b/>
          <w:i/>
          <w:lang w:val="en-US"/>
        </w:rPr>
        <w:t>V</w:t>
      </w:r>
      <w:r w:rsidR="00920B7C">
        <w:rPr>
          <w:rFonts w:cs="Arial"/>
          <w:b/>
          <w:i/>
          <w:lang w:val="en-US"/>
        </w:rPr>
        <w:t>ictim</w:t>
      </w:r>
      <w:r w:rsidR="00C7366B">
        <w:rPr>
          <w:rFonts w:cs="Arial"/>
          <w:b/>
          <w:i/>
          <w:lang w:val="en-US"/>
        </w:rPr>
        <w:t>s</w:t>
      </w:r>
      <w:r>
        <w:rPr>
          <w:rFonts w:cs="Arial"/>
          <w:b/>
          <w:i/>
          <w:lang w:val="en-US"/>
        </w:rPr>
        <w:t xml:space="preserve"> under the proposed offence</w:t>
      </w:r>
      <w:r w:rsidR="00920B7C">
        <w:rPr>
          <w:rFonts w:cs="Arial"/>
          <w:b/>
          <w:i/>
          <w:lang w:val="en-US"/>
        </w:rPr>
        <w:t>: child</w:t>
      </w:r>
      <w:r w:rsidR="0045795A">
        <w:rPr>
          <w:rFonts w:cs="Arial"/>
          <w:b/>
          <w:i/>
          <w:lang w:val="en-US"/>
        </w:rPr>
        <w:t>ren</w:t>
      </w:r>
      <w:r w:rsidR="00920B7C">
        <w:rPr>
          <w:rFonts w:cs="Arial"/>
          <w:b/>
          <w:i/>
          <w:lang w:val="en-US"/>
        </w:rPr>
        <w:t xml:space="preserve"> </w:t>
      </w:r>
      <w:r>
        <w:rPr>
          <w:rFonts w:cs="Arial"/>
          <w:b/>
          <w:i/>
          <w:lang w:val="en-US"/>
        </w:rPr>
        <w:t>and</w:t>
      </w:r>
      <w:r w:rsidR="00920B7C">
        <w:rPr>
          <w:rFonts w:cs="Arial"/>
          <w:b/>
          <w:i/>
          <w:lang w:val="en-US"/>
        </w:rPr>
        <w:t xml:space="preserve"> vulnerable person</w:t>
      </w:r>
      <w:r w:rsidR="0045795A">
        <w:rPr>
          <w:rFonts w:cs="Arial"/>
          <w:b/>
          <w:i/>
          <w:lang w:val="en-US"/>
        </w:rPr>
        <w:t>s</w:t>
      </w:r>
    </w:p>
    <w:p w14:paraId="4DAB36B3" w14:textId="77777777" w:rsidR="002F0EDE" w:rsidRPr="002F0EDE" w:rsidRDefault="002F0EDE" w:rsidP="000E73BC">
      <w:pPr>
        <w:keepNext/>
        <w:keepLines/>
        <w:widowControl/>
        <w:tabs>
          <w:tab w:val="clear" w:pos="1418"/>
        </w:tabs>
        <w:adjustRightInd/>
        <w:rPr>
          <w:rFonts w:cs="Arial"/>
          <w:lang w:val="en-US"/>
        </w:rPr>
      </w:pPr>
    </w:p>
    <w:p w14:paraId="3C5E3E81" w14:textId="1FBDD4D6" w:rsidR="00806BD2" w:rsidRDefault="0045795A" w:rsidP="000E73BC">
      <w:pPr>
        <w:keepNext/>
        <w:keepLines/>
        <w:widowControl/>
        <w:tabs>
          <w:tab w:val="clear" w:pos="1418"/>
        </w:tabs>
        <w:adjustRightInd/>
        <w:rPr>
          <w:rFonts w:cs="Arial"/>
          <w:lang w:val="en-US"/>
        </w:rPr>
      </w:pPr>
      <w:r>
        <w:rPr>
          <w:rFonts w:cs="Arial"/>
          <w:lang w:val="en-US"/>
        </w:rPr>
        <w:t>9</w:t>
      </w:r>
      <w:r w:rsidR="006B747F" w:rsidRPr="006B747F">
        <w:rPr>
          <w:rFonts w:cs="Arial"/>
          <w:lang w:val="en-US"/>
        </w:rPr>
        <w:t>.</w:t>
      </w:r>
      <w:r w:rsidR="006B747F">
        <w:rPr>
          <w:rFonts w:cs="Arial"/>
          <w:i/>
          <w:lang w:val="en-US"/>
        </w:rPr>
        <w:tab/>
      </w:r>
      <w:r w:rsidR="006B747F">
        <w:rPr>
          <w:rFonts w:cs="Arial"/>
          <w:lang w:val="en-US"/>
        </w:rPr>
        <w:tab/>
        <w:t xml:space="preserve">All Respondents who have expressly stated their stance agree </w:t>
      </w:r>
      <w:r w:rsidR="00773F25">
        <w:rPr>
          <w:rFonts w:cs="Arial"/>
          <w:lang w:val="en-US"/>
        </w:rPr>
        <w:t xml:space="preserve">with Recommendation 4(a) in the CP </w:t>
      </w:r>
      <w:r w:rsidR="006B747F">
        <w:rPr>
          <w:rFonts w:cs="Arial"/>
          <w:lang w:val="en-US"/>
        </w:rPr>
        <w:t xml:space="preserve">that the scope of victim should include a </w:t>
      </w:r>
      <w:r w:rsidR="006B747F" w:rsidRPr="006B747F">
        <w:rPr>
          <w:rFonts w:cs="Arial"/>
          <w:i/>
          <w:lang w:val="en-US"/>
        </w:rPr>
        <w:t>“child”</w:t>
      </w:r>
      <w:r w:rsidR="006B747F">
        <w:rPr>
          <w:rFonts w:cs="Arial"/>
          <w:lang w:val="en-US"/>
        </w:rPr>
        <w:t xml:space="preserve"> or a </w:t>
      </w:r>
      <w:r w:rsidR="006B747F" w:rsidRPr="006B747F">
        <w:rPr>
          <w:rFonts w:cs="Arial"/>
          <w:i/>
          <w:lang w:val="en-US"/>
        </w:rPr>
        <w:t>“vulnerable person”</w:t>
      </w:r>
      <w:r w:rsidR="006B747F">
        <w:rPr>
          <w:rFonts w:cs="Arial"/>
          <w:lang w:val="en-US"/>
        </w:rPr>
        <w:t xml:space="preserve">.  </w:t>
      </w:r>
      <w:r w:rsidR="00641917">
        <w:rPr>
          <w:rFonts w:cs="Arial"/>
          <w:lang w:val="en-US"/>
        </w:rPr>
        <w:t>W</w:t>
      </w:r>
      <w:r w:rsidR="006B747F">
        <w:rPr>
          <w:rFonts w:cs="Arial"/>
          <w:lang w:val="en-US"/>
        </w:rPr>
        <w:t xml:space="preserve">hile some Respondents support the proposed definition of a </w:t>
      </w:r>
      <w:r w:rsidR="006B747F" w:rsidRPr="006B747F">
        <w:rPr>
          <w:rFonts w:cs="Arial"/>
          <w:i/>
          <w:lang w:val="en-US"/>
        </w:rPr>
        <w:t>“child”</w:t>
      </w:r>
      <w:r w:rsidR="006B747F">
        <w:rPr>
          <w:rFonts w:cs="Arial"/>
          <w:lang w:val="en-US"/>
        </w:rPr>
        <w:t xml:space="preserve"> as </w:t>
      </w:r>
      <w:r w:rsidR="006B747F" w:rsidRPr="006B747F">
        <w:rPr>
          <w:rFonts w:cs="Arial"/>
          <w:i/>
          <w:lang w:val="en-US"/>
        </w:rPr>
        <w:t>“a person under 16 years of age”</w:t>
      </w:r>
      <w:r w:rsidR="00641917">
        <w:rPr>
          <w:rFonts w:cs="Arial"/>
          <w:i/>
          <w:lang w:val="en-US"/>
        </w:rPr>
        <w:t xml:space="preserve"> </w:t>
      </w:r>
      <w:r w:rsidR="00641917" w:rsidRPr="00D32C94">
        <w:rPr>
          <w:rFonts w:cs="Arial"/>
          <w:lang w:val="en-US"/>
        </w:rPr>
        <w:t>in</w:t>
      </w:r>
      <w:r w:rsidR="00641917">
        <w:rPr>
          <w:rFonts w:cs="Arial"/>
          <w:lang w:val="en-US"/>
        </w:rPr>
        <w:t xml:space="preserve"> Recommendation 4(b) in the CP</w:t>
      </w:r>
      <w:r w:rsidR="006B747F">
        <w:rPr>
          <w:rFonts w:cs="Arial"/>
          <w:lang w:val="en-US"/>
        </w:rPr>
        <w:t xml:space="preserve">, more of them consider that </w:t>
      </w:r>
      <w:r w:rsidR="00C065C6">
        <w:rPr>
          <w:rFonts w:cs="Arial"/>
          <w:lang w:val="en-US"/>
        </w:rPr>
        <w:t>the age limit</w:t>
      </w:r>
      <w:r w:rsidR="006B747F">
        <w:rPr>
          <w:rFonts w:cs="Arial"/>
          <w:lang w:val="en-US"/>
        </w:rPr>
        <w:t xml:space="preserve"> should be</w:t>
      </w:r>
      <w:r w:rsidR="00C065C6">
        <w:rPr>
          <w:rFonts w:cs="Arial"/>
          <w:lang w:val="en-US"/>
        </w:rPr>
        <w:t xml:space="preserve"> </w:t>
      </w:r>
      <w:r w:rsidR="006B747F">
        <w:rPr>
          <w:rFonts w:cs="Arial"/>
          <w:lang w:val="en-US"/>
        </w:rPr>
        <w:t xml:space="preserve">18 years </w:t>
      </w:r>
      <w:r w:rsidR="006B747F" w:rsidRPr="00DA486C">
        <w:rPr>
          <w:rFonts w:cs="Arial"/>
          <w:lang w:val="en-US"/>
        </w:rPr>
        <w:t xml:space="preserve">or </w:t>
      </w:r>
      <w:r w:rsidR="004348B4" w:rsidRPr="00DA486C">
        <w:rPr>
          <w:rFonts w:cs="Arial"/>
          <w:lang w:val="en-US"/>
        </w:rPr>
        <w:t>as low as 14 or even 12</w:t>
      </w:r>
      <w:r w:rsidR="006B747F">
        <w:rPr>
          <w:rFonts w:cs="Arial"/>
          <w:lang w:val="en-US"/>
        </w:rPr>
        <w:t xml:space="preserve"> years.</w:t>
      </w:r>
      <w:r w:rsidR="00C065C6">
        <w:rPr>
          <w:rFonts w:cs="Arial"/>
          <w:lang w:val="en-US"/>
        </w:rPr>
        <w:t xml:space="preserve">  </w:t>
      </w:r>
      <w:r w:rsidR="003D6523">
        <w:rPr>
          <w:rFonts w:cs="Arial"/>
          <w:lang w:val="en-US"/>
        </w:rPr>
        <w:t>Nevertheless, w</w:t>
      </w:r>
      <w:r w:rsidR="00806BD2">
        <w:rPr>
          <w:rFonts w:cs="Arial"/>
          <w:lang w:val="en-US"/>
        </w:rPr>
        <w:t xml:space="preserve">e recommend retaining </w:t>
      </w:r>
      <w:r w:rsidR="00EA3753">
        <w:rPr>
          <w:rFonts w:cs="Arial"/>
          <w:lang w:val="en-US"/>
        </w:rPr>
        <w:t xml:space="preserve">the age </w:t>
      </w:r>
      <w:r w:rsidR="00346A3A">
        <w:rPr>
          <w:rFonts w:cs="Arial"/>
          <w:lang w:val="en-US"/>
        </w:rPr>
        <w:t xml:space="preserve">limit of </w:t>
      </w:r>
      <w:r w:rsidR="00EA3753">
        <w:rPr>
          <w:rFonts w:cs="Arial"/>
          <w:lang w:val="en-US"/>
        </w:rPr>
        <w:t xml:space="preserve">16 </w:t>
      </w:r>
      <w:r w:rsidR="00C065C6">
        <w:rPr>
          <w:rFonts w:cs="Arial"/>
          <w:lang w:val="en-US"/>
        </w:rPr>
        <w:t xml:space="preserve">years </w:t>
      </w:r>
      <w:r w:rsidR="00641917">
        <w:rPr>
          <w:rFonts w:cs="Arial"/>
          <w:lang w:val="en-US"/>
        </w:rPr>
        <w:t>for the following reasons</w:t>
      </w:r>
      <w:r w:rsidR="00806BD2">
        <w:rPr>
          <w:rFonts w:cs="Arial"/>
          <w:lang w:val="en-US"/>
        </w:rPr>
        <w:t>:</w:t>
      </w:r>
    </w:p>
    <w:p w14:paraId="0690ADAA" w14:textId="77777777" w:rsidR="00806BD2" w:rsidRDefault="00806BD2" w:rsidP="001C6A74">
      <w:pPr>
        <w:widowControl/>
        <w:tabs>
          <w:tab w:val="clear" w:pos="1418"/>
          <w:tab w:val="left" w:pos="567"/>
          <w:tab w:val="left" w:pos="709"/>
          <w:tab w:val="left" w:pos="993"/>
        </w:tabs>
        <w:adjustRightInd/>
        <w:rPr>
          <w:rFonts w:cs="Arial"/>
          <w:lang w:val="en-US"/>
        </w:rPr>
      </w:pPr>
    </w:p>
    <w:p w14:paraId="7762FB37" w14:textId="05864322" w:rsidR="00806BD2" w:rsidRPr="00806BD2" w:rsidRDefault="00806BD2" w:rsidP="000E73BC">
      <w:pPr>
        <w:pStyle w:val="ListParagraph"/>
        <w:widowControl/>
        <w:numPr>
          <w:ilvl w:val="0"/>
          <w:numId w:val="18"/>
        </w:numPr>
        <w:tabs>
          <w:tab w:val="clear" w:pos="1418"/>
          <w:tab w:val="left" w:pos="567"/>
          <w:tab w:val="left" w:pos="1560"/>
        </w:tabs>
        <w:adjustRightInd/>
        <w:spacing w:after="120"/>
        <w:ind w:left="1440" w:hanging="720"/>
        <w:rPr>
          <w:rFonts w:cs="Arial"/>
          <w:i/>
          <w:lang w:val="en-US"/>
        </w:rPr>
      </w:pPr>
      <w:r>
        <w:rPr>
          <w:rFonts w:cs="Arial"/>
          <w:lang w:val="en-US"/>
        </w:rPr>
        <w:t xml:space="preserve">This could ensure that the proposed offence and section 27 of the OAPO (which sets the age limit of </w:t>
      </w:r>
      <w:r w:rsidR="00670BF6">
        <w:rPr>
          <w:rFonts w:cs="Arial"/>
          <w:lang w:val="en-US"/>
        </w:rPr>
        <w:t>victims</w:t>
      </w:r>
      <w:r>
        <w:rPr>
          <w:rFonts w:cs="Arial"/>
          <w:lang w:val="en-US"/>
        </w:rPr>
        <w:t xml:space="preserve"> at 16 years) are consistent as they </w:t>
      </w:r>
      <w:r w:rsidR="00641917">
        <w:rPr>
          <w:rFonts w:cs="Arial"/>
          <w:lang w:val="en-US"/>
        </w:rPr>
        <w:t xml:space="preserve">will </w:t>
      </w:r>
      <w:r>
        <w:rPr>
          <w:rFonts w:cs="Arial"/>
          <w:lang w:val="en-US"/>
        </w:rPr>
        <w:t>work in tandem.</w:t>
      </w:r>
    </w:p>
    <w:p w14:paraId="2B4C707B" w14:textId="77777777" w:rsidR="00806BD2" w:rsidRPr="00806BD2" w:rsidRDefault="00806BD2" w:rsidP="000E73BC">
      <w:pPr>
        <w:pStyle w:val="ListParagraph"/>
        <w:widowControl/>
        <w:numPr>
          <w:ilvl w:val="0"/>
          <w:numId w:val="18"/>
        </w:numPr>
        <w:tabs>
          <w:tab w:val="clear" w:pos="1418"/>
          <w:tab w:val="left" w:pos="567"/>
          <w:tab w:val="left" w:pos="1560"/>
        </w:tabs>
        <w:adjustRightInd/>
        <w:spacing w:after="120"/>
        <w:ind w:left="1440" w:hanging="720"/>
        <w:rPr>
          <w:rFonts w:cs="Arial"/>
          <w:i/>
          <w:lang w:val="en-US"/>
        </w:rPr>
      </w:pPr>
      <w:r>
        <w:rPr>
          <w:rFonts w:cs="Arial"/>
          <w:lang w:val="en-US"/>
        </w:rPr>
        <w:t>Children of 16 years or above are able to express and protect themselves against abuses.</w:t>
      </w:r>
    </w:p>
    <w:p w14:paraId="2E83F022" w14:textId="77777777" w:rsidR="00806BD2" w:rsidRPr="00806BD2" w:rsidRDefault="003D72AE" w:rsidP="000E73BC">
      <w:pPr>
        <w:pStyle w:val="ListParagraph"/>
        <w:widowControl/>
        <w:numPr>
          <w:ilvl w:val="0"/>
          <w:numId w:val="18"/>
        </w:numPr>
        <w:tabs>
          <w:tab w:val="clear" w:pos="1418"/>
          <w:tab w:val="left" w:pos="567"/>
          <w:tab w:val="left" w:pos="1560"/>
        </w:tabs>
        <w:adjustRightInd/>
        <w:spacing w:after="120"/>
        <w:ind w:left="1440" w:hanging="720"/>
        <w:rPr>
          <w:rFonts w:cs="Arial"/>
          <w:i/>
          <w:lang w:val="en-US"/>
        </w:rPr>
      </w:pPr>
      <w:r>
        <w:rPr>
          <w:rFonts w:cs="Arial"/>
          <w:lang w:val="en-US"/>
        </w:rPr>
        <w:t>U</w:t>
      </w:r>
      <w:r w:rsidR="00806BD2">
        <w:rPr>
          <w:rFonts w:cs="Arial"/>
          <w:lang w:val="en-US"/>
        </w:rPr>
        <w:t>niformly raising the age limit to 18 years</w:t>
      </w:r>
      <w:r>
        <w:rPr>
          <w:rFonts w:cs="Arial"/>
          <w:lang w:val="en-US"/>
        </w:rPr>
        <w:t xml:space="preserve"> would involve diverse policy considerations that are beyond the purview of this study</w:t>
      </w:r>
      <w:r w:rsidR="00806BD2">
        <w:rPr>
          <w:rFonts w:cs="Arial"/>
          <w:lang w:val="en-US"/>
        </w:rPr>
        <w:t>.</w:t>
      </w:r>
    </w:p>
    <w:p w14:paraId="16A00CD7" w14:textId="77777777" w:rsidR="00806BD2" w:rsidRPr="00806BD2" w:rsidRDefault="00806BD2" w:rsidP="00931B59">
      <w:pPr>
        <w:pStyle w:val="ListParagraph"/>
        <w:widowControl/>
        <w:numPr>
          <w:ilvl w:val="0"/>
          <w:numId w:val="18"/>
        </w:numPr>
        <w:tabs>
          <w:tab w:val="clear" w:pos="1418"/>
          <w:tab w:val="left" w:pos="567"/>
          <w:tab w:val="left" w:pos="1560"/>
        </w:tabs>
        <w:adjustRightInd/>
        <w:ind w:left="1440" w:hanging="720"/>
        <w:rPr>
          <w:rFonts w:cs="Arial"/>
          <w:i/>
          <w:lang w:val="en-US"/>
        </w:rPr>
      </w:pPr>
      <w:r>
        <w:rPr>
          <w:rFonts w:cs="Arial"/>
          <w:lang w:val="en-US"/>
        </w:rPr>
        <w:t xml:space="preserve">Respondents have different views on the age of maturity of </w:t>
      </w:r>
      <w:r w:rsidRPr="00EA182F">
        <w:rPr>
          <w:rFonts w:cs="Arial"/>
          <w:spacing w:val="-4"/>
          <w:lang w:val="en-US"/>
        </w:rPr>
        <w:t>children and there is no one single age that can be easily agree</w:t>
      </w:r>
      <w:r w:rsidR="002800F0" w:rsidRPr="00EA182F">
        <w:rPr>
          <w:rFonts w:cs="Arial"/>
          <w:spacing w:val="-4"/>
          <w:lang w:val="en-US"/>
        </w:rPr>
        <w:t>d</w:t>
      </w:r>
      <w:r w:rsidRPr="00EA182F">
        <w:rPr>
          <w:rFonts w:cs="Arial"/>
          <w:spacing w:val="-4"/>
          <w:lang w:val="en-US"/>
        </w:rPr>
        <w:t xml:space="preserve"> on.</w:t>
      </w:r>
      <w:r>
        <w:rPr>
          <w:rFonts w:cs="Arial"/>
          <w:lang w:val="en-US"/>
        </w:rPr>
        <w:t xml:space="preserve"> </w:t>
      </w:r>
    </w:p>
    <w:p w14:paraId="15194855" w14:textId="77777777" w:rsidR="00806BD2" w:rsidRPr="00806BD2" w:rsidRDefault="00806BD2" w:rsidP="001C6A74">
      <w:pPr>
        <w:pStyle w:val="ListParagraph"/>
        <w:tabs>
          <w:tab w:val="left" w:pos="567"/>
          <w:tab w:val="left" w:pos="1560"/>
        </w:tabs>
        <w:ind w:left="1418" w:hanging="709"/>
        <w:rPr>
          <w:rFonts w:cs="Arial"/>
          <w:lang w:val="en-US"/>
        </w:rPr>
      </w:pPr>
    </w:p>
    <w:p w14:paraId="05F8AF83" w14:textId="77777777" w:rsidR="006B747F" w:rsidRPr="00806BD2" w:rsidRDefault="00806BD2" w:rsidP="00806BD2">
      <w:pPr>
        <w:widowControl/>
        <w:tabs>
          <w:tab w:val="clear" w:pos="1418"/>
        </w:tabs>
        <w:adjustRightInd/>
        <w:rPr>
          <w:rFonts w:cs="Arial"/>
          <w:i/>
          <w:lang w:val="en-US"/>
        </w:rPr>
      </w:pPr>
      <w:r>
        <w:rPr>
          <w:rFonts w:cs="Arial"/>
          <w:lang w:val="en-US"/>
        </w:rPr>
        <w:t>1</w:t>
      </w:r>
      <w:r w:rsidR="006A3490">
        <w:rPr>
          <w:rFonts w:cs="Arial"/>
          <w:lang w:val="en-US"/>
        </w:rPr>
        <w:t>0</w:t>
      </w:r>
      <w:r>
        <w:rPr>
          <w:rFonts w:cs="Arial"/>
          <w:lang w:val="en-US"/>
        </w:rPr>
        <w:t>.</w:t>
      </w:r>
      <w:r>
        <w:rPr>
          <w:rFonts w:cs="Arial"/>
          <w:lang w:val="en-US"/>
        </w:rPr>
        <w:tab/>
      </w:r>
      <w:r>
        <w:rPr>
          <w:rFonts w:cs="Arial"/>
          <w:lang w:val="en-US"/>
        </w:rPr>
        <w:tab/>
      </w:r>
      <w:r w:rsidRPr="00806BD2">
        <w:rPr>
          <w:rFonts w:cs="Arial"/>
          <w:lang w:val="en-US"/>
        </w:rPr>
        <w:t xml:space="preserve">A majority of the Respondents who have expressly stated their stance on Recommendation 4(c) </w:t>
      </w:r>
      <w:r w:rsidR="00737145">
        <w:rPr>
          <w:rFonts w:cs="Arial"/>
          <w:lang w:val="en-US"/>
        </w:rPr>
        <w:t xml:space="preserve">in the CP </w:t>
      </w:r>
      <w:r w:rsidRPr="00806BD2">
        <w:rPr>
          <w:rFonts w:cs="Arial"/>
          <w:lang w:val="en-US"/>
        </w:rPr>
        <w:t xml:space="preserve">support </w:t>
      </w:r>
      <w:r w:rsidR="00053BFC">
        <w:rPr>
          <w:rFonts w:cs="Arial"/>
          <w:lang w:val="en-US"/>
        </w:rPr>
        <w:t xml:space="preserve">the definition of </w:t>
      </w:r>
      <w:r w:rsidR="00053BFC" w:rsidRPr="00053BFC">
        <w:rPr>
          <w:rFonts w:cs="Arial"/>
          <w:i/>
          <w:lang w:val="en-US"/>
        </w:rPr>
        <w:t>“vulnerable person”</w:t>
      </w:r>
      <w:r w:rsidR="00053BFC">
        <w:rPr>
          <w:rFonts w:cs="Arial"/>
          <w:i/>
          <w:lang w:val="en-US"/>
        </w:rPr>
        <w:t xml:space="preserve"> </w:t>
      </w:r>
      <w:r w:rsidR="00053BFC" w:rsidRPr="00053BFC">
        <w:rPr>
          <w:rFonts w:cs="Arial"/>
          <w:lang w:val="en-US"/>
        </w:rPr>
        <w:t>to cover a wide variety of persons in need of protection against abuses, who may be rendered vulnerable through their personal situa</w:t>
      </w:r>
      <w:r w:rsidR="00053BFC">
        <w:rPr>
          <w:rFonts w:cs="Arial"/>
          <w:lang w:val="en-US"/>
        </w:rPr>
        <w:t>t</w:t>
      </w:r>
      <w:r w:rsidR="00053BFC" w:rsidRPr="00053BFC">
        <w:rPr>
          <w:rFonts w:cs="Arial"/>
          <w:lang w:val="en-US"/>
        </w:rPr>
        <w:t>ions o</w:t>
      </w:r>
      <w:r w:rsidR="00053BFC">
        <w:rPr>
          <w:rFonts w:cs="Arial"/>
          <w:lang w:val="en-US"/>
        </w:rPr>
        <w:t>f</w:t>
      </w:r>
      <w:r w:rsidR="00053BFC" w:rsidRPr="00053BFC">
        <w:rPr>
          <w:rFonts w:cs="Arial"/>
          <w:lang w:val="en-US"/>
        </w:rPr>
        <w:t xml:space="preserve"> dependency, or their pote</w:t>
      </w:r>
      <w:r w:rsidR="00053BFC">
        <w:rPr>
          <w:rFonts w:cs="Arial"/>
          <w:lang w:val="en-US"/>
        </w:rPr>
        <w:t>n</w:t>
      </w:r>
      <w:r w:rsidR="00053BFC" w:rsidRPr="00053BFC">
        <w:rPr>
          <w:rFonts w:cs="Arial"/>
          <w:lang w:val="en-US"/>
        </w:rPr>
        <w:t>t</w:t>
      </w:r>
      <w:r w:rsidR="00053BFC">
        <w:rPr>
          <w:rFonts w:cs="Arial"/>
          <w:lang w:val="en-US"/>
        </w:rPr>
        <w:t>i</w:t>
      </w:r>
      <w:r w:rsidR="00053BFC" w:rsidRPr="00053BFC">
        <w:rPr>
          <w:rFonts w:cs="Arial"/>
          <w:lang w:val="en-US"/>
        </w:rPr>
        <w:t>a</w:t>
      </w:r>
      <w:r w:rsidR="00053BFC">
        <w:rPr>
          <w:rFonts w:cs="Arial"/>
          <w:lang w:val="en-US"/>
        </w:rPr>
        <w:t>l</w:t>
      </w:r>
      <w:r w:rsidR="00053BFC" w:rsidRPr="00053BFC">
        <w:rPr>
          <w:rFonts w:cs="Arial"/>
          <w:lang w:val="en-US"/>
        </w:rPr>
        <w:t xml:space="preserve"> for exploitation</w:t>
      </w:r>
      <w:r w:rsidRPr="00053BFC">
        <w:rPr>
          <w:rFonts w:cs="Arial"/>
          <w:lang w:val="en-US"/>
        </w:rPr>
        <w:t>.</w:t>
      </w:r>
      <w:r w:rsidR="00682C29">
        <w:rPr>
          <w:rFonts w:cs="Arial"/>
          <w:lang w:val="en-US"/>
        </w:rPr>
        <w:t xml:space="preserve">  </w:t>
      </w:r>
      <w:r w:rsidR="00053BFC">
        <w:rPr>
          <w:rFonts w:cs="Arial"/>
          <w:lang w:val="en-US"/>
        </w:rPr>
        <w:t xml:space="preserve">In addition, we agree with some Respondents’ suggestion </w:t>
      </w:r>
      <w:r w:rsidR="00C65509">
        <w:rPr>
          <w:rFonts w:cs="Arial"/>
          <w:lang w:val="en-US"/>
        </w:rPr>
        <w:t xml:space="preserve">of adding </w:t>
      </w:r>
      <w:r w:rsidR="00053BFC" w:rsidRPr="00601765">
        <w:rPr>
          <w:rFonts w:cs="Arial"/>
          <w:i/>
          <w:lang w:val="en-US"/>
        </w:rPr>
        <w:t>“age”</w:t>
      </w:r>
      <w:r w:rsidR="00053BFC">
        <w:rPr>
          <w:rFonts w:cs="Arial"/>
          <w:lang w:val="en-US"/>
        </w:rPr>
        <w:t xml:space="preserve"> in the definition of </w:t>
      </w:r>
      <w:r w:rsidR="00053BFC" w:rsidRPr="00053BFC">
        <w:rPr>
          <w:rFonts w:cs="Arial"/>
          <w:i/>
          <w:lang w:val="en-US"/>
        </w:rPr>
        <w:t>“vulnerable person”</w:t>
      </w:r>
      <w:r w:rsidR="00053BFC">
        <w:rPr>
          <w:rFonts w:cs="Arial"/>
          <w:lang w:val="en-US"/>
        </w:rPr>
        <w:t xml:space="preserve"> to expressly cover the elderly. </w:t>
      </w:r>
      <w:r w:rsidRPr="00806BD2">
        <w:rPr>
          <w:rFonts w:cs="Arial"/>
          <w:lang w:val="en-US"/>
        </w:rPr>
        <w:t xml:space="preserve">  </w:t>
      </w:r>
      <w:r w:rsidR="006B747F" w:rsidRPr="00806BD2">
        <w:rPr>
          <w:rFonts w:cs="Arial"/>
          <w:lang w:val="en-US"/>
        </w:rPr>
        <w:t xml:space="preserve">  </w:t>
      </w:r>
      <w:r w:rsidR="006B747F" w:rsidRPr="00806BD2">
        <w:rPr>
          <w:rFonts w:cs="Arial"/>
          <w:i/>
          <w:lang w:val="en-US"/>
        </w:rPr>
        <w:tab/>
      </w:r>
    </w:p>
    <w:p w14:paraId="3071E4C5" w14:textId="77777777" w:rsidR="006B747F" w:rsidRDefault="006B747F" w:rsidP="002F0EDE">
      <w:pPr>
        <w:widowControl/>
        <w:tabs>
          <w:tab w:val="clear" w:pos="1418"/>
        </w:tabs>
        <w:adjustRightInd/>
        <w:rPr>
          <w:rFonts w:cs="Arial"/>
          <w:i/>
          <w:lang w:val="en-US"/>
        </w:rPr>
      </w:pPr>
    </w:p>
    <w:p w14:paraId="1C622B8A" w14:textId="77777777" w:rsidR="00743F36" w:rsidRDefault="00743F36" w:rsidP="002F0EDE">
      <w:pPr>
        <w:widowControl/>
        <w:tabs>
          <w:tab w:val="clear" w:pos="1418"/>
        </w:tabs>
        <w:adjustRightInd/>
        <w:rPr>
          <w:rFonts w:cs="Arial"/>
          <w:lang w:val="en-US"/>
        </w:rPr>
      </w:pPr>
      <w:r w:rsidRPr="00743F36">
        <w:rPr>
          <w:rFonts w:cs="Arial"/>
          <w:lang w:val="en-US"/>
        </w:rPr>
        <w:t>1</w:t>
      </w:r>
      <w:r w:rsidR="006A3490">
        <w:rPr>
          <w:rFonts w:cs="Arial"/>
          <w:lang w:val="en-US"/>
        </w:rPr>
        <w:t>1</w:t>
      </w:r>
      <w:r w:rsidRPr="00743F36">
        <w:rPr>
          <w:rFonts w:cs="Arial"/>
          <w:lang w:val="en-US"/>
        </w:rPr>
        <w:t>.</w:t>
      </w:r>
      <w:r w:rsidRPr="00743F36">
        <w:rPr>
          <w:rFonts w:cs="Arial"/>
          <w:lang w:val="en-US"/>
        </w:rPr>
        <w:tab/>
      </w:r>
      <w:r w:rsidR="002D178B">
        <w:rPr>
          <w:rFonts w:cs="Arial"/>
          <w:lang w:val="en-US"/>
        </w:rPr>
        <w:tab/>
      </w:r>
      <w:r w:rsidRPr="00743F36">
        <w:rPr>
          <w:rFonts w:cs="Arial"/>
          <w:lang w:val="en-US"/>
        </w:rPr>
        <w:t>For the reasons</w:t>
      </w:r>
      <w:r w:rsidR="00077B8B">
        <w:rPr>
          <w:rFonts w:cs="Arial"/>
          <w:lang w:val="en-US"/>
        </w:rPr>
        <w:t xml:space="preserve"> set out above</w:t>
      </w:r>
      <w:r w:rsidRPr="00743F36">
        <w:rPr>
          <w:rFonts w:cs="Arial"/>
          <w:lang w:val="en-US"/>
        </w:rPr>
        <w:t xml:space="preserve">, </w:t>
      </w:r>
      <w:r w:rsidR="00077B8B">
        <w:rPr>
          <w:rFonts w:cs="Arial"/>
          <w:lang w:val="en-US"/>
        </w:rPr>
        <w:t xml:space="preserve">we </w:t>
      </w:r>
      <w:r w:rsidR="00737145">
        <w:rPr>
          <w:rFonts w:cs="Arial"/>
          <w:lang w:val="en-US"/>
        </w:rPr>
        <w:t xml:space="preserve">recommend retaining </w:t>
      </w:r>
      <w:r w:rsidR="00077B8B">
        <w:rPr>
          <w:rFonts w:cs="Arial"/>
          <w:lang w:val="en-US"/>
        </w:rPr>
        <w:t xml:space="preserve">Recommendation 4(a) and (b) </w:t>
      </w:r>
      <w:r w:rsidR="008E10AA">
        <w:rPr>
          <w:rFonts w:cs="Arial"/>
          <w:lang w:val="en-US"/>
        </w:rPr>
        <w:t xml:space="preserve">in the CP </w:t>
      </w:r>
      <w:r w:rsidR="00737145">
        <w:rPr>
          <w:rFonts w:cs="Arial"/>
          <w:lang w:val="en-US"/>
        </w:rPr>
        <w:t xml:space="preserve">and adding the word “age” to Recommendation </w:t>
      </w:r>
      <w:r w:rsidR="00EF6496">
        <w:rPr>
          <w:rFonts w:cs="Arial"/>
          <w:lang w:val="en-US"/>
        </w:rPr>
        <w:t>4</w:t>
      </w:r>
      <w:r w:rsidR="00077B8B">
        <w:rPr>
          <w:rFonts w:cs="Arial"/>
          <w:lang w:val="en-US"/>
        </w:rPr>
        <w:t>(c)</w:t>
      </w:r>
      <w:r w:rsidR="0056789B">
        <w:rPr>
          <w:rFonts w:cs="Arial"/>
          <w:lang w:val="en-US"/>
        </w:rPr>
        <w:t>, resulting in the following</w:t>
      </w:r>
      <w:r w:rsidRPr="00743F36">
        <w:rPr>
          <w:rFonts w:cs="Arial"/>
          <w:lang w:val="en-US"/>
        </w:rPr>
        <w:t xml:space="preserve"> </w:t>
      </w:r>
      <w:r w:rsidRPr="00714C69">
        <w:rPr>
          <w:rFonts w:cs="Arial"/>
          <w:b/>
          <w:lang w:val="en-US"/>
        </w:rPr>
        <w:t>Final Recommendation 4</w:t>
      </w:r>
      <w:r w:rsidRPr="00743F36">
        <w:rPr>
          <w:rFonts w:cs="Arial"/>
          <w:lang w:val="en-US"/>
        </w:rPr>
        <w:t>:</w:t>
      </w:r>
    </w:p>
    <w:p w14:paraId="7D2D1C07" w14:textId="77777777" w:rsidR="00516B89" w:rsidRPr="00743F36" w:rsidRDefault="00516B89" w:rsidP="002F0EDE">
      <w:pPr>
        <w:widowControl/>
        <w:tabs>
          <w:tab w:val="clear" w:pos="1418"/>
        </w:tabs>
        <w:adjustRightInd/>
        <w:rPr>
          <w:rFonts w:cs="Arial"/>
          <w:lang w:val="en-US"/>
        </w:rPr>
      </w:pPr>
    </w:p>
    <w:p w14:paraId="46994303" w14:textId="77777777" w:rsidR="002F0EDE" w:rsidRPr="00F5338F" w:rsidRDefault="00F5338F" w:rsidP="00A2236A">
      <w:pPr>
        <w:widowControl/>
        <w:tabs>
          <w:tab w:val="clear" w:pos="1418"/>
        </w:tabs>
        <w:adjustRightInd/>
        <w:spacing w:after="120"/>
        <w:ind w:left="1440" w:right="720" w:hanging="720"/>
        <w:rPr>
          <w:rFonts w:cs="Arial"/>
          <w:i/>
          <w:lang w:val="en-US"/>
        </w:rPr>
      </w:pPr>
      <w:r w:rsidRPr="00F5338F">
        <w:rPr>
          <w:rFonts w:cs="Arial"/>
          <w:i/>
          <w:lang w:val="en-US"/>
        </w:rPr>
        <w:t>“</w:t>
      </w:r>
      <w:r w:rsidR="002F0EDE" w:rsidRPr="00F5338F">
        <w:rPr>
          <w:rFonts w:cs="Arial"/>
          <w:i/>
          <w:lang w:val="en-US"/>
        </w:rPr>
        <w:t>We recommend that under the proposed offence:</w:t>
      </w:r>
    </w:p>
    <w:p w14:paraId="00AC9758" w14:textId="77777777" w:rsidR="002F0EDE" w:rsidRPr="00F5338F" w:rsidRDefault="002F0EDE" w:rsidP="00A2236A">
      <w:pPr>
        <w:widowControl/>
        <w:numPr>
          <w:ilvl w:val="0"/>
          <w:numId w:val="7"/>
        </w:numPr>
        <w:tabs>
          <w:tab w:val="clear" w:pos="1418"/>
        </w:tabs>
        <w:adjustRightInd/>
        <w:spacing w:after="120"/>
        <w:ind w:left="1440" w:right="720" w:hanging="720"/>
        <w:rPr>
          <w:rFonts w:cs="Arial"/>
          <w:i/>
          <w:lang w:val="en-US"/>
        </w:rPr>
      </w:pPr>
      <w:r w:rsidRPr="00F5338F">
        <w:rPr>
          <w:rFonts w:cs="Arial"/>
          <w:i/>
          <w:lang w:val="en-US"/>
        </w:rPr>
        <w:t xml:space="preserve">the scope of </w:t>
      </w:r>
      <w:r w:rsidR="00F5338F" w:rsidRPr="00F5338F">
        <w:rPr>
          <w:rFonts w:cs="Arial"/>
          <w:i/>
          <w:lang w:val="en-US"/>
        </w:rPr>
        <w:t>‘</w:t>
      </w:r>
      <w:r w:rsidRPr="00F5338F">
        <w:rPr>
          <w:rFonts w:cs="Arial"/>
          <w:i/>
          <w:iCs/>
          <w:lang w:val="en-US"/>
        </w:rPr>
        <w:t>victim</w:t>
      </w:r>
      <w:r w:rsidR="00F5338F" w:rsidRPr="00F5338F">
        <w:rPr>
          <w:rFonts w:cs="Arial"/>
          <w:i/>
          <w:iCs/>
          <w:lang w:val="en-US"/>
        </w:rPr>
        <w:t>’</w:t>
      </w:r>
      <w:r w:rsidRPr="00F5338F">
        <w:rPr>
          <w:rFonts w:cs="Arial"/>
          <w:i/>
          <w:lang w:val="en-US"/>
        </w:rPr>
        <w:t xml:space="preserve"> should cover </w:t>
      </w:r>
      <w:r w:rsidR="00F5338F" w:rsidRPr="00F5338F">
        <w:rPr>
          <w:rFonts w:cs="Arial"/>
          <w:i/>
          <w:lang w:val="en-US"/>
        </w:rPr>
        <w:t>‘</w:t>
      </w:r>
      <w:r w:rsidRPr="00F5338F">
        <w:rPr>
          <w:rFonts w:cs="Arial"/>
          <w:i/>
          <w:iCs/>
          <w:lang w:val="en-US"/>
        </w:rPr>
        <w:t>a child</w:t>
      </w:r>
      <w:r w:rsidR="00F5338F" w:rsidRPr="00F5338F">
        <w:rPr>
          <w:rFonts w:cs="Arial"/>
          <w:i/>
          <w:iCs/>
          <w:lang w:val="en-US"/>
        </w:rPr>
        <w:t>’</w:t>
      </w:r>
      <w:r w:rsidRPr="00F5338F">
        <w:rPr>
          <w:rFonts w:cs="Arial"/>
          <w:i/>
          <w:iCs/>
          <w:lang w:val="en-US"/>
        </w:rPr>
        <w:t xml:space="preserve"> and </w:t>
      </w:r>
      <w:r w:rsidR="00F5338F" w:rsidRPr="00F5338F">
        <w:rPr>
          <w:rFonts w:cs="Arial"/>
          <w:i/>
          <w:iCs/>
          <w:lang w:val="en-US"/>
        </w:rPr>
        <w:t>‘</w:t>
      </w:r>
      <w:r w:rsidRPr="00F5338F">
        <w:rPr>
          <w:rFonts w:cs="Arial"/>
          <w:i/>
          <w:iCs/>
          <w:lang w:val="en-US"/>
        </w:rPr>
        <w:t>a vulnerable person</w:t>
      </w:r>
      <w:r w:rsidR="00F5338F" w:rsidRPr="00F5338F">
        <w:rPr>
          <w:rFonts w:cs="Arial"/>
          <w:i/>
          <w:iCs/>
          <w:lang w:val="en-US"/>
        </w:rPr>
        <w:t>’</w:t>
      </w:r>
      <w:r w:rsidRPr="00F5338F">
        <w:rPr>
          <w:rFonts w:cs="Arial"/>
          <w:i/>
          <w:lang w:val="en-US"/>
        </w:rPr>
        <w:t>;</w:t>
      </w:r>
    </w:p>
    <w:p w14:paraId="7836C8DB" w14:textId="77777777" w:rsidR="002F0EDE" w:rsidRPr="00F5338F" w:rsidRDefault="00F5338F" w:rsidP="00A2236A">
      <w:pPr>
        <w:widowControl/>
        <w:numPr>
          <w:ilvl w:val="0"/>
          <w:numId w:val="7"/>
        </w:numPr>
        <w:tabs>
          <w:tab w:val="clear" w:pos="1418"/>
        </w:tabs>
        <w:adjustRightInd/>
        <w:spacing w:after="120"/>
        <w:ind w:left="1440" w:right="720" w:hanging="720"/>
        <w:rPr>
          <w:rFonts w:cs="Arial"/>
          <w:i/>
          <w:lang w:val="en-US"/>
        </w:rPr>
      </w:pPr>
      <w:r w:rsidRPr="00F5338F">
        <w:rPr>
          <w:rFonts w:cs="Arial"/>
          <w:i/>
          <w:iCs/>
          <w:lang w:val="en-US"/>
        </w:rPr>
        <w:t>‘</w:t>
      </w:r>
      <w:r w:rsidR="002F0EDE" w:rsidRPr="00F5338F">
        <w:rPr>
          <w:rFonts w:cs="Arial"/>
          <w:i/>
          <w:iCs/>
          <w:lang w:val="en-US"/>
        </w:rPr>
        <w:t>child</w:t>
      </w:r>
      <w:r w:rsidRPr="00F5338F">
        <w:rPr>
          <w:rFonts w:cs="Arial"/>
          <w:i/>
          <w:iCs/>
          <w:lang w:val="en-US"/>
        </w:rPr>
        <w:t>’</w:t>
      </w:r>
      <w:r w:rsidR="002F0EDE" w:rsidRPr="00F5338F">
        <w:rPr>
          <w:rFonts w:cs="Arial"/>
          <w:i/>
          <w:lang w:val="en-US"/>
        </w:rPr>
        <w:t xml:space="preserve"> should be defined as </w:t>
      </w:r>
      <w:r w:rsidRPr="00F5338F">
        <w:rPr>
          <w:rFonts w:cs="Arial"/>
          <w:i/>
          <w:lang w:val="en-US"/>
        </w:rPr>
        <w:t>‘</w:t>
      </w:r>
      <w:r w:rsidR="002F0EDE" w:rsidRPr="00F5338F">
        <w:rPr>
          <w:rFonts w:cs="Arial"/>
          <w:i/>
          <w:iCs/>
          <w:lang w:val="en-US"/>
        </w:rPr>
        <w:t>a person under 16 years of age</w:t>
      </w:r>
      <w:r w:rsidRPr="00F5338F">
        <w:rPr>
          <w:rFonts w:cs="Arial"/>
          <w:i/>
          <w:iCs/>
          <w:lang w:val="en-US"/>
        </w:rPr>
        <w:t>’</w:t>
      </w:r>
      <w:r w:rsidR="002F0EDE" w:rsidRPr="00F5338F">
        <w:rPr>
          <w:rFonts w:cs="Arial"/>
          <w:i/>
          <w:lang w:val="en-US"/>
        </w:rPr>
        <w:t>;</w:t>
      </w:r>
      <w:r w:rsidR="002F0EDE" w:rsidRPr="00F5338F">
        <w:rPr>
          <w:rFonts w:cs="Arial"/>
          <w:bCs/>
          <w:i/>
          <w:lang w:val="en-US"/>
        </w:rPr>
        <w:t xml:space="preserve"> </w:t>
      </w:r>
      <w:r w:rsidR="002F0EDE" w:rsidRPr="00F5338F">
        <w:rPr>
          <w:rFonts w:cs="Arial"/>
          <w:i/>
          <w:lang w:val="en-US"/>
        </w:rPr>
        <w:t>and</w:t>
      </w:r>
    </w:p>
    <w:p w14:paraId="68C47B1C" w14:textId="77777777" w:rsidR="002F0EDE" w:rsidRPr="00F5338F" w:rsidRDefault="00F5338F" w:rsidP="00A2236A">
      <w:pPr>
        <w:widowControl/>
        <w:numPr>
          <w:ilvl w:val="0"/>
          <w:numId w:val="7"/>
        </w:numPr>
        <w:tabs>
          <w:tab w:val="clear" w:pos="1418"/>
        </w:tabs>
        <w:adjustRightInd/>
        <w:spacing w:after="120"/>
        <w:ind w:left="1440" w:right="720" w:hanging="720"/>
        <w:rPr>
          <w:rFonts w:cs="Arial"/>
          <w:i/>
          <w:lang w:val="en-US"/>
        </w:rPr>
      </w:pPr>
      <w:r w:rsidRPr="00F5338F">
        <w:rPr>
          <w:rFonts w:cs="Arial"/>
          <w:i/>
          <w:iCs/>
          <w:lang w:val="en-US"/>
        </w:rPr>
        <w:t>‘</w:t>
      </w:r>
      <w:r w:rsidR="002F0EDE" w:rsidRPr="00F5338F">
        <w:rPr>
          <w:rFonts w:cs="Arial"/>
          <w:i/>
          <w:iCs/>
          <w:lang w:val="en-US"/>
        </w:rPr>
        <w:t>vulnerable person</w:t>
      </w:r>
      <w:r w:rsidRPr="00F5338F">
        <w:rPr>
          <w:rFonts w:cs="Arial"/>
          <w:i/>
          <w:iCs/>
          <w:lang w:val="en-US"/>
        </w:rPr>
        <w:t>’</w:t>
      </w:r>
      <w:r w:rsidR="002F0EDE" w:rsidRPr="00F5338F">
        <w:rPr>
          <w:rFonts w:cs="Arial"/>
          <w:i/>
          <w:lang w:val="en-US"/>
        </w:rPr>
        <w:t xml:space="preserve"> should be defined as </w:t>
      </w:r>
      <w:r w:rsidRPr="00F5338F">
        <w:rPr>
          <w:rFonts w:cs="Arial"/>
          <w:i/>
          <w:lang w:val="en-US"/>
        </w:rPr>
        <w:t>‘</w:t>
      </w:r>
      <w:r w:rsidR="002F0EDE" w:rsidRPr="00F5338F">
        <w:rPr>
          <w:rFonts w:cs="Arial"/>
          <w:i/>
          <w:iCs/>
          <w:lang w:val="en-US"/>
        </w:rPr>
        <w:t>a person aged 16 years or above whose ability to protect himself or herself from an unlawful act or neglect is significantly impaired for any reason, including but not limited to age, physical or mental disability, illness or infirmity</w:t>
      </w:r>
      <w:r w:rsidRPr="00F5338F">
        <w:rPr>
          <w:rFonts w:cs="Arial"/>
          <w:i/>
          <w:iCs/>
          <w:lang w:val="en-US"/>
        </w:rPr>
        <w:t>’</w:t>
      </w:r>
      <w:r w:rsidR="002F0EDE" w:rsidRPr="00F5338F">
        <w:rPr>
          <w:rFonts w:cs="Arial"/>
          <w:i/>
          <w:iCs/>
          <w:lang w:val="en-US"/>
        </w:rPr>
        <w:t>.</w:t>
      </w:r>
      <w:r w:rsidR="003D72AE" w:rsidRPr="00F5338F">
        <w:rPr>
          <w:rFonts w:cs="Arial"/>
          <w:i/>
          <w:iCs/>
          <w:lang w:val="en-US"/>
        </w:rPr>
        <w:t>”</w:t>
      </w:r>
      <w:r w:rsidR="00440FFF" w:rsidRPr="00EA182F">
        <w:rPr>
          <w:rStyle w:val="FootnoteReference"/>
          <w:bCs/>
          <w:color w:val="000000"/>
          <w:sz w:val="24"/>
          <w:szCs w:val="24"/>
        </w:rPr>
        <w:footnoteReference w:id="3"/>
      </w:r>
    </w:p>
    <w:p w14:paraId="54B3C8CC" w14:textId="77777777" w:rsidR="007D0BDB" w:rsidRDefault="009F2871" w:rsidP="00A2236A">
      <w:pPr>
        <w:keepNext/>
        <w:keepLines/>
        <w:widowControl/>
        <w:tabs>
          <w:tab w:val="clear" w:pos="1418"/>
        </w:tabs>
        <w:adjustRightInd/>
        <w:spacing w:before="240"/>
        <w:rPr>
          <w:rFonts w:cs="Arial"/>
          <w:b/>
          <w:i/>
          <w:lang w:val="en-US"/>
        </w:rPr>
      </w:pPr>
      <w:r>
        <w:rPr>
          <w:rFonts w:cs="Arial"/>
          <w:b/>
          <w:i/>
          <w:lang w:val="en-US"/>
        </w:rPr>
        <w:lastRenderedPageBreak/>
        <w:t>Consequences inflicted on victims</w:t>
      </w:r>
      <w:r w:rsidR="00C7366B">
        <w:rPr>
          <w:rFonts w:cs="Arial"/>
          <w:b/>
          <w:i/>
          <w:lang w:val="en-US"/>
        </w:rPr>
        <w:t xml:space="preserve">: </w:t>
      </w:r>
      <w:r w:rsidR="00920B7C">
        <w:rPr>
          <w:rFonts w:cs="Arial"/>
          <w:b/>
          <w:i/>
          <w:lang w:val="en-US"/>
        </w:rPr>
        <w:t>death or serious harm</w:t>
      </w:r>
    </w:p>
    <w:p w14:paraId="102B1BF8" w14:textId="77777777" w:rsidR="002F0EDE" w:rsidRPr="0083344C" w:rsidRDefault="00FC34C7" w:rsidP="00EE0B51">
      <w:pPr>
        <w:keepNext/>
        <w:keepLines/>
        <w:widowControl/>
        <w:tabs>
          <w:tab w:val="clear" w:pos="1418"/>
        </w:tabs>
        <w:adjustRightInd/>
        <w:rPr>
          <w:rFonts w:cs="Arial"/>
          <w:b/>
          <w:i/>
          <w:lang w:val="en-US"/>
        </w:rPr>
      </w:pPr>
      <w:r>
        <w:rPr>
          <w:rFonts w:cs="Arial"/>
          <w:b/>
          <w:i/>
          <w:lang w:val="en-US"/>
        </w:rPr>
        <w:t>(</w:t>
      </w:r>
      <w:proofErr w:type="gramStart"/>
      <w:r w:rsidR="00696769">
        <w:rPr>
          <w:rFonts w:cs="Arial"/>
          <w:b/>
          <w:i/>
          <w:lang w:val="en-US"/>
        </w:rPr>
        <w:t>including</w:t>
      </w:r>
      <w:proofErr w:type="gramEnd"/>
      <w:r w:rsidR="00696769">
        <w:rPr>
          <w:rFonts w:cs="Arial"/>
          <w:b/>
          <w:i/>
          <w:lang w:val="en-US"/>
        </w:rPr>
        <w:t xml:space="preserve"> psychological or psychiatric harm</w:t>
      </w:r>
      <w:r>
        <w:rPr>
          <w:rFonts w:cs="Arial"/>
          <w:b/>
          <w:i/>
          <w:lang w:val="en-US"/>
        </w:rPr>
        <w:t>)</w:t>
      </w:r>
    </w:p>
    <w:p w14:paraId="60DCB51C" w14:textId="77777777" w:rsidR="002F0EDE" w:rsidRPr="002F0EDE" w:rsidRDefault="002F0EDE" w:rsidP="00EE0B51">
      <w:pPr>
        <w:keepNext/>
        <w:keepLines/>
        <w:widowControl/>
        <w:tabs>
          <w:tab w:val="clear" w:pos="1418"/>
        </w:tabs>
        <w:adjustRightInd/>
        <w:rPr>
          <w:rFonts w:cs="Arial"/>
          <w:lang w:val="en-US"/>
        </w:rPr>
      </w:pPr>
    </w:p>
    <w:p w14:paraId="0E1CDFF9" w14:textId="77777777" w:rsidR="00F31569" w:rsidRDefault="00756CB4" w:rsidP="008D6082">
      <w:pPr>
        <w:keepNext/>
        <w:keepLines/>
        <w:widowControl/>
        <w:tabs>
          <w:tab w:val="clear" w:pos="1418"/>
        </w:tabs>
        <w:adjustRightInd/>
        <w:rPr>
          <w:rFonts w:cs="Arial"/>
          <w:lang w:val="en-US"/>
        </w:rPr>
      </w:pPr>
      <w:r>
        <w:rPr>
          <w:rFonts w:cs="Arial"/>
          <w:lang w:val="en-US"/>
        </w:rPr>
        <w:t>1</w:t>
      </w:r>
      <w:r w:rsidR="006A3490">
        <w:rPr>
          <w:rFonts w:cs="Arial"/>
          <w:lang w:val="en-US"/>
        </w:rPr>
        <w:t>2</w:t>
      </w:r>
      <w:r>
        <w:rPr>
          <w:rFonts w:cs="Arial"/>
          <w:lang w:val="en-US"/>
        </w:rPr>
        <w:t>.</w:t>
      </w:r>
      <w:r>
        <w:rPr>
          <w:rFonts w:cs="Arial"/>
          <w:lang w:val="en-US"/>
        </w:rPr>
        <w:tab/>
      </w:r>
      <w:r>
        <w:rPr>
          <w:rFonts w:cs="Arial"/>
          <w:lang w:val="en-US"/>
        </w:rPr>
        <w:tab/>
      </w:r>
      <w:r w:rsidR="0065036F">
        <w:rPr>
          <w:rFonts w:cs="Arial"/>
          <w:lang w:val="en-US"/>
        </w:rPr>
        <w:t xml:space="preserve">All Respondents who have stated their stance </w:t>
      </w:r>
      <w:r w:rsidR="003F0A03">
        <w:rPr>
          <w:rFonts w:cs="Arial"/>
          <w:lang w:val="en-US"/>
        </w:rPr>
        <w:t xml:space="preserve">support </w:t>
      </w:r>
      <w:r w:rsidR="00EF6496">
        <w:rPr>
          <w:rFonts w:cs="Arial"/>
          <w:lang w:val="en-US"/>
        </w:rPr>
        <w:t>Recommendation 5</w:t>
      </w:r>
      <w:r w:rsidR="00FC34C7">
        <w:rPr>
          <w:rFonts w:cs="Arial"/>
          <w:lang w:val="en-US"/>
        </w:rPr>
        <w:t xml:space="preserve"> in the CP</w:t>
      </w:r>
      <w:r w:rsidR="00EF6496">
        <w:rPr>
          <w:rFonts w:cs="Arial"/>
          <w:lang w:val="en-US"/>
        </w:rPr>
        <w:t xml:space="preserve"> </w:t>
      </w:r>
      <w:r w:rsidR="003F0A03">
        <w:rPr>
          <w:rFonts w:cs="Arial"/>
          <w:lang w:val="en-US"/>
        </w:rPr>
        <w:t xml:space="preserve">that </w:t>
      </w:r>
      <w:r w:rsidR="0065036F">
        <w:rPr>
          <w:rFonts w:cs="Arial"/>
          <w:lang w:val="en-US"/>
        </w:rPr>
        <w:t xml:space="preserve">the proposed offence should apply in cases involving the death of the victim, or where the victim has suffered serious harm.  </w:t>
      </w:r>
      <w:r w:rsidR="003F0A03">
        <w:rPr>
          <w:rFonts w:cs="Arial"/>
          <w:lang w:val="en-US"/>
        </w:rPr>
        <w:t xml:space="preserve">There is both support and opposition from </w:t>
      </w:r>
      <w:r w:rsidR="0065036F">
        <w:rPr>
          <w:rFonts w:cs="Arial"/>
          <w:lang w:val="en-US"/>
        </w:rPr>
        <w:t xml:space="preserve">Respondents </w:t>
      </w:r>
      <w:r w:rsidR="003F0A03">
        <w:rPr>
          <w:rFonts w:cs="Arial"/>
          <w:lang w:val="en-US"/>
        </w:rPr>
        <w:t xml:space="preserve">on whether to include </w:t>
      </w:r>
      <w:r w:rsidR="0065036F">
        <w:rPr>
          <w:rFonts w:cs="Arial"/>
          <w:lang w:val="en-US"/>
        </w:rPr>
        <w:t xml:space="preserve">a statutory definition of </w:t>
      </w:r>
      <w:r w:rsidR="0065036F" w:rsidRPr="0065036F">
        <w:rPr>
          <w:rFonts w:cs="Arial"/>
          <w:i/>
          <w:lang w:val="en-US"/>
        </w:rPr>
        <w:t>“serious harm”</w:t>
      </w:r>
      <w:r w:rsidR="0069775A">
        <w:rPr>
          <w:rFonts w:cs="Arial"/>
          <w:i/>
          <w:lang w:val="en-US"/>
        </w:rPr>
        <w:t>.</w:t>
      </w:r>
      <w:r w:rsidR="0069775A">
        <w:rPr>
          <w:rFonts w:cs="Arial"/>
          <w:lang w:val="en-US"/>
        </w:rPr>
        <w:t xml:space="preserve">  We </w:t>
      </w:r>
      <w:r w:rsidR="00FC34C7">
        <w:rPr>
          <w:rFonts w:cs="Arial"/>
          <w:lang w:val="en-US"/>
        </w:rPr>
        <w:t xml:space="preserve">do not see the </w:t>
      </w:r>
      <w:r w:rsidR="0069775A">
        <w:rPr>
          <w:rFonts w:cs="Arial"/>
          <w:lang w:val="en-US"/>
        </w:rPr>
        <w:t xml:space="preserve">need to </w:t>
      </w:r>
      <w:r w:rsidR="00F31569">
        <w:rPr>
          <w:rFonts w:cs="Arial"/>
          <w:lang w:val="en-US"/>
        </w:rPr>
        <w:t xml:space="preserve">include such a definition </w:t>
      </w:r>
      <w:r w:rsidR="0069775A">
        <w:rPr>
          <w:rFonts w:cs="Arial"/>
          <w:lang w:val="en-US"/>
        </w:rPr>
        <w:t>as it is not possible to define the term nor to have an exhaustive list</w:t>
      </w:r>
      <w:r w:rsidR="00FC34C7">
        <w:rPr>
          <w:rFonts w:cs="Arial"/>
          <w:lang w:val="en-US"/>
        </w:rPr>
        <w:t>,</w:t>
      </w:r>
      <w:r w:rsidR="0069775A">
        <w:rPr>
          <w:rFonts w:cs="Arial"/>
          <w:lang w:val="en-US"/>
        </w:rPr>
        <w:t xml:space="preserve"> to cover all types of serious harm that may be suffered by victims of abuse cases.</w:t>
      </w:r>
      <w:r w:rsidR="00580222">
        <w:rPr>
          <w:rFonts w:cs="Arial"/>
          <w:lang w:val="en-US"/>
        </w:rPr>
        <w:t xml:space="preserve">  We also consider that there is no need to define </w:t>
      </w:r>
      <w:r w:rsidR="00580222" w:rsidRPr="00580222">
        <w:rPr>
          <w:rFonts w:cs="Arial"/>
          <w:i/>
          <w:lang w:val="en-US"/>
        </w:rPr>
        <w:t>“serious harm”</w:t>
      </w:r>
      <w:r w:rsidR="00580222">
        <w:rPr>
          <w:rFonts w:cs="Arial"/>
          <w:lang w:val="en-US"/>
        </w:rPr>
        <w:t xml:space="preserve"> to indicate </w:t>
      </w:r>
      <w:r w:rsidR="00FC34C7">
        <w:rPr>
          <w:rFonts w:cs="Arial"/>
          <w:lang w:val="en-US"/>
        </w:rPr>
        <w:t xml:space="preserve">that </w:t>
      </w:r>
      <w:r w:rsidR="00580222">
        <w:rPr>
          <w:rFonts w:cs="Arial"/>
          <w:lang w:val="en-US"/>
        </w:rPr>
        <w:t xml:space="preserve">the harm is </w:t>
      </w:r>
      <w:r w:rsidR="00580222" w:rsidRPr="00580222">
        <w:rPr>
          <w:rFonts w:cs="Arial"/>
          <w:i/>
          <w:lang w:val="en-US"/>
        </w:rPr>
        <w:t>“really”</w:t>
      </w:r>
      <w:r w:rsidR="00580222">
        <w:rPr>
          <w:rFonts w:cs="Arial"/>
          <w:lang w:val="en-US"/>
        </w:rPr>
        <w:t xml:space="preserve"> serious harm as the degree of seriousness has already been encapsulated in the word </w:t>
      </w:r>
      <w:r w:rsidR="00580222" w:rsidRPr="00580222">
        <w:rPr>
          <w:rFonts w:cs="Arial"/>
          <w:i/>
          <w:lang w:val="en-US"/>
        </w:rPr>
        <w:t>“serious”</w:t>
      </w:r>
      <w:r w:rsidR="00FC34C7">
        <w:rPr>
          <w:rFonts w:cs="Arial"/>
          <w:i/>
          <w:lang w:val="en-US"/>
        </w:rPr>
        <w:t xml:space="preserve"> </w:t>
      </w:r>
      <w:r w:rsidR="00FC34C7" w:rsidRPr="00D32C94">
        <w:rPr>
          <w:rFonts w:cs="Arial"/>
          <w:lang w:val="en-US"/>
        </w:rPr>
        <w:t>and would thus exclude minor injuries</w:t>
      </w:r>
      <w:r w:rsidR="00580222">
        <w:rPr>
          <w:rFonts w:cs="Arial"/>
          <w:lang w:val="en-US"/>
        </w:rPr>
        <w:t>.</w:t>
      </w:r>
      <w:r w:rsidR="007C2E3C">
        <w:rPr>
          <w:rFonts w:cs="Arial"/>
          <w:lang w:val="en-US"/>
        </w:rPr>
        <w:t xml:space="preserve">  </w:t>
      </w:r>
    </w:p>
    <w:p w14:paraId="04C8FD0C" w14:textId="77777777" w:rsidR="00F31569" w:rsidRDefault="00F31569" w:rsidP="002F0EDE">
      <w:pPr>
        <w:widowControl/>
        <w:tabs>
          <w:tab w:val="clear" w:pos="1418"/>
        </w:tabs>
        <w:adjustRightInd/>
        <w:rPr>
          <w:rFonts w:cs="Arial"/>
          <w:lang w:val="en-US"/>
        </w:rPr>
      </w:pPr>
    </w:p>
    <w:p w14:paraId="2DA06192" w14:textId="77777777" w:rsidR="00756CB4" w:rsidRDefault="00F31569" w:rsidP="002F0EDE">
      <w:pPr>
        <w:widowControl/>
        <w:tabs>
          <w:tab w:val="clear" w:pos="1418"/>
        </w:tabs>
        <w:adjustRightInd/>
        <w:rPr>
          <w:rFonts w:cs="Arial"/>
          <w:lang w:val="en-US"/>
        </w:rPr>
      </w:pPr>
      <w:r>
        <w:rPr>
          <w:rFonts w:cs="Arial"/>
          <w:lang w:val="en-US"/>
        </w:rPr>
        <w:t>1</w:t>
      </w:r>
      <w:r w:rsidR="00696769">
        <w:rPr>
          <w:rFonts w:cs="Arial"/>
          <w:lang w:val="en-US"/>
        </w:rPr>
        <w:t>3</w:t>
      </w:r>
      <w:r>
        <w:rPr>
          <w:rFonts w:cs="Arial"/>
          <w:lang w:val="en-US"/>
        </w:rPr>
        <w:t>.</w:t>
      </w:r>
      <w:r>
        <w:rPr>
          <w:rFonts w:cs="Arial"/>
          <w:lang w:val="en-US"/>
        </w:rPr>
        <w:tab/>
      </w:r>
      <w:r>
        <w:rPr>
          <w:rFonts w:cs="Arial"/>
          <w:lang w:val="en-US"/>
        </w:rPr>
        <w:tab/>
      </w:r>
      <w:r w:rsidR="00445BCA">
        <w:rPr>
          <w:rFonts w:cs="Arial"/>
          <w:lang w:val="en-US"/>
        </w:rPr>
        <w:t>W</w:t>
      </w:r>
      <w:r>
        <w:rPr>
          <w:rFonts w:cs="Arial"/>
          <w:lang w:val="en-US"/>
        </w:rPr>
        <w:t>e</w:t>
      </w:r>
      <w:r w:rsidR="00445BCA">
        <w:rPr>
          <w:rFonts w:cs="Arial"/>
          <w:lang w:val="en-US"/>
        </w:rPr>
        <w:t>, however,</w:t>
      </w:r>
      <w:r>
        <w:rPr>
          <w:rFonts w:cs="Arial"/>
          <w:lang w:val="en-US"/>
        </w:rPr>
        <w:t xml:space="preserve"> agree with </w:t>
      </w:r>
      <w:r w:rsidR="003D72AE">
        <w:rPr>
          <w:rFonts w:cs="Arial"/>
          <w:lang w:val="en-US"/>
        </w:rPr>
        <w:t xml:space="preserve">some </w:t>
      </w:r>
      <w:r>
        <w:rPr>
          <w:rFonts w:cs="Arial"/>
          <w:lang w:val="en-US"/>
        </w:rPr>
        <w:t xml:space="preserve">Respondents that </w:t>
      </w:r>
      <w:r w:rsidRPr="00F31569">
        <w:rPr>
          <w:rFonts w:cs="Arial"/>
          <w:i/>
          <w:lang w:val="en-US"/>
        </w:rPr>
        <w:t>“harm”</w:t>
      </w:r>
      <w:r>
        <w:rPr>
          <w:rFonts w:cs="Arial"/>
          <w:lang w:val="en-US"/>
        </w:rPr>
        <w:t xml:space="preserve"> should include psychological or psychiatric harm, which would include harm resulting from sexual assault.  Therefore, our </w:t>
      </w:r>
      <w:r w:rsidRPr="00714C69">
        <w:rPr>
          <w:rFonts w:cs="Arial"/>
          <w:b/>
          <w:lang w:val="en-US"/>
        </w:rPr>
        <w:t>Final Recommendation 5</w:t>
      </w:r>
      <w:r>
        <w:rPr>
          <w:rFonts w:cs="Arial"/>
          <w:lang w:val="en-US"/>
        </w:rPr>
        <w:t xml:space="preserve"> </w:t>
      </w:r>
      <w:r w:rsidR="00EB6917">
        <w:rPr>
          <w:rFonts w:cs="Arial"/>
          <w:lang w:val="en-US"/>
        </w:rPr>
        <w:t>comprises Recommendation 5 in the CP and this elaboration o</w:t>
      </w:r>
      <w:r w:rsidR="00155602">
        <w:rPr>
          <w:rFonts w:cs="Arial"/>
          <w:lang w:val="en-US"/>
        </w:rPr>
        <w:t>n</w:t>
      </w:r>
      <w:r w:rsidR="00EB6917">
        <w:rPr>
          <w:rFonts w:cs="Arial"/>
          <w:lang w:val="en-US"/>
        </w:rPr>
        <w:t xml:space="preserve"> “harm”</w:t>
      </w:r>
      <w:r>
        <w:rPr>
          <w:rFonts w:cs="Arial"/>
          <w:lang w:val="en-US"/>
        </w:rPr>
        <w:t xml:space="preserve">: </w:t>
      </w:r>
      <w:r w:rsidR="007C2E3C">
        <w:rPr>
          <w:rFonts w:cs="Arial"/>
          <w:lang w:val="en-US"/>
        </w:rPr>
        <w:t xml:space="preserve"> </w:t>
      </w:r>
      <w:r w:rsidR="0004017B">
        <w:rPr>
          <w:rFonts w:cs="Arial"/>
          <w:lang w:val="en-US"/>
        </w:rPr>
        <w:t xml:space="preserve"> </w:t>
      </w:r>
      <w:r w:rsidR="0069775A">
        <w:rPr>
          <w:rFonts w:cs="Arial"/>
          <w:lang w:val="en-US"/>
        </w:rPr>
        <w:t xml:space="preserve"> </w:t>
      </w:r>
      <w:r w:rsidR="0065036F">
        <w:rPr>
          <w:rFonts w:cs="Arial"/>
          <w:lang w:val="en-US"/>
        </w:rPr>
        <w:t xml:space="preserve"> </w:t>
      </w:r>
    </w:p>
    <w:p w14:paraId="7CCBD7F5" w14:textId="77777777" w:rsidR="00756CB4" w:rsidRPr="00756CB4" w:rsidRDefault="00756CB4" w:rsidP="000604C9">
      <w:pPr>
        <w:widowControl/>
        <w:tabs>
          <w:tab w:val="clear" w:pos="1418"/>
        </w:tabs>
        <w:adjustRightInd/>
        <w:ind w:left="709" w:right="651"/>
        <w:rPr>
          <w:rFonts w:cs="Arial"/>
          <w:lang w:val="en-US"/>
        </w:rPr>
      </w:pPr>
    </w:p>
    <w:p w14:paraId="3328BB81" w14:textId="77777777" w:rsidR="002F0EDE" w:rsidRPr="00EE0B51" w:rsidRDefault="00B44D84" w:rsidP="00EE0B51">
      <w:pPr>
        <w:widowControl/>
        <w:tabs>
          <w:tab w:val="clear" w:pos="1418"/>
        </w:tabs>
        <w:adjustRightInd/>
        <w:ind w:left="720" w:right="720"/>
        <w:rPr>
          <w:rFonts w:cs="Arial"/>
          <w:i/>
          <w:lang w:val="en-US"/>
        </w:rPr>
      </w:pPr>
      <w:r w:rsidRPr="00EE0B51">
        <w:rPr>
          <w:rFonts w:cs="Arial"/>
          <w:i/>
          <w:lang w:val="en-US"/>
        </w:rPr>
        <w:t>“</w:t>
      </w:r>
      <w:r w:rsidR="002F0EDE" w:rsidRPr="00EE0B51">
        <w:rPr>
          <w:rFonts w:cs="Arial"/>
          <w:i/>
          <w:lang w:val="en-US"/>
        </w:rPr>
        <w:t>We recommend that the proposed offence should apply in cases involving either the death of the victim, or where the victim has suffered serious harm.</w:t>
      </w:r>
      <w:r w:rsidR="00510288" w:rsidRPr="00EE0B51">
        <w:rPr>
          <w:rStyle w:val="FootnoteReference"/>
          <w:bCs/>
          <w:color w:val="000000"/>
          <w:sz w:val="24"/>
          <w:szCs w:val="24"/>
        </w:rPr>
        <w:footnoteReference w:id="4"/>
      </w:r>
    </w:p>
    <w:p w14:paraId="3CAE141D" w14:textId="77777777" w:rsidR="002F0EDE" w:rsidRPr="00EE0B51" w:rsidRDefault="002F0EDE" w:rsidP="00EE0B51">
      <w:pPr>
        <w:widowControl/>
        <w:tabs>
          <w:tab w:val="clear" w:pos="1418"/>
        </w:tabs>
        <w:adjustRightInd/>
        <w:ind w:left="720" w:right="720"/>
        <w:rPr>
          <w:rFonts w:cs="Arial"/>
          <w:i/>
          <w:lang w:val="en-US"/>
        </w:rPr>
      </w:pPr>
    </w:p>
    <w:p w14:paraId="7D46649D" w14:textId="77777777" w:rsidR="002F0EDE" w:rsidRPr="00EE0B51" w:rsidRDefault="002F0EDE" w:rsidP="00EE0B51">
      <w:pPr>
        <w:widowControl/>
        <w:tabs>
          <w:tab w:val="clear" w:pos="1418"/>
        </w:tabs>
        <w:adjustRightInd/>
        <w:ind w:left="720" w:right="720"/>
        <w:rPr>
          <w:rFonts w:cs="Arial"/>
          <w:i/>
          <w:lang w:val="en-US"/>
        </w:rPr>
      </w:pPr>
      <w:r w:rsidRPr="00EE0B51">
        <w:rPr>
          <w:rFonts w:cs="Arial"/>
          <w:i/>
          <w:lang w:val="en-US"/>
        </w:rPr>
        <w:t xml:space="preserve">We are not in </w:t>
      </w:r>
      <w:proofErr w:type="spellStart"/>
      <w:r w:rsidRPr="00EE0B51">
        <w:rPr>
          <w:rFonts w:cs="Arial"/>
          <w:i/>
          <w:lang w:val="en-US"/>
        </w:rPr>
        <w:t>favour</w:t>
      </w:r>
      <w:proofErr w:type="spellEnd"/>
      <w:r w:rsidRPr="00EE0B51">
        <w:rPr>
          <w:rFonts w:cs="Arial"/>
          <w:i/>
          <w:lang w:val="en-US"/>
        </w:rPr>
        <w:t xml:space="preserve"> of the inclusion of a statutory definition of </w:t>
      </w:r>
      <w:r w:rsidR="00F31569" w:rsidRPr="00EE0B51">
        <w:rPr>
          <w:rFonts w:cs="Arial"/>
          <w:i/>
          <w:lang w:val="en-US"/>
        </w:rPr>
        <w:t>‘</w:t>
      </w:r>
      <w:r w:rsidRPr="00EE0B51">
        <w:rPr>
          <w:rFonts w:cs="Arial"/>
          <w:i/>
          <w:lang w:val="en-US"/>
        </w:rPr>
        <w:t>serious harm</w:t>
      </w:r>
      <w:r w:rsidR="00F31569" w:rsidRPr="00EE0B51">
        <w:rPr>
          <w:rFonts w:cs="Arial"/>
          <w:i/>
          <w:lang w:val="en-US"/>
        </w:rPr>
        <w:t>’</w:t>
      </w:r>
      <w:r w:rsidRPr="00EE0B51">
        <w:rPr>
          <w:rFonts w:cs="Arial"/>
          <w:i/>
          <w:lang w:val="en-US"/>
        </w:rPr>
        <w:t xml:space="preserve"> within the terms of the </w:t>
      </w:r>
      <w:r w:rsidR="00F67442" w:rsidRPr="00EE0B51">
        <w:rPr>
          <w:rFonts w:cs="Arial"/>
          <w:i/>
          <w:lang w:val="en-US"/>
        </w:rPr>
        <w:t xml:space="preserve">proposed </w:t>
      </w:r>
      <w:r w:rsidRPr="00EE0B51">
        <w:rPr>
          <w:rFonts w:cs="Arial"/>
          <w:i/>
          <w:lang w:val="en-US"/>
        </w:rPr>
        <w:t>offence.</w:t>
      </w:r>
    </w:p>
    <w:p w14:paraId="108ED133" w14:textId="77777777" w:rsidR="002F0EDE" w:rsidRPr="00EE0B51" w:rsidRDefault="002F0EDE" w:rsidP="00EE0B51">
      <w:pPr>
        <w:widowControl/>
        <w:tabs>
          <w:tab w:val="clear" w:pos="1418"/>
        </w:tabs>
        <w:adjustRightInd/>
        <w:ind w:left="720" w:right="720"/>
        <w:rPr>
          <w:rFonts w:cs="Arial"/>
          <w:i/>
          <w:lang w:val="en-US"/>
        </w:rPr>
      </w:pPr>
    </w:p>
    <w:p w14:paraId="51FC563C" w14:textId="77777777" w:rsidR="002F0EDE" w:rsidRPr="00EE0B51" w:rsidRDefault="002F0EDE" w:rsidP="00EE0B51">
      <w:pPr>
        <w:widowControl/>
        <w:tabs>
          <w:tab w:val="clear" w:pos="1418"/>
        </w:tabs>
        <w:adjustRightInd/>
        <w:ind w:left="720" w:right="720"/>
        <w:rPr>
          <w:rFonts w:cs="Arial"/>
          <w:i/>
          <w:lang w:val="en-US"/>
        </w:rPr>
      </w:pPr>
      <w:r w:rsidRPr="00EE0B51">
        <w:rPr>
          <w:rFonts w:cs="Arial"/>
          <w:i/>
          <w:lang w:val="en-US"/>
        </w:rPr>
        <w:t xml:space="preserve">We recommend that </w:t>
      </w:r>
      <w:r w:rsidR="00F31569" w:rsidRPr="00EE0B51">
        <w:rPr>
          <w:rFonts w:cs="Arial"/>
          <w:i/>
          <w:lang w:val="en-US"/>
        </w:rPr>
        <w:t>‘</w:t>
      </w:r>
      <w:r w:rsidRPr="00EE0B51">
        <w:rPr>
          <w:rFonts w:cs="Arial"/>
          <w:i/>
          <w:lang w:val="en-US"/>
        </w:rPr>
        <w:t>harm</w:t>
      </w:r>
      <w:r w:rsidR="00F31569" w:rsidRPr="00EE0B51">
        <w:rPr>
          <w:rFonts w:cs="Arial"/>
          <w:i/>
          <w:lang w:val="en-US"/>
        </w:rPr>
        <w:t>’</w:t>
      </w:r>
      <w:r w:rsidRPr="00EE0B51">
        <w:rPr>
          <w:rFonts w:cs="Arial"/>
          <w:i/>
          <w:lang w:val="en-US"/>
        </w:rPr>
        <w:t xml:space="preserve"> should be defined to include psychological or psychiatric harm.</w:t>
      </w:r>
      <w:r w:rsidR="00946462" w:rsidRPr="00EE0B51">
        <w:rPr>
          <w:rStyle w:val="FootnoteReference"/>
          <w:bCs/>
          <w:color w:val="000000"/>
          <w:sz w:val="24"/>
          <w:szCs w:val="24"/>
        </w:rPr>
        <w:footnoteReference w:id="5"/>
      </w:r>
      <w:r w:rsidR="00F31569" w:rsidRPr="00EE0B51">
        <w:rPr>
          <w:rFonts w:cs="Arial"/>
          <w:i/>
          <w:lang w:val="en-US"/>
        </w:rPr>
        <w:t>”</w:t>
      </w:r>
    </w:p>
    <w:p w14:paraId="58852B4A" w14:textId="77777777" w:rsidR="002F0EDE" w:rsidRPr="0083344C" w:rsidRDefault="00E93CA8" w:rsidP="00A2236A">
      <w:pPr>
        <w:keepNext/>
        <w:keepLines/>
        <w:widowControl/>
        <w:tabs>
          <w:tab w:val="clear" w:pos="1418"/>
        </w:tabs>
        <w:adjustRightInd/>
        <w:spacing w:before="240"/>
        <w:rPr>
          <w:b/>
          <w:sz w:val="28"/>
          <w:szCs w:val="28"/>
          <w:lang w:val="en-US"/>
        </w:rPr>
      </w:pPr>
      <w:r w:rsidRPr="0083344C">
        <w:rPr>
          <w:b/>
          <w:sz w:val="28"/>
          <w:szCs w:val="28"/>
          <w:lang w:val="en-US"/>
        </w:rPr>
        <w:lastRenderedPageBreak/>
        <w:t>Chapter 5: Defendants of the proposed offence</w:t>
      </w:r>
    </w:p>
    <w:p w14:paraId="07DA9A84" w14:textId="77777777" w:rsidR="00E367A2" w:rsidRDefault="00E367A2" w:rsidP="00A2236A">
      <w:pPr>
        <w:keepNext/>
        <w:keepLines/>
        <w:widowControl/>
        <w:tabs>
          <w:tab w:val="clear" w:pos="1418"/>
        </w:tabs>
        <w:adjustRightInd/>
        <w:rPr>
          <w:rFonts w:cs="Arial"/>
          <w:b/>
          <w:lang w:val="en-US"/>
        </w:rPr>
      </w:pPr>
    </w:p>
    <w:p w14:paraId="68666B41" w14:textId="77777777" w:rsidR="00F31F0E" w:rsidRPr="00B8789F" w:rsidRDefault="001342A7" w:rsidP="00A2236A">
      <w:pPr>
        <w:keepNext/>
        <w:keepLines/>
        <w:widowControl/>
        <w:tabs>
          <w:tab w:val="clear" w:pos="1418"/>
        </w:tabs>
        <w:adjustRightInd/>
        <w:rPr>
          <w:rFonts w:cs="Arial"/>
          <w:b/>
          <w:lang w:val="en-US"/>
        </w:rPr>
      </w:pPr>
      <w:r>
        <w:rPr>
          <w:rFonts w:cs="Arial"/>
          <w:b/>
          <w:i/>
          <w:lang w:val="en-US"/>
        </w:rPr>
        <w:t>D</w:t>
      </w:r>
      <w:r w:rsidR="00935AD6" w:rsidRPr="00F31F0E">
        <w:rPr>
          <w:rFonts w:cs="Arial"/>
          <w:b/>
          <w:i/>
          <w:lang w:val="en-US"/>
        </w:rPr>
        <w:t>efendant</w:t>
      </w:r>
      <w:r w:rsidR="00285FF0" w:rsidRPr="00F31F0E">
        <w:rPr>
          <w:rFonts w:cs="Arial"/>
          <w:b/>
          <w:i/>
          <w:lang w:val="en-US"/>
        </w:rPr>
        <w:t>s</w:t>
      </w:r>
      <w:r>
        <w:rPr>
          <w:rFonts w:cs="Arial"/>
          <w:b/>
          <w:i/>
          <w:lang w:val="en-US"/>
        </w:rPr>
        <w:t xml:space="preserve"> of the proposed offence</w:t>
      </w:r>
      <w:r w:rsidR="003909EC">
        <w:rPr>
          <w:rFonts w:cs="Arial"/>
          <w:b/>
          <w:i/>
          <w:lang w:val="en-US"/>
        </w:rPr>
        <w:t>:</w:t>
      </w:r>
      <w:r w:rsidR="00E30294" w:rsidRPr="00F31F0E">
        <w:rPr>
          <w:rFonts w:cs="Arial"/>
          <w:b/>
          <w:i/>
          <w:lang w:val="en-US"/>
        </w:rPr>
        <w:t xml:space="preserve"> </w:t>
      </w:r>
      <w:r>
        <w:rPr>
          <w:rFonts w:cs="Arial"/>
          <w:b/>
          <w:i/>
          <w:lang w:val="en-US"/>
        </w:rPr>
        <w:t>d</w:t>
      </w:r>
      <w:r w:rsidR="00F31F0E">
        <w:rPr>
          <w:rFonts w:cs="Arial"/>
          <w:b/>
          <w:i/>
          <w:lang w:val="en-US"/>
        </w:rPr>
        <w:t xml:space="preserve">omestic </w:t>
      </w:r>
      <w:r>
        <w:rPr>
          <w:rFonts w:cs="Arial"/>
          <w:b/>
          <w:i/>
          <w:lang w:val="en-US"/>
        </w:rPr>
        <w:t>and i</w:t>
      </w:r>
      <w:r w:rsidR="00F31F0E">
        <w:rPr>
          <w:rFonts w:cs="Arial"/>
          <w:b/>
          <w:i/>
          <w:lang w:val="en-US"/>
        </w:rPr>
        <w:t>nstitutional settings</w:t>
      </w:r>
      <w:r w:rsidR="003909EC">
        <w:rPr>
          <w:rFonts w:cs="Arial"/>
          <w:b/>
          <w:i/>
          <w:lang w:val="en-US"/>
        </w:rPr>
        <w:t xml:space="preserve"> </w:t>
      </w:r>
    </w:p>
    <w:p w14:paraId="3C2D8A62" w14:textId="77777777" w:rsidR="00F31F0E" w:rsidRPr="002F0EDE" w:rsidRDefault="00F31F0E" w:rsidP="005332B5">
      <w:pPr>
        <w:tabs>
          <w:tab w:val="clear" w:pos="1418"/>
        </w:tabs>
        <w:adjustRightInd/>
        <w:rPr>
          <w:rFonts w:cs="Arial"/>
          <w:lang w:val="en-US"/>
        </w:rPr>
      </w:pPr>
    </w:p>
    <w:p w14:paraId="3A22AF6A" w14:textId="77777777" w:rsidR="001342A7" w:rsidRDefault="00C72537" w:rsidP="005332B5">
      <w:pPr>
        <w:tabs>
          <w:tab w:val="clear" w:pos="1418"/>
        </w:tabs>
        <w:adjustRightInd/>
        <w:rPr>
          <w:rFonts w:cs="Arial"/>
          <w:lang w:val="en-US"/>
        </w:rPr>
      </w:pPr>
      <w:r>
        <w:rPr>
          <w:rFonts w:cs="Arial"/>
          <w:lang w:val="en-US"/>
        </w:rPr>
        <w:t>1</w:t>
      </w:r>
      <w:r w:rsidR="008F36CA">
        <w:rPr>
          <w:rFonts w:cs="Arial"/>
          <w:lang w:val="en-US"/>
        </w:rPr>
        <w:t>4</w:t>
      </w:r>
      <w:r>
        <w:rPr>
          <w:rFonts w:cs="Arial"/>
          <w:lang w:val="en-US"/>
        </w:rPr>
        <w:t>.</w:t>
      </w:r>
      <w:r w:rsidR="00F4225B">
        <w:rPr>
          <w:rFonts w:cs="Arial"/>
          <w:lang w:val="en-US"/>
        </w:rPr>
        <w:tab/>
      </w:r>
      <w:r w:rsidR="00F4225B">
        <w:rPr>
          <w:rFonts w:cs="Arial"/>
          <w:lang w:val="en-US"/>
        </w:rPr>
        <w:tab/>
      </w:r>
      <w:r w:rsidR="006B7F1B">
        <w:rPr>
          <w:rFonts w:cs="Arial"/>
          <w:lang w:val="en-US"/>
        </w:rPr>
        <w:t xml:space="preserve">Recommendation 6 in the CP </w:t>
      </w:r>
      <w:r w:rsidR="00441149">
        <w:rPr>
          <w:rFonts w:cs="Arial"/>
          <w:lang w:val="en-US"/>
        </w:rPr>
        <w:t>recommend</w:t>
      </w:r>
      <w:r w:rsidR="009664E5">
        <w:rPr>
          <w:rFonts w:cs="Arial"/>
          <w:lang w:val="en-US"/>
        </w:rPr>
        <w:t>s</w:t>
      </w:r>
      <w:r w:rsidR="001342A7">
        <w:rPr>
          <w:rFonts w:cs="Arial"/>
          <w:lang w:val="en-US"/>
        </w:rPr>
        <w:t xml:space="preserve"> that defendants of the proposed offence should cover:</w:t>
      </w:r>
    </w:p>
    <w:p w14:paraId="5FB038DE" w14:textId="77777777" w:rsidR="00E72C38" w:rsidRDefault="00E72C38" w:rsidP="005332B5">
      <w:pPr>
        <w:tabs>
          <w:tab w:val="clear" w:pos="1418"/>
        </w:tabs>
        <w:adjustRightInd/>
        <w:rPr>
          <w:rFonts w:cs="Arial"/>
          <w:lang w:val="en-US"/>
        </w:rPr>
      </w:pPr>
    </w:p>
    <w:p w14:paraId="068281CE" w14:textId="77777777" w:rsidR="001342A7" w:rsidRDefault="001342A7" w:rsidP="008D6082">
      <w:pPr>
        <w:pStyle w:val="ListParagraph"/>
        <w:widowControl/>
        <w:numPr>
          <w:ilvl w:val="0"/>
          <w:numId w:val="19"/>
        </w:numPr>
        <w:tabs>
          <w:tab w:val="clear" w:pos="1418"/>
        </w:tabs>
        <w:adjustRightInd/>
        <w:spacing w:after="120"/>
        <w:ind w:left="1440" w:hanging="720"/>
        <w:rPr>
          <w:rFonts w:cs="Arial"/>
          <w:lang w:val="en-US"/>
        </w:rPr>
      </w:pPr>
      <w:proofErr w:type="gramStart"/>
      <w:r>
        <w:rPr>
          <w:rFonts w:cs="Arial"/>
          <w:lang w:val="en-US"/>
        </w:rPr>
        <w:t>for</w:t>
      </w:r>
      <w:proofErr w:type="gramEnd"/>
      <w:r>
        <w:rPr>
          <w:rFonts w:cs="Arial"/>
          <w:lang w:val="en-US"/>
        </w:rPr>
        <w:t xml:space="preserve"> domestic settings – a </w:t>
      </w:r>
      <w:r w:rsidRPr="00F4225B">
        <w:rPr>
          <w:rFonts w:cs="Arial"/>
          <w:i/>
          <w:lang w:val="en-US"/>
        </w:rPr>
        <w:t>“member of the same household”</w:t>
      </w:r>
      <w:r>
        <w:rPr>
          <w:rFonts w:cs="Arial"/>
          <w:lang w:val="en-US"/>
        </w:rPr>
        <w:t xml:space="preserve"> as the victim and who has </w:t>
      </w:r>
      <w:r w:rsidRPr="00F4225B">
        <w:rPr>
          <w:rFonts w:cs="Arial"/>
          <w:i/>
          <w:lang w:val="en-US"/>
        </w:rPr>
        <w:t>“frequent contact”</w:t>
      </w:r>
      <w:r>
        <w:rPr>
          <w:rFonts w:cs="Arial"/>
          <w:lang w:val="en-US"/>
        </w:rPr>
        <w:t xml:space="preserve"> with the victim. </w:t>
      </w:r>
    </w:p>
    <w:p w14:paraId="57BA778D" w14:textId="77777777" w:rsidR="001342A7" w:rsidRPr="00D32C94" w:rsidRDefault="001342A7" w:rsidP="00DD237B">
      <w:pPr>
        <w:pStyle w:val="ListParagraph"/>
        <w:widowControl/>
        <w:numPr>
          <w:ilvl w:val="0"/>
          <w:numId w:val="19"/>
        </w:numPr>
        <w:tabs>
          <w:tab w:val="clear" w:pos="1418"/>
        </w:tabs>
        <w:adjustRightInd/>
        <w:ind w:left="1440" w:hanging="720"/>
        <w:rPr>
          <w:rFonts w:cs="Arial"/>
          <w:lang w:val="en-US"/>
        </w:rPr>
      </w:pPr>
      <w:proofErr w:type="gramStart"/>
      <w:r>
        <w:rPr>
          <w:rFonts w:cs="Arial"/>
          <w:lang w:val="en-US"/>
        </w:rPr>
        <w:t>f</w:t>
      </w:r>
      <w:r w:rsidRPr="00D32C94">
        <w:rPr>
          <w:rFonts w:cs="Arial"/>
          <w:lang w:val="en-US"/>
        </w:rPr>
        <w:t>or</w:t>
      </w:r>
      <w:proofErr w:type="gramEnd"/>
      <w:r w:rsidRPr="00D32C94">
        <w:rPr>
          <w:rFonts w:cs="Arial"/>
          <w:lang w:val="en-US"/>
        </w:rPr>
        <w:t xml:space="preserve"> institutional settings – a person who owes a </w:t>
      </w:r>
      <w:r w:rsidRPr="00D32C94">
        <w:rPr>
          <w:rFonts w:cs="Arial"/>
          <w:i/>
          <w:lang w:val="en-US"/>
        </w:rPr>
        <w:t>“duty of care”</w:t>
      </w:r>
      <w:r w:rsidRPr="00D32C94">
        <w:rPr>
          <w:rFonts w:cs="Arial"/>
          <w:lang w:val="en-US"/>
        </w:rPr>
        <w:t xml:space="preserve"> to the victim.</w:t>
      </w:r>
      <w:r w:rsidR="00476FF4" w:rsidRPr="00D32C94">
        <w:rPr>
          <w:rFonts w:cs="Arial"/>
          <w:lang w:val="en-US"/>
        </w:rPr>
        <w:t xml:space="preserve">  </w:t>
      </w:r>
    </w:p>
    <w:p w14:paraId="27895383" w14:textId="77777777" w:rsidR="001342A7" w:rsidRDefault="001342A7" w:rsidP="001342A7">
      <w:pPr>
        <w:widowControl/>
        <w:tabs>
          <w:tab w:val="clear" w:pos="1418"/>
        </w:tabs>
        <w:adjustRightInd/>
        <w:rPr>
          <w:rFonts w:cs="Arial"/>
          <w:lang w:val="en-US"/>
        </w:rPr>
      </w:pPr>
    </w:p>
    <w:p w14:paraId="5A5582A8" w14:textId="77777777" w:rsidR="00C72537" w:rsidRPr="00F4225B" w:rsidRDefault="00F4225B" w:rsidP="00D32C94">
      <w:pPr>
        <w:widowControl/>
        <w:tabs>
          <w:tab w:val="clear" w:pos="1418"/>
        </w:tabs>
        <w:adjustRightInd/>
        <w:rPr>
          <w:rFonts w:cs="Arial"/>
          <w:lang w:val="en-US"/>
        </w:rPr>
      </w:pPr>
      <w:r>
        <w:rPr>
          <w:rFonts w:cs="Arial"/>
          <w:lang w:val="en-US"/>
        </w:rPr>
        <w:t xml:space="preserve">A majority of the Respondents who have expressly stated their stance support </w:t>
      </w:r>
      <w:r w:rsidR="00441149">
        <w:rPr>
          <w:rFonts w:cs="Arial"/>
          <w:lang w:val="en-US"/>
        </w:rPr>
        <w:t xml:space="preserve">this </w:t>
      </w:r>
      <w:r w:rsidR="006E3396">
        <w:rPr>
          <w:rFonts w:cs="Arial"/>
          <w:lang w:val="en-US"/>
        </w:rPr>
        <w:t>r</w:t>
      </w:r>
      <w:r>
        <w:rPr>
          <w:rFonts w:cs="Arial"/>
          <w:lang w:val="en-US"/>
        </w:rPr>
        <w:t>ecommendation</w:t>
      </w:r>
      <w:r w:rsidR="00AA3AE4">
        <w:rPr>
          <w:rFonts w:cs="Arial"/>
          <w:lang w:val="en-US"/>
        </w:rPr>
        <w:t>.  Respondents support</w:t>
      </w:r>
      <w:r w:rsidR="0060785B">
        <w:rPr>
          <w:rFonts w:cs="Arial"/>
          <w:lang w:val="en-US"/>
        </w:rPr>
        <w:t>ing</w:t>
      </w:r>
      <w:r w:rsidR="00AA3AE4">
        <w:rPr>
          <w:rFonts w:cs="Arial"/>
          <w:lang w:val="en-US"/>
        </w:rPr>
        <w:t xml:space="preserve"> the </w:t>
      </w:r>
      <w:r w:rsidR="00863E83">
        <w:rPr>
          <w:rFonts w:cs="Arial"/>
          <w:lang w:val="en-US"/>
        </w:rPr>
        <w:t>r</w:t>
      </w:r>
      <w:r w:rsidR="00AA3AE4">
        <w:rPr>
          <w:rFonts w:cs="Arial"/>
          <w:lang w:val="en-US"/>
        </w:rPr>
        <w:t xml:space="preserve">ecommendation </w:t>
      </w:r>
      <w:r>
        <w:rPr>
          <w:rFonts w:cs="Arial"/>
          <w:lang w:val="en-US"/>
        </w:rPr>
        <w:t xml:space="preserve">agree </w:t>
      </w:r>
      <w:r w:rsidR="007514C7">
        <w:rPr>
          <w:rFonts w:cs="Arial"/>
          <w:lang w:val="en-US"/>
        </w:rPr>
        <w:t xml:space="preserve">that </w:t>
      </w:r>
      <w:r>
        <w:rPr>
          <w:rFonts w:cs="Arial"/>
          <w:lang w:val="en-US"/>
        </w:rPr>
        <w:t>the proposed offence should apply to both settings</w:t>
      </w:r>
      <w:r w:rsidR="002C5255">
        <w:rPr>
          <w:rFonts w:cs="Arial"/>
          <w:lang w:val="en-US"/>
        </w:rPr>
        <w:t xml:space="preserve">.  They also suggest a wide spectrum of persons who should have a </w:t>
      </w:r>
      <w:r w:rsidR="002C5255" w:rsidRPr="002C5255">
        <w:rPr>
          <w:rFonts w:cs="Arial"/>
          <w:i/>
          <w:lang w:val="en-US"/>
        </w:rPr>
        <w:t>“duty of care”</w:t>
      </w:r>
      <w:r w:rsidR="002C5255">
        <w:rPr>
          <w:rFonts w:cs="Arial"/>
          <w:lang w:val="en-US"/>
        </w:rPr>
        <w:t xml:space="preserve"> to the victim</w:t>
      </w:r>
      <w:r w:rsidR="00673DAF">
        <w:rPr>
          <w:rFonts w:cs="Arial"/>
          <w:lang w:val="en-US"/>
        </w:rPr>
        <w:t xml:space="preserve">, including domestic worker, social worker, school teacher, </w:t>
      </w:r>
      <w:proofErr w:type="spellStart"/>
      <w:r w:rsidR="00673DAF">
        <w:rPr>
          <w:rFonts w:cs="Arial"/>
          <w:lang w:val="en-US"/>
        </w:rPr>
        <w:t>heathcare</w:t>
      </w:r>
      <w:proofErr w:type="spellEnd"/>
      <w:r w:rsidR="00673DAF">
        <w:rPr>
          <w:rFonts w:cs="Arial"/>
          <w:lang w:val="en-US"/>
        </w:rPr>
        <w:t xml:space="preserve"> professional etc</w:t>
      </w:r>
      <w:r w:rsidR="002C5255">
        <w:rPr>
          <w:rFonts w:cs="Arial"/>
          <w:lang w:val="en-US"/>
        </w:rPr>
        <w:t xml:space="preserve">.  </w:t>
      </w:r>
      <w:r w:rsidR="00C72537" w:rsidRPr="00F4225B">
        <w:rPr>
          <w:rFonts w:cs="Arial"/>
          <w:lang w:val="en-US"/>
        </w:rPr>
        <w:tab/>
      </w:r>
      <w:r w:rsidR="00C72537" w:rsidRPr="00F4225B">
        <w:rPr>
          <w:rFonts w:cs="Arial"/>
          <w:lang w:val="en-US"/>
        </w:rPr>
        <w:tab/>
      </w:r>
    </w:p>
    <w:p w14:paraId="1D825E78" w14:textId="77777777" w:rsidR="00C72537" w:rsidRDefault="00C72537" w:rsidP="002F0EDE">
      <w:pPr>
        <w:widowControl/>
        <w:tabs>
          <w:tab w:val="clear" w:pos="1418"/>
        </w:tabs>
        <w:adjustRightInd/>
        <w:rPr>
          <w:rFonts w:cs="Arial"/>
          <w:lang w:val="en-US"/>
        </w:rPr>
      </w:pPr>
    </w:p>
    <w:p w14:paraId="2D6EE99A" w14:textId="77777777" w:rsidR="007514C7" w:rsidRPr="007514C7" w:rsidRDefault="007514C7" w:rsidP="002F0EDE">
      <w:pPr>
        <w:widowControl/>
        <w:tabs>
          <w:tab w:val="clear" w:pos="1418"/>
        </w:tabs>
        <w:adjustRightInd/>
        <w:rPr>
          <w:rFonts w:cs="Arial"/>
          <w:i/>
          <w:lang w:val="en-US"/>
        </w:rPr>
      </w:pPr>
      <w:r w:rsidRPr="007514C7">
        <w:rPr>
          <w:rFonts w:cs="Arial"/>
          <w:i/>
          <w:lang w:val="en-US"/>
        </w:rPr>
        <w:t>Domestic settings</w:t>
      </w:r>
    </w:p>
    <w:p w14:paraId="130481C7" w14:textId="77777777" w:rsidR="007514C7" w:rsidRDefault="007514C7" w:rsidP="002F0EDE">
      <w:pPr>
        <w:widowControl/>
        <w:tabs>
          <w:tab w:val="clear" w:pos="1418"/>
        </w:tabs>
        <w:adjustRightInd/>
        <w:rPr>
          <w:rFonts w:cs="Arial"/>
          <w:lang w:val="en-US"/>
        </w:rPr>
      </w:pPr>
    </w:p>
    <w:p w14:paraId="2EF3780D" w14:textId="77777777" w:rsidR="00310E50" w:rsidRDefault="00A2128D" w:rsidP="002F0EDE">
      <w:pPr>
        <w:widowControl/>
        <w:tabs>
          <w:tab w:val="clear" w:pos="1418"/>
        </w:tabs>
        <w:adjustRightInd/>
        <w:rPr>
          <w:rFonts w:cs="Arial"/>
          <w:lang w:val="en-US"/>
        </w:rPr>
      </w:pPr>
      <w:r>
        <w:rPr>
          <w:rFonts w:cs="Arial"/>
          <w:lang w:val="en-US"/>
        </w:rPr>
        <w:t>1</w:t>
      </w:r>
      <w:r w:rsidR="008F36CA">
        <w:rPr>
          <w:rFonts w:cs="Arial"/>
          <w:lang w:val="en-US"/>
        </w:rPr>
        <w:t>5</w:t>
      </w:r>
      <w:r>
        <w:rPr>
          <w:rFonts w:cs="Arial"/>
          <w:lang w:val="en-US"/>
        </w:rPr>
        <w:t>.</w:t>
      </w:r>
      <w:r>
        <w:rPr>
          <w:rFonts w:cs="Arial"/>
          <w:lang w:val="en-US"/>
        </w:rPr>
        <w:tab/>
      </w:r>
      <w:r>
        <w:rPr>
          <w:rFonts w:cs="Arial"/>
          <w:lang w:val="en-US"/>
        </w:rPr>
        <w:tab/>
      </w:r>
      <w:r w:rsidR="001D0D76">
        <w:rPr>
          <w:rFonts w:cs="Arial"/>
          <w:lang w:val="en-US"/>
        </w:rPr>
        <w:t>For domestic settings, w</w:t>
      </w:r>
      <w:r>
        <w:rPr>
          <w:rFonts w:cs="Arial"/>
          <w:lang w:val="en-US"/>
        </w:rPr>
        <w:t xml:space="preserve">e consider </w:t>
      </w:r>
      <w:r w:rsidR="0060785B">
        <w:rPr>
          <w:rFonts w:cs="Arial"/>
          <w:lang w:val="en-US"/>
        </w:rPr>
        <w:t>the scope j</w:t>
      </w:r>
      <w:r>
        <w:rPr>
          <w:rFonts w:cs="Arial"/>
          <w:lang w:val="en-US"/>
        </w:rPr>
        <w:t xml:space="preserve">ustifiable </w:t>
      </w:r>
      <w:r w:rsidR="0060785B">
        <w:rPr>
          <w:rFonts w:cs="Arial"/>
          <w:lang w:val="en-US"/>
        </w:rPr>
        <w:t>as i</w:t>
      </w:r>
      <w:r>
        <w:rPr>
          <w:rFonts w:cs="Arial"/>
          <w:lang w:val="en-US"/>
        </w:rPr>
        <w:t>t is reasonable that a person in those circumstances should be expected to take some action</w:t>
      </w:r>
      <w:r w:rsidR="009664E5">
        <w:rPr>
          <w:rFonts w:cs="Arial"/>
          <w:lang w:val="en-US"/>
        </w:rPr>
        <w:t>,</w:t>
      </w:r>
      <w:r>
        <w:rPr>
          <w:rFonts w:cs="Arial"/>
          <w:lang w:val="en-US"/>
        </w:rPr>
        <w:t xml:space="preserve"> not simply stand by and do nothing</w:t>
      </w:r>
      <w:r w:rsidR="001D0D76" w:rsidRPr="001D0D76">
        <w:rPr>
          <w:rFonts w:cs="Arial"/>
          <w:lang w:val="en-US"/>
        </w:rPr>
        <w:t>.</w:t>
      </w:r>
      <w:r w:rsidR="00310E50">
        <w:rPr>
          <w:rFonts w:cs="Arial"/>
          <w:lang w:val="en-US"/>
        </w:rPr>
        <w:t xml:space="preserve">  </w:t>
      </w:r>
      <w:r w:rsidR="00507FA1">
        <w:rPr>
          <w:rFonts w:cs="Arial"/>
          <w:lang w:val="en-US"/>
        </w:rPr>
        <w:t xml:space="preserve">Moreover, </w:t>
      </w:r>
      <w:r>
        <w:rPr>
          <w:rFonts w:cs="Arial"/>
          <w:lang w:val="en-US"/>
        </w:rPr>
        <w:t xml:space="preserve">an extended meaning of </w:t>
      </w:r>
      <w:r w:rsidRPr="00A2128D">
        <w:rPr>
          <w:rFonts w:cs="Arial"/>
          <w:i/>
          <w:lang w:val="en-US"/>
        </w:rPr>
        <w:t>“member of the same household”</w:t>
      </w:r>
      <w:r>
        <w:rPr>
          <w:rFonts w:cs="Arial"/>
          <w:lang w:val="en-US"/>
        </w:rPr>
        <w:t xml:space="preserve"> </w:t>
      </w:r>
      <w:r w:rsidR="009664E5">
        <w:rPr>
          <w:rFonts w:cs="Arial"/>
          <w:lang w:val="en-US"/>
        </w:rPr>
        <w:t>should be</w:t>
      </w:r>
      <w:r>
        <w:rPr>
          <w:rFonts w:cs="Arial"/>
          <w:lang w:val="en-US"/>
        </w:rPr>
        <w:t xml:space="preserve"> adopted to cater for modern lifestyle and increasingly flexible family arrangements</w:t>
      </w:r>
      <w:r w:rsidR="00ED0DED">
        <w:rPr>
          <w:rFonts w:cs="Arial"/>
          <w:lang w:val="en-US"/>
        </w:rPr>
        <w:t xml:space="preserve"> such that</w:t>
      </w:r>
      <w:r w:rsidR="00AA0A14">
        <w:rPr>
          <w:rFonts w:cs="Arial"/>
          <w:lang w:val="en-US"/>
        </w:rPr>
        <w:t xml:space="preserve"> the proposed offence should</w:t>
      </w:r>
      <w:r w:rsidR="002D263C">
        <w:rPr>
          <w:rFonts w:cs="Arial"/>
          <w:lang w:val="en-US"/>
        </w:rPr>
        <w:t xml:space="preserve"> also</w:t>
      </w:r>
      <w:r w:rsidR="00AA0A14">
        <w:rPr>
          <w:rFonts w:cs="Arial"/>
          <w:lang w:val="en-US"/>
        </w:rPr>
        <w:t xml:space="preserve"> apply</w:t>
      </w:r>
      <w:r w:rsidR="002B3A3C">
        <w:rPr>
          <w:rFonts w:cs="Arial"/>
          <w:lang w:val="en-US"/>
        </w:rPr>
        <w:t xml:space="preserve"> in the following circumstances</w:t>
      </w:r>
      <w:r w:rsidR="00310E50">
        <w:rPr>
          <w:rFonts w:cs="Arial"/>
          <w:lang w:val="en-US"/>
        </w:rPr>
        <w:t>:</w:t>
      </w:r>
    </w:p>
    <w:p w14:paraId="4D514C82" w14:textId="77777777" w:rsidR="00310E50" w:rsidRDefault="00310E50" w:rsidP="002F0EDE">
      <w:pPr>
        <w:widowControl/>
        <w:tabs>
          <w:tab w:val="clear" w:pos="1418"/>
        </w:tabs>
        <w:adjustRightInd/>
        <w:rPr>
          <w:rFonts w:cs="Arial"/>
          <w:lang w:val="en-US"/>
        </w:rPr>
      </w:pPr>
    </w:p>
    <w:p w14:paraId="42F10380" w14:textId="77777777" w:rsidR="00310E50" w:rsidRDefault="00310E50" w:rsidP="00DD237B">
      <w:pPr>
        <w:widowControl/>
        <w:tabs>
          <w:tab w:val="clear" w:pos="1418"/>
        </w:tabs>
        <w:adjustRightInd/>
        <w:spacing w:after="120"/>
        <w:ind w:left="1440" w:hanging="720"/>
        <w:rPr>
          <w:rFonts w:cs="Arial"/>
          <w:lang w:val="en-US"/>
        </w:rPr>
      </w:pPr>
      <w:r>
        <w:rPr>
          <w:rFonts w:cs="Arial"/>
          <w:lang w:val="en-US"/>
        </w:rPr>
        <w:t>(a)</w:t>
      </w:r>
      <w:r w:rsidR="00A2128D">
        <w:rPr>
          <w:rFonts w:cs="Arial"/>
          <w:lang w:val="en-US"/>
        </w:rPr>
        <w:t xml:space="preserve"> </w:t>
      </w:r>
      <w:r>
        <w:rPr>
          <w:rFonts w:cs="Arial"/>
          <w:lang w:val="en-US"/>
        </w:rPr>
        <w:tab/>
      </w:r>
      <w:proofErr w:type="gramStart"/>
      <w:r w:rsidR="00A2128D">
        <w:rPr>
          <w:rFonts w:cs="Arial"/>
          <w:lang w:val="en-US"/>
        </w:rPr>
        <w:t>where</w:t>
      </w:r>
      <w:proofErr w:type="gramEnd"/>
      <w:r w:rsidR="00A2128D">
        <w:rPr>
          <w:rFonts w:cs="Arial"/>
          <w:lang w:val="en-US"/>
        </w:rPr>
        <w:t xml:space="preserve"> a person visits the household so often and for such periods of time</w:t>
      </w:r>
      <w:r w:rsidR="00AA0A14">
        <w:rPr>
          <w:rFonts w:cs="Arial"/>
          <w:lang w:val="en-US"/>
        </w:rPr>
        <w:t xml:space="preserve"> that</w:t>
      </w:r>
      <w:r w:rsidR="00A2128D">
        <w:rPr>
          <w:rFonts w:cs="Arial"/>
          <w:lang w:val="en-US"/>
        </w:rPr>
        <w:t xml:space="preserve"> it is reasonable to regard him as a member of it</w:t>
      </w:r>
      <w:r>
        <w:rPr>
          <w:rFonts w:cs="Arial"/>
          <w:lang w:val="en-US"/>
        </w:rPr>
        <w:t xml:space="preserve">; </w:t>
      </w:r>
      <w:r w:rsidR="00AA0A14">
        <w:rPr>
          <w:rFonts w:cs="Arial"/>
          <w:lang w:val="en-US"/>
        </w:rPr>
        <w:t xml:space="preserve"> </w:t>
      </w:r>
    </w:p>
    <w:p w14:paraId="33200B09" w14:textId="77777777" w:rsidR="00A2128D" w:rsidRDefault="00310E50" w:rsidP="00DD237B">
      <w:pPr>
        <w:widowControl/>
        <w:tabs>
          <w:tab w:val="clear" w:pos="1418"/>
        </w:tabs>
        <w:adjustRightInd/>
        <w:ind w:left="1440" w:hanging="720"/>
        <w:rPr>
          <w:rFonts w:cs="Arial"/>
          <w:lang w:val="en-US"/>
        </w:rPr>
      </w:pPr>
      <w:r>
        <w:rPr>
          <w:rFonts w:cs="Arial"/>
          <w:lang w:val="en-US"/>
        </w:rPr>
        <w:t>(b)</w:t>
      </w:r>
      <w:r w:rsidR="00A2128D">
        <w:rPr>
          <w:rFonts w:cs="Arial"/>
          <w:lang w:val="en-US"/>
        </w:rPr>
        <w:t xml:space="preserve"> </w:t>
      </w:r>
      <w:r>
        <w:rPr>
          <w:rFonts w:cs="Arial"/>
          <w:lang w:val="en-US"/>
        </w:rPr>
        <w:tab/>
      </w:r>
      <w:proofErr w:type="gramStart"/>
      <w:r w:rsidR="00A2128D">
        <w:rPr>
          <w:rFonts w:cs="Arial"/>
          <w:lang w:val="en-US"/>
        </w:rPr>
        <w:t>where</w:t>
      </w:r>
      <w:proofErr w:type="gramEnd"/>
      <w:r w:rsidR="00A2128D">
        <w:rPr>
          <w:rFonts w:cs="Arial"/>
          <w:lang w:val="en-US"/>
        </w:rPr>
        <w:t xml:space="preserve"> a victim might have lived in different households at different times, and only members of the household where the victim suffered serious harm could be guilty of the offence. </w:t>
      </w:r>
    </w:p>
    <w:p w14:paraId="6F542152" w14:textId="77777777" w:rsidR="00ED0DED" w:rsidRDefault="00ED0DED" w:rsidP="00ED0DED">
      <w:pPr>
        <w:widowControl/>
        <w:tabs>
          <w:tab w:val="clear" w:pos="1418"/>
        </w:tabs>
        <w:adjustRightInd/>
        <w:rPr>
          <w:rFonts w:cs="Arial"/>
          <w:lang w:val="en-US"/>
        </w:rPr>
      </w:pPr>
    </w:p>
    <w:p w14:paraId="098F4AD1" w14:textId="77777777" w:rsidR="007514C7" w:rsidRPr="007514C7" w:rsidRDefault="007514C7" w:rsidP="00ED0DED">
      <w:pPr>
        <w:widowControl/>
        <w:tabs>
          <w:tab w:val="clear" w:pos="1418"/>
        </w:tabs>
        <w:adjustRightInd/>
        <w:rPr>
          <w:rFonts w:cs="Arial"/>
          <w:i/>
          <w:lang w:val="en-US"/>
        </w:rPr>
      </w:pPr>
      <w:r w:rsidRPr="007514C7">
        <w:rPr>
          <w:rFonts w:cs="Arial"/>
          <w:i/>
          <w:lang w:val="en-US"/>
        </w:rPr>
        <w:t>Institutional settings</w:t>
      </w:r>
    </w:p>
    <w:p w14:paraId="5935E980" w14:textId="77777777" w:rsidR="007514C7" w:rsidRDefault="007514C7" w:rsidP="00ED0DED">
      <w:pPr>
        <w:widowControl/>
        <w:tabs>
          <w:tab w:val="clear" w:pos="1418"/>
        </w:tabs>
        <w:adjustRightInd/>
        <w:rPr>
          <w:rFonts w:cs="Arial"/>
          <w:lang w:val="en-US"/>
        </w:rPr>
      </w:pPr>
    </w:p>
    <w:p w14:paraId="044BA879" w14:textId="77777777" w:rsidR="00355340" w:rsidRDefault="00894606" w:rsidP="00D32C94">
      <w:pPr>
        <w:rPr>
          <w:lang w:val="en-US"/>
        </w:rPr>
      </w:pPr>
      <w:r w:rsidRPr="00D32C94">
        <w:rPr>
          <w:rFonts w:cs="Arial"/>
          <w:lang w:val="en-US"/>
        </w:rPr>
        <w:t>1</w:t>
      </w:r>
      <w:r w:rsidR="008F36CA" w:rsidRPr="00D32C94">
        <w:rPr>
          <w:rFonts w:cs="Arial"/>
          <w:lang w:val="en-US"/>
        </w:rPr>
        <w:t>6</w:t>
      </w:r>
      <w:r w:rsidR="00ED0DED" w:rsidRPr="00D32C94">
        <w:rPr>
          <w:rFonts w:cs="Arial"/>
          <w:lang w:val="en-US"/>
        </w:rPr>
        <w:t>.</w:t>
      </w:r>
      <w:r w:rsidR="00ED0DED" w:rsidRPr="00D32C94">
        <w:rPr>
          <w:rFonts w:cs="Arial"/>
          <w:lang w:val="en-US"/>
        </w:rPr>
        <w:tab/>
      </w:r>
      <w:r w:rsidR="00ED0DED" w:rsidRPr="00D32C94">
        <w:rPr>
          <w:rFonts w:cs="Arial"/>
          <w:lang w:val="en-US"/>
        </w:rPr>
        <w:tab/>
      </w:r>
      <w:r w:rsidR="00942826">
        <w:rPr>
          <w:lang w:val="en-US"/>
        </w:rPr>
        <w:t xml:space="preserve">We </w:t>
      </w:r>
      <w:r w:rsidR="00942826" w:rsidRPr="0012401C">
        <w:rPr>
          <w:lang w:val="en-US"/>
        </w:rPr>
        <w:t>propose</w:t>
      </w:r>
      <w:r w:rsidR="00942826">
        <w:rPr>
          <w:lang w:val="en-US"/>
        </w:rPr>
        <w:t xml:space="preserve"> that a</w:t>
      </w:r>
      <w:r w:rsidR="00355340">
        <w:rPr>
          <w:lang w:val="en-US"/>
        </w:rPr>
        <w:t xml:space="preserve"> defendant has a </w:t>
      </w:r>
      <w:r w:rsidR="00355340" w:rsidRPr="00355340">
        <w:rPr>
          <w:i/>
          <w:lang w:val="en-US"/>
        </w:rPr>
        <w:t>“duty of care”</w:t>
      </w:r>
      <w:r w:rsidR="00355340">
        <w:rPr>
          <w:lang w:val="en-US"/>
        </w:rPr>
        <w:t xml:space="preserve"> to the victim only if he:</w:t>
      </w:r>
    </w:p>
    <w:p w14:paraId="658ADCAE" w14:textId="77777777" w:rsidR="00355340" w:rsidRPr="00355340" w:rsidRDefault="00355340" w:rsidP="00355340">
      <w:pPr>
        <w:pStyle w:val="ListParagraph"/>
        <w:rPr>
          <w:rFonts w:cs="Arial"/>
          <w:lang w:val="en-US"/>
        </w:rPr>
      </w:pPr>
    </w:p>
    <w:p w14:paraId="1B40FE4B" w14:textId="77777777" w:rsidR="00355340" w:rsidRPr="00E367A2" w:rsidRDefault="00355340" w:rsidP="00E367A2">
      <w:pPr>
        <w:pStyle w:val="ListParagraph"/>
        <w:widowControl/>
        <w:numPr>
          <w:ilvl w:val="0"/>
          <w:numId w:val="21"/>
        </w:numPr>
        <w:tabs>
          <w:tab w:val="clear" w:pos="1418"/>
        </w:tabs>
        <w:adjustRightInd/>
        <w:spacing w:after="120"/>
        <w:ind w:left="1440" w:hanging="720"/>
        <w:rPr>
          <w:rFonts w:cs="Arial"/>
          <w:lang w:val="en-US"/>
        </w:rPr>
      </w:pPr>
      <w:r w:rsidRPr="00E367A2">
        <w:rPr>
          <w:rFonts w:cs="Arial"/>
          <w:lang w:val="en-US"/>
        </w:rPr>
        <w:t>is a parent or guardian of the victim; or</w:t>
      </w:r>
    </w:p>
    <w:p w14:paraId="2768391F" w14:textId="77777777" w:rsidR="00ED0DED" w:rsidRPr="00E367A2" w:rsidRDefault="00355340" w:rsidP="00E367A2">
      <w:pPr>
        <w:pStyle w:val="ListParagraph"/>
        <w:widowControl/>
        <w:numPr>
          <w:ilvl w:val="0"/>
          <w:numId w:val="21"/>
        </w:numPr>
        <w:tabs>
          <w:tab w:val="clear" w:pos="1418"/>
        </w:tabs>
        <w:adjustRightInd/>
        <w:ind w:left="1440" w:hanging="720"/>
        <w:rPr>
          <w:rFonts w:cs="Arial"/>
          <w:lang w:val="en-US"/>
        </w:rPr>
      </w:pPr>
      <w:proofErr w:type="gramStart"/>
      <w:r w:rsidRPr="00E367A2">
        <w:rPr>
          <w:rFonts w:cs="Arial"/>
          <w:lang w:val="en-US"/>
        </w:rPr>
        <w:t>has</w:t>
      </w:r>
      <w:proofErr w:type="gramEnd"/>
      <w:r w:rsidRPr="00E367A2">
        <w:rPr>
          <w:rFonts w:cs="Arial"/>
          <w:lang w:val="en-US"/>
        </w:rPr>
        <w:t xml:space="preserve"> assumed responsibility for the victim’s care.</w:t>
      </w:r>
      <w:r w:rsidR="00717BA3" w:rsidRPr="00E367A2">
        <w:rPr>
          <w:rStyle w:val="FootnoteReference"/>
          <w:rFonts w:cs="Arial"/>
          <w:sz w:val="24"/>
          <w:szCs w:val="24"/>
          <w:lang w:val="en-US"/>
        </w:rPr>
        <w:footnoteReference w:id="6"/>
      </w:r>
      <w:r w:rsidRPr="00E367A2">
        <w:rPr>
          <w:rFonts w:cs="Arial"/>
          <w:lang w:val="en-US"/>
        </w:rPr>
        <w:t xml:space="preserve">  </w:t>
      </w:r>
    </w:p>
    <w:p w14:paraId="646424BD" w14:textId="77777777" w:rsidR="00A2128D" w:rsidRDefault="00A2128D" w:rsidP="005E2CA1">
      <w:pPr>
        <w:widowControl/>
        <w:tabs>
          <w:tab w:val="clear" w:pos="1418"/>
        </w:tabs>
        <w:adjustRightInd/>
        <w:ind w:left="993" w:hanging="273"/>
        <w:rPr>
          <w:rFonts w:cs="Arial"/>
          <w:lang w:val="en-US"/>
        </w:rPr>
      </w:pPr>
    </w:p>
    <w:p w14:paraId="70E255A0" w14:textId="77777777" w:rsidR="00A2128D" w:rsidRDefault="00AE415A" w:rsidP="00D32C94">
      <w:pPr>
        <w:widowControl/>
        <w:tabs>
          <w:tab w:val="clear" w:pos="1418"/>
        </w:tabs>
        <w:adjustRightInd/>
        <w:rPr>
          <w:rFonts w:cs="Arial"/>
          <w:lang w:val="en-US"/>
        </w:rPr>
      </w:pPr>
      <w:r>
        <w:rPr>
          <w:rFonts w:cs="Arial"/>
          <w:lang w:val="en-US"/>
        </w:rPr>
        <w:t xml:space="preserve">The concept of </w:t>
      </w:r>
      <w:r w:rsidRPr="00355340">
        <w:rPr>
          <w:rFonts w:cs="Arial"/>
          <w:i/>
          <w:lang w:val="en-US"/>
        </w:rPr>
        <w:t>“duty of care”</w:t>
      </w:r>
      <w:r>
        <w:rPr>
          <w:rFonts w:cs="Arial"/>
          <w:lang w:val="en-US"/>
        </w:rPr>
        <w:t xml:space="preserve"> is flexible enough to cater for the various situations where there are multiple </w:t>
      </w:r>
      <w:proofErr w:type="spellStart"/>
      <w:r>
        <w:rPr>
          <w:rFonts w:cs="Arial"/>
          <w:lang w:val="en-US"/>
        </w:rPr>
        <w:t>carers</w:t>
      </w:r>
      <w:proofErr w:type="spellEnd"/>
      <w:r>
        <w:rPr>
          <w:rFonts w:cs="Arial"/>
          <w:lang w:val="en-US"/>
        </w:rPr>
        <w:t xml:space="preserve"> taking care of the victim in a care institution. W</w:t>
      </w:r>
      <w:r w:rsidR="00ED2461">
        <w:rPr>
          <w:rFonts w:cs="Arial"/>
          <w:lang w:val="en-US"/>
        </w:rPr>
        <w:t xml:space="preserve">hether a frontline staff or management of a care institution should be liable would depend on the circumstances in each case. </w:t>
      </w:r>
    </w:p>
    <w:p w14:paraId="35FBDBB4" w14:textId="77777777" w:rsidR="00ED2461" w:rsidRDefault="00ED2461" w:rsidP="00310E50">
      <w:pPr>
        <w:widowControl/>
        <w:tabs>
          <w:tab w:val="clear" w:pos="1418"/>
        </w:tabs>
        <w:adjustRightInd/>
        <w:ind w:left="1418" w:hanging="709"/>
        <w:rPr>
          <w:rFonts w:cs="Arial"/>
          <w:lang w:val="en-US"/>
        </w:rPr>
      </w:pPr>
    </w:p>
    <w:p w14:paraId="1A28568B" w14:textId="77777777" w:rsidR="00AA0D96" w:rsidRPr="00ED2461" w:rsidRDefault="009C72B3" w:rsidP="00D32C94">
      <w:pPr>
        <w:pStyle w:val="ListParagraph"/>
        <w:widowControl/>
        <w:numPr>
          <w:ilvl w:val="0"/>
          <w:numId w:val="29"/>
        </w:numPr>
        <w:tabs>
          <w:tab w:val="clear" w:pos="1418"/>
        </w:tabs>
        <w:adjustRightInd/>
        <w:ind w:left="0" w:firstLine="0"/>
        <w:rPr>
          <w:rFonts w:cs="Arial"/>
          <w:lang w:val="en-US"/>
        </w:rPr>
      </w:pPr>
      <w:r>
        <w:rPr>
          <w:rFonts w:cs="Arial"/>
          <w:lang w:val="en-US"/>
        </w:rPr>
        <w:lastRenderedPageBreak/>
        <w:tab/>
      </w:r>
      <w:r w:rsidR="00341981" w:rsidRPr="00D32C94">
        <w:rPr>
          <w:rFonts w:cs="Arial"/>
          <w:lang w:val="en-US"/>
        </w:rPr>
        <w:t xml:space="preserve">The proposed offence </w:t>
      </w:r>
      <w:r w:rsidR="00AA0D96" w:rsidRPr="00D32C94">
        <w:rPr>
          <w:rFonts w:cs="Arial"/>
          <w:lang w:val="en-US"/>
        </w:rPr>
        <w:t xml:space="preserve">only covers </w:t>
      </w:r>
      <w:r w:rsidR="00CF447B" w:rsidRPr="00D32C94">
        <w:rPr>
          <w:rFonts w:cs="Arial"/>
          <w:lang w:val="en-US"/>
        </w:rPr>
        <w:t xml:space="preserve">serious abuses and cases </w:t>
      </w:r>
      <w:r w:rsidR="00AA0D96" w:rsidRPr="00D32C94">
        <w:rPr>
          <w:rFonts w:cs="Arial"/>
          <w:lang w:val="en-US"/>
        </w:rPr>
        <w:t xml:space="preserve">where the failure to take reasonable steps was, in the circumstances, so serious that a criminal penalty is warranted. </w:t>
      </w:r>
      <w:r w:rsidR="006D64BA">
        <w:rPr>
          <w:rFonts w:cs="Arial"/>
          <w:lang w:val="en-US"/>
        </w:rPr>
        <w:t xml:space="preserve"> </w:t>
      </w:r>
      <w:r w:rsidR="00AA0D96" w:rsidRPr="006D64BA">
        <w:rPr>
          <w:lang w:val="en-US"/>
        </w:rPr>
        <w:t xml:space="preserve">As care institutions are already regulated under the existing regulatory regime, </w:t>
      </w:r>
      <w:r w:rsidR="00E438A0" w:rsidRPr="006D64BA">
        <w:rPr>
          <w:lang w:val="en-US"/>
        </w:rPr>
        <w:t xml:space="preserve">we do not expect that </w:t>
      </w:r>
      <w:r w:rsidR="00AA0D96" w:rsidRPr="006D64BA">
        <w:rPr>
          <w:lang w:val="en-US"/>
        </w:rPr>
        <w:t xml:space="preserve">the duties and workload of the </w:t>
      </w:r>
      <w:proofErr w:type="spellStart"/>
      <w:r w:rsidR="00AA0D96" w:rsidRPr="006D64BA">
        <w:rPr>
          <w:lang w:val="en-US"/>
        </w:rPr>
        <w:t>carers</w:t>
      </w:r>
      <w:proofErr w:type="spellEnd"/>
      <w:r w:rsidR="00AA0D96" w:rsidRPr="006D64BA">
        <w:rPr>
          <w:lang w:val="en-US"/>
        </w:rPr>
        <w:t xml:space="preserve"> and care institutions would increase significantly.</w:t>
      </w:r>
      <w:r w:rsidR="006C1E1F" w:rsidRPr="006D64BA">
        <w:rPr>
          <w:lang w:val="en-US"/>
        </w:rPr>
        <w:t xml:space="preserve">  </w:t>
      </w:r>
      <w:r w:rsidR="008A67B7">
        <w:rPr>
          <w:rFonts w:cs="Arial"/>
          <w:lang w:val="en-US"/>
        </w:rPr>
        <w:t xml:space="preserve">  </w:t>
      </w:r>
      <w:r w:rsidR="00E438A0">
        <w:rPr>
          <w:rFonts w:cs="Arial"/>
          <w:lang w:val="en-US"/>
        </w:rPr>
        <w:t xml:space="preserve"> </w:t>
      </w:r>
      <w:r w:rsidR="00AA0D96">
        <w:rPr>
          <w:rFonts w:cs="Arial"/>
          <w:lang w:val="en-US"/>
        </w:rPr>
        <w:t xml:space="preserve">  </w:t>
      </w:r>
    </w:p>
    <w:p w14:paraId="188CD748" w14:textId="77777777" w:rsidR="008A67B7" w:rsidRDefault="008A67B7" w:rsidP="008A67B7">
      <w:pPr>
        <w:widowControl/>
        <w:tabs>
          <w:tab w:val="clear" w:pos="1418"/>
        </w:tabs>
        <w:adjustRightInd/>
        <w:rPr>
          <w:rFonts w:cs="Arial"/>
          <w:lang w:val="en-US"/>
        </w:rPr>
      </w:pPr>
    </w:p>
    <w:p w14:paraId="6E2BB541" w14:textId="77777777" w:rsidR="00ED2461" w:rsidRDefault="00EE7CF0" w:rsidP="008A67B7">
      <w:pPr>
        <w:widowControl/>
        <w:tabs>
          <w:tab w:val="clear" w:pos="1418"/>
        </w:tabs>
        <w:adjustRightInd/>
        <w:rPr>
          <w:rFonts w:cs="Arial"/>
          <w:lang w:val="en-US"/>
        </w:rPr>
      </w:pPr>
      <w:r>
        <w:rPr>
          <w:rFonts w:cs="Arial"/>
          <w:lang w:val="en-US"/>
        </w:rPr>
        <w:t>1</w:t>
      </w:r>
      <w:r w:rsidR="00B1197A">
        <w:rPr>
          <w:rFonts w:cs="Arial"/>
          <w:lang w:val="en-US"/>
        </w:rPr>
        <w:t>8</w:t>
      </w:r>
      <w:r w:rsidR="008A67B7">
        <w:rPr>
          <w:rFonts w:cs="Arial"/>
          <w:lang w:val="en-US"/>
        </w:rPr>
        <w:t>.</w:t>
      </w:r>
      <w:r w:rsidR="008A67B7">
        <w:rPr>
          <w:rFonts w:cs="Arial"/>
          <w:lang w:val="en-US"/>
        </w:rPr>
        <w:tab/>
      </w:r>
      <w:r w:rsidR="008A67B7">
        <w:rPr>
          <w:rFonts w:cs="Arial"/>
          <w:lang w:val="en-US"/>
        </w:rPr>
        <w:tab/>
      </w:r>
      <w:r w:rsidR="001A06D0">
        <w:rPr>
          <w:rFonts w:cs="Arial"/>
          <w:lang w:val="en-US"/>
        </w:rPr>
        <w:t>W</w:t>
      </w:r>
      <w:r w:rsidR="008A67B7">
        <w:rPr>
          <w:rFonts w:cs="Arial"/>
          <w:lang w:val="en-US"/>
        </w:rPr>
        <w:t xml:space="preserve">e recommend </w:t>
      </w:r>
      <w:r w:rsidR="001A06D0">
        <w:rPr>
          <w:rFonts w:cs="Arial"/>
          <w:lang w:val="en-US"/>
        </w:rPr>
        <w:t xml:space="preserve">adopting </w:t>
      </w:r>
      <w:r w:rsidR="008A67B7">
        <w:rPr>
          <w:rFonts w:cs="Arial"/>
          <w:lang w:val="en-US"/>
        </w:rPr>
        <w:t>Recommendation 6</w:t>
      </w:r>
      <w:r w:rsidR="008A2ECA">
        <w:rPr>
          <w:rFonts w:cs="Arial"/>
          <w:lang w:val="en-US"/>
        </w:rPr>
        <w:t xml:space="preserve"> in the CP</w:t>
      </w:r>
      <w:r w:rsidR="008A67B7">
        <w:rPr>
          <w:rFonts w:cs="Arial"/>
          <w:lang w:val="en-US"/>
        </w:rPr>
        <w:t xml:space="preserve"> </w:t>
      </w:r>
      <w:r w:rsidR="001A06D0">
        <w:rPr>
          <w:rFonts w:cs="Arial"/>
          <w:lang w:val="en-US"/>
        </w:rPr>
        <w:t>as</w:t>
      </w:r>
      <w:r w:rsidR="008A67B7">
        <w:rPr>
          <w:rFonts w:cs="Arial"/>
          <w:lang w:val="en-US"/>
        </w:rPr>
        <w:t xml:space="preserve"> our </w:t>
      </w:r>
      <w:r w:rsidR="008A67B7" w:rsidRPr="00714C69">
        <w:rPr>
          <w:rFonts w:cs="Arial"/>
          <w:b/>
          <w:lang w:val="en-US"/>
        </w:rPr>
        <w:t>Final Recommendation 6</w:t>
      </w:r>
      <w:r w:rsidR="008A67B7">
        <w:rPr>
          <w:rFonts w:cs="Arial"/>
          <w:lang w:val="en-US"/>
        </w:rPr>
        <w:t>:</w:t>
      </w:r>
      <w:r w:rsidR="008A67B7">
        <w:rPr>
          <w:rFonts w:cs="Arial"/>
          <w:lang w:val="en-US"/>
        </w:rPr>
        <w:tab/>
      </w:r>
    </w:p>
    <w:p w14:paraId="1DD55F20" w14:textId="77777777" w:rsidR="008A67B7" w:rsidRDefault="008A67B7" w:rsidP="00310E50">
      <w:pPr>
        <w:widowControl/>
        <w:tabs>
          <w:tab w:val="clear" w:pos="1418"/>
        </w:tabs>
        <w:adjustRightInd/>
        <w:ind w:left="1418" w:hanging="709"/>
        <w:rPr>
          <w:rFonts w:cs="Arial"/>
          <w:lang w:val="en-US"/>
        </w:rPr>
      </w:pPr>
    </w:p>
    <w:p w14:paraId="1DAF004E" w14:textId="77777777" w:rsidR="002F0EDE" w:rsidRPr="00E367A2" w:rsidRDefault="00C72537" w:rsidP="00E367A2">
      <w:pPr>
        <w:widowControl/>
        <w:tabs>
          <w:tab w:val="clear" w:pos="1418"/>
        </w:tabs>
        <w:adjustRightInd/>
        <w:ind w:left="720" w:right="720"/>
        <w:rPr>
          <w:rFonts w:cs="Arial"/>
          <w:i/>
          <w:lang w:val="en-US"/>
        </w:rPr>
      </w:pPr>
      <w:r w:rsidRPr="00E367A2">
        <w:rPr>
          <w:rFonts w:cs="Arial"/>
          <w:i/>
          <w:lang w:val="en-US"/>
        </w:rPr>
        <w:t>“</w:t>
      </w:r>
      <w:r w:rsidR="002F0EDE" w:rsidRPr="00E367A2">
        <w:rPr>
          <w:rFonts w:cs="Arial"/>
          <w:i/>
          <w:lang w:val="en-US"/>
        </w:rPr>
        <w:t xml:space="preserve">We recommend that the concept of </w:t>
      </w:r>
      <w:r w:rsidRPr="00E367A2">
        <w:rPr>
          <w:rFonts w:cs="Arial"/>
          <w:i/>
          <w:lang w:val="en-US"/>
        </w:rPr>
        <w:t>‘</w:t>
      </w:r>
      <w:r w:rsidR="002F0EDE" w:rsidRPr="00E367A2">
        <w:rPr>
          <w:rFonts w:cs="Arial"/>
          <w:i/>
          <w:iCs/>
          <w:lang w:val="en-US"/>
        </w:rPr>
        <w:t>duty of care</w:t>
      </w:r>
      <w:r w:rsidRPr="00E367A2">
        <w:rPr>
          <w:rFonts w:cs="Arial"/>
          <w:i/>
          <w:iCs/>
          <w:lang w:val="en-US"/>
        </w:rPr>
        <w:t>’</w:t>
      </w:r>
      <w:r w:rsidR="002F0EDE" w:rsidRPr="00E367A2">
        <w:rPr>
          <w:rFonts w:cs="Arial"/>
          <w:i/>
          <w:lang w:val="en-US"/>
        </w:rPr>
        <w:t xml:space="preserve"> to the victim used in section 14 of the Criminal Law Consolidation Act 1935 in South Australia (as amended in 2005), and the concept of </w:t>
      </w:r>
      <w:r w:rsidRPr="00E367A2">
        <w:rPr>
          <w:rFonts w:cs="Arial"/>
          <w:i/>
          <w:lang w:val="en-US"/>
        </w:rPr>
        <w:t>‘</w:t>
      </w:r>
      <w:r w:rsidR="002F0EDE" w:rsidRPr="00E367A2">
        <w:rPr>
          <w:rFonts w:cs="Arial"/>
          <w:i/>
          <w:iCs/>
          <w:lang w:val="en-US"/>
        </w:rPr>
        <w:t>member of the same household</w:t>
      </w:r>
      <w:r w:rsidRPr="00E367A2">
        <w:rPr>
          <w:rFonts w:cs="Arial"/>
          <w:i/>
          <w:iCs/>
          <w:lang w:val="en-US"/>
        </w:rPr>
        <w:t>’</w:t>
      </w:r>
      <w:r w:rsidR="002F0EDE" w:rsidRPr="00E367A2">
        <w:rPr>
          <w:rFonts w:cs="Arial"/>
          <w:i/>
          <w:lang w:val="en-US"/>
        </w:rPr>
        <w:t xml:space="preserve"> who has </w:t>
      </w:r>
      <w:r w:rsidRPr="00E367A2">
        <w:rPr>
          <w:rFonts w:cs="Arial"/>
          <w:i/>
          <w:lang w:val="en-US"/>
        </w:rPr>
        <w:t>‘</w:t>
      </w:r>
      <w:r w:rsidR="002F0EDE" w:rsidRPr="00E367A2">
        <w:rPr>
          <w:rFonts w:cs="Arial"/>
          <w:i/>
          <w:iCs/>
          <w:lang w:val="en-US"/>
        </w:rPr>
        <w:t>frequent contact</w:t>
      </w:r>
      <w:r w:rsidRPr="00E367A2">
        <w:rPr>
          <w:rFonts w:cs="Arial"/>
          <w:i/>
          <w:iCs/>
          <w:lang w:val="en-US"/>
        </w:rPr>
        <w:t>’</w:t>
      </w:r>
      <w:r w:rsidR="002F0EDE" w:rsidRPr="00E367A2">
        <w:rPr>
          <w:rFonts w:cs="Arial"/>
          <w:i/>
          <w:lang w:val="en-US"/>
        </w:rPr>
        <w:t xml:space="preserve"> with the victim used in section 5 of the English Domestic Violence, Crime and Victims Act 2004, should be used as alternative bases for liability under the proposed offence.</w:t>
      </w:r>
      <w:r w:rsidR="003D72AE">
        <w:rPr>
          <w:rFonts w:cs="Arial"/>
          <w:i/>
          <w:lang w:val="en-US"/>
        </w:rPr>
        <w:t>”</w:t>
      </w:r>
      <w:r w:rsidR="008731AE" w:rsidRPr="00E367A2">
        <w:rPr>
          <w:rStyle w:val="FootnoteReference"/>
          <w:bCs/>
          <w:color w:val="000000"/>
          <w:sz w:val="24"/>
          <w:szCs w:val="24"/>
        </w:rPr>
        <w:footnoteReference w:id="7"/>
      </w:r>
    </w:p>
    <w:p w14:paraId="5DAB7438" w14:textId="77777777" w:rsidR="002F0EDE" w:rsidRPr="00E367A2" w:rsidRDefault="002F0EDE" w:rsidP="00E367A2">
      <w:pPr>
        <w:widowControl/>
        <w:tabs>
          <w:tab w:val="clear" w:pos="1418"/>
        </w:tabs>
        <w:adjustRightInd/>
        <w:ind w:left="720" w:right="720"/>
        <w:rPr>
          <w:rFonts w:cs="Arial"/>
          <w:lang w:val="en-US"/>
        </w:rPr>
      </w:pPr>
    </w:p>
    <w:p w14:paraId="159677EA" w14:textId="77777777" w:rsidR="002F0EDE" w:rsidRPr="002F0EDE" w:rsidRDefault="002F0EDE" w:rsidP="002F0EDE">
      <w:pPr>
        <w:widowControl/>
        <w:tabs>
          <w:tab w:val="clear" w:pos="1418"/>
        </w:tabs>
        <w:adjustRightInd/>
        <w:rPr>
          <w:rFonts w:cs="Arial"/>
          <w:lang w:val="en-US"/>
        </w:rPr>
      </w:pPr>
    </w:p>
    <w:p w14:paraId="4883113E" w14:textId="77777777" w:rsidR="002F0EDE" w:rsidRPr="00202346" w:rsidRDefault="002F1030" w:rsidP="002F0EDE">
      <w:pPr>
        <w:widowControl/>
        <w:tabs>
          <w:tab w:val="clear" w:pos="1418"/>
        </w:tabs>
        <w:adjustRightInd/>
        <w:rPr>
          <w:rFonts w:cs="Arial"/>
          <w:b/>
          <w:i/>
          <w:lang w:val="en-US"/>
        </w:rPr>
      </w:pPr>
      <w:r>
        <w:rPr>
          <w:rFonts w:cs="Arial"/>
          <w:b/>
          <w:i/>
          <w:lang w:val="en-US"/>
        </w:rPr>
        <w:t xml:space="preserve">No </w:t>
      </w:r>
      <w:r w:rsidR="008F36CA">
        <w:rPr>
          <w:rFonts w:cs="Arial"/>
          <w:b/>
          <w:i/>
          <w:lang w:val="en-US"/>
        </w:rPr>
        <w:t xml:space="preserve">specific </w:t>
      </w:r>
      <w:r w:rsidR="00935AD6">
        <w:rPr>
          <w:rFonts w:cs="Arial"/>
          <w:b/>
          <w:i/>
          <w:lang w:val="en-US"/>
        </w:rPr>
        <w:t>minimum age of defendant</w:t>
      </w:r>
    </w:p>
    <w:p w14:paraId="67394B11" w14:textId="77777777" w:rsidR="002F0EDE" w:rsidRPr="002F0EDE" w:rsidRDefault="002F0EDE" w:rsidP="002F0EDE">
      <w:pPr>
        <w:widowControl/>
        <w:tabs>
          <w:tab w:val="clear" w:pos="1418"/>
        </w:tabs>
        <w:adjustRightInd/>
        <w:rPr>
          <w:rFonts w:cs="Arial"/>
          <w:b/>
          <w:lang w:val="en-US"/>
        </w:rPr>
      </w:pPr>
    </w:p>
    <w:p w14:paraId="1C01B953" w14:textId="77777777" w:rsidR="00E94AC5" w:rsidRDefault="008F36CA" w:rsidP="002F0EDE">
      <w:pPr>
        <w:widowControl/>
        <w:tabs>
          <w:tab w:val="clear" w:pos="1418"/>
        </w:tabs>
        <w:adjustRightInd/>
        <w:rPr>
          <w:rFonts w:cs="Arial"/>
          <w:lang w:val="en-US"/>
        </w:rPr>
      </w:pPr>
      <w:r>
        <w:rPr>
          <w:rFonts w:cs="Arial"/>
          <w:lang w:val="en-US"/>
        </w:rPr>
        <w:t>1</w:t>
      </w:r>
      <w:r w:rsidR="00B1197A">
        <w:rPr>
          <w:rFonts w:cs="Arial"/>
          <w:lang w:val="en-US"/>
        </w:rPr>
        <w:t>9</w:t>
      </w:r>
      <w:r w:rsidR="00725FC0">
        <w:rPr>
          <w:rFonts w:cs="Arial"/>
          <w:lang w:val="en-US"/>
        </w:rPr>
        <w:t>.</w:t>
      </w:r>
      <w:r w:rsidR="00725FC0">
        <w:rPr>
          <w:rFonts w:cs="Arial"/>
          <w:lang w:val="en-US"/>
        </w:rPr>
        <w:tab/>
      </w:r>
      <w:r w:rsidR="00725FC0">
        <w:rPr>
          <w:rFonts w:cs="Arial"/>
          <w:lang w:val="en-US"/>
        </w:rPr>
        <w:tab/>
      </w:r>
      <w:r w:rsidR="00403D4C">
        <w:rPr>
          <w:rFonts w:cs="Arial"/>
          <w:lang w:val="en-US"/>
        </w:rPr>
        <w:t xml:space="preserve">Recommendation 7 in the CP </w:t>
      </w:r>
      <w:r w:rsidR="00C628DF">
        <w:rPr>
          <w:rFonts w:cs="Arial"/>
          <w:lang w:val="en-US"/>
        </w:rPr>
        <w:t xml:space="preserve">recommends that </w:t>
      </w:r>
      <w:r w:rsidR="003D291F">
        <w:rPr>
          <w:rFonts w:cs="Arial"/>
          <w:lang w:val="en-US"/>
        </w:rPr>
        <w:t>no minimum age for the defendant should be stipulated</w:t>
      </w:r>
      <w:r w:rsidR="00403D4C">
        <w:rPr>
          <w:rFonts w:cs="Arial"/>
          <w:lang w:val="en-US"/>
        </w:rPr>
        <w:t xml:space="preserve">.  </w:t>
      </w:r>
      <w:r w:rsidR="00725FC0">
        <w:rPr>
          <w:rFonts w:cs="Arial"/>
          <w:lang w:val="en-US"/>
        </w:rPr>
        <w:t xml:space="preserve">While some Respondents support </w:t>
      </w:r>
      <w:r w:rsidR="003D291F">
        <w:rPr>
          <w:rFonts w:cs="Arial"/>
          <w:lang w:val="en-US"/>
        </w:rPr>
        <w:t>this</w:t>
      </w:r>
      <w:r w:rsidR="00725FC0">
        <w:rPr>
          <w:rFonts w:cs="Arial"/>
          <w:lang w:val="en-US"/>
        </w:rPr>
        <w:t>, more Respondents consider that the minimum age for the defendant should be set at 16 or 18 years</w:t>
      </w:r>
      <w:r w:rsidR="00E94AC5">
        <w:rPr>
          <w:rFonts w:cs="Arial"/>
          <w:lang w:val="en-US"/>
        </w:rPr>
        <w:t>, with a few Respondents suggesting setting it at 10 years.  After carefully considering the responses, we consider that there is no need to specifically set out the minimum age for the defendant</w:t>
      </w:r>
      <w:r w:rsidR="00422064">
        <w:rPr>
          <w:rFonts w:cs="Arial"/>
          <w:lang w:val="en-US"/>
        </w:rPr>
        <w:t xml:space="preserve"> for the following reasons</w:t>
      </w:r>
      <w:r w:rsidR="00E94AC5">
        <w:rPr>
          <w:rFonts w:cs="Arial"/>
          <w:lang w:val="en-US"/>
        </w:rPr>
        <w:t>:</w:t>
      </w:r>
    </w:p>
    <w:p w14:paraId="092F5915" w14:textId="77777777" w:rsidR="00E94AC5" w:rsidRDefault="00E94AC5" w:rsidP="002F0EDE">
      <w:pPr>
        <w:widowControl/>
        <w:tabs>
          <w:tab w:val="clear" w:pos="1418"/>
        </w:tabs>
        <w:adjustRightInd/>
        <w:rPr>
          <w:rFonts w:cs="Arial"/>
          <w:lang w:val="en-US"/>
        </w:rPr>
      </w:pPr>
    </w:p>
    <w:p w14:paraId="78792962" w14:textId="77777777" w:rsidR="00E94AC5" w:rsidRDefault="00E94AC5" w:rsidP="00E367A2">
      <w:pPr>
        <w:pStyle w:val="ListParagraph"/>
        <w:widowControl/>
        <w:numPr>
          <w:ilvl w:val="0"/>
          <w:numId w:val="22"/>
        </w:numPr>
        <w:tabs>
          <w:tab w:val="clear" w:pos="1418"/>
        </w:tabs>
        <w:adjustRightInd/>
        <w:spacing w:after="120"/>
        <w:ind w:left="1440" w:hanging="720"/>
        <w:rPr>
          <w:rFonts w:cs="Arial"/>
          <w:lang w:val="en-US"/>
        </w:rPr>
      </w:pPr>
      <w:r>
        <w:rPr>
          <w:rFonts w:cs="Arial"/>
          <w:lang w:val="en-US"/>
        </w:rPr>
        <w:t xml:space="preserve">The minimum age of criminal responsibility is already set at 10 years </w:t>
      </w:r>
      <w:r w:rsidR="00B44571">
        <w:rPr>
          <w:rFonts w:cs="Arial"/>
          <w:lang w:val="en-US"/>
        </w:rPr>
        <w:t>in</w:t>
      </w:r>
      <w:r>
        <w:rPr>
          <w:rFonts w:cs="Arial"/>
          <w:lang w:val="en-US"/>
        </w:rPr>
        <w:t xml:space="preserve"> the Juvenile Offenders Ordinance (Cap 226).</w:t>
      </w:r>
    </w:p>
    <w:p w14:paraId="5B357BA0" w14:textId="41EFB508" w:rsidR="00E94AC5" w:rsidRDefault="00E94AC5" w:rsidP="00E367A2">
      <w:pPr>
        <w:pStyle w:val="ListParagraph"/>
        <w:widowControl/>
        <w:numPr>
          <w:ilvl w:val="0"/>
          <w:numId w:val="22"/>
        </w:numPr>
        <w:tabs>
          <w:tab w:val="clear" w:pos="1418"/>
        </w:tabs>
        <w:adjustRightInd/>
        <w:spacing w:after="120"/>
        <w:ind w:left="1440" w:hanging="720"/>
        <w:rPr>
          <w:rFonts w:cs="Arial"/>
          <w:lang w:val="en-US"/>
        </w:rPr>
      </w:pPr>
      <w:r>
        <w:rPr>
          <w:rFonts w:cs="Arial"/>
          <w:lang w:val="en-US"/>
        </w:rPr>
        <w:t xml:space="preserve">Children must be protected from abuses even when the defendants are their </w:t>
      </w:r>
      <w:bookmarkStart w:id="3" w:name="_GoBack"/>
      <w:r>
        <w:rPr>
          <w:rFonts w:cs="Arial"/>
          <w:lang w:val="en-US"/>
        </w:rPr>
        <w:t>underage</w:t>
      </w:r>
      <w:bookmarkEnd w:id="3"/>
      <w:r>
        <w:rPr>
          <w:rFonts w:cs="Arial"/>
          <w:lang w:val="en-US"/>
        </w:rPr>
        <w:t xml:space="preserve"> parents.</w:t>
      </w:r>
    </w:p>
    <w:p w14:paraId="2DD4A00A" w14:textId="38DC2518" w:rsidR="00E94AC5" w:rsidRDefault="00C23366" w:rsidP="00E367A2">
      <w:pPr>
        <w:pStyle w:val="ListParagraph"/>
        <w:widowControl/>
        <w:numPr>
          <w:ilvl w:val="0"/>
          <w:numId w:val="22"/>
        </w:numPr>
        <w:tabs>
          <w:tab w:val="clear" w:pos="1418"/>
        </w:tabs>
        <w:adjustRightInd/>
        <w:spacing w:after="120"/>
        <w:ind w:left="1440" w:hanging="720"/>
        <w:rPr>
          <w:rFonts w:cs="Arial"/>
          <w:lang w:val="en-US"/>
        </w:rPr>
      </w:pPr>
      <w:r>
        <w:rPr>
          <w:rFonts w:cs="Arial"/>
          <w:lang w:val="en-US"/>
        </w:rPr>
        <w:t>Some</w:t>
      </w:r>
      <w:r w:rsidR="00E94AC5">
        <w:rPr>
          <w:rFonts w:cs="Arial"/>
          <w:lang w:val="en-US"/>
        </w:rPr>
        <w:t xml:space="preserve"> elements of the proposed offence </w:t>
      </w:r>
      <w:r>
        <w:rPr>
          <w:rFonts w:cs="Arial"/>
          <w:lang w:val="en-US"/>
        </w:rPr>
        <w:t>would allow the court to</w:t>
      </w:r>
      <w:r w:rsidR="00E94AC5">
        <w:rPr>
          <w:rFonts w:cs="Arial"/>
          <w:lang w:val="en-US"/>
        </w:rPr>
        <w:t xml:space="preserve"> </w:t>
      </w:r>
      <w:proofErr w:type="spellStart"/>
      <w:r w:rsidR="00E94AC5">
        <w:rPr>
          <w:rFonts w:cs="Arial"/>
          <w:lang w:val="en-US"/>
        </w:rPr>
        <w:t>recogni</w:t>
      </w:r>
      <w:r w:rsidR="00422064">
        <w:rPr>
          <w:rFonts w:cs="Arial"/>
          <w:lang w:val="en-US"/>
        </w:rPr>
        <w:t>s</w:t>
      </w:r>
      <w:r w:rsidR="00E94AC5">
        <w:rPr>
          <w:rFonts w:cs="Arial"/>
          <w:lang w:val="en-US"/>
        </w:rPr>
        <w:t>e</w:t>
      </w:r>
      <w:proofErr w:type="spellEnd"/>
      <w:r w:rsidR="00E94AC5">
        <w:rPr>
          <w:rFonts w:cs="Arial"/>
          <w:lang w:val="en-US"/>
        </w:rPr>
        <w:t xml:space="preserve"> difference</w:t>
      </w:r>
      <w:r>
        <w:rPr>
          <w:rFonts w:cs="Arial"/>
          <w:lang w:val="en-US"/>
        </w:rPr>
        <w:t>s</w:t>
      </w:r>
      <w:r w:rsidR="00E94AC5">
        <w:rPr>
          <w:rFonts w:cs="Arial"/>
          <w:lang w:val="en-US"/>
        </w:rPr>
        <w:t xml:space="preserve"> in awareness and power between children and adult</w:t>
      </w:r>
      <w:r w:rsidR="007C0529">
        <w:rPr>
          <w:rFonts w:cs="Arial"/>
          <w:lang w:val="en-US"/>
        </w:rPr>
        <w:t xml:space="preserve">, and would thus provide some possible </w:t>
      </w:r>
      <w:proofErr w:type="spellStart"/>
      <w:r w:rsidR="007C0529">
        <w:rPr>
          <w:rFonts w:cs="Arial"/>
          <w:lang w:val="en-US"/>
        </w:rPr>
        <w:t>defences</w:t>
      </w:r>
      <w:proofErr w:type="spellEnd"/>
      <w:r w:rsidR="007C0529">
        <w:rPr>
          <w:rFonts w:cs="Arial"/>
          <w:lang w:val="en-US"/>
        </w:rPr>
        <w:t xml:space="preserve"> for underage defendants</w:t>
      </w:r>
      <w:r w:rsidR="00732551">
        <w:rPr>
          <w:rFonts w:cs="Arial"/>
          <w:lang w:val="en-US"/>
        </w:rPr>
        <w:t>.  For examp</w:t>
      </w:r>
      <w:r w:rsidR="00732551" w:rsidRPr="008E263F">
        <w:rPr>
          <w:rFonts w:cs="Arial"/>
          <w:lang w:val="en-US"/>
        </w:rPr>
        <w:t>le</w:t>
      </w:r>
      <w:r w:rsidR="00E94AC5" w:rsidRPr="008E263F">
        <w:rPr>
          <w:rFonts w:cs="Arial"/>
          <w:lang w:val="en-US"/>
        </w:rPr>
        <w:t>:</w:t>
      </w:r>
    </w:p>
    <w:p w14:paraId="510C5D39" w14:textId="77777777" w:rsidR="00E94AC5" w:rsidRPr="00CB1FE3" w:rsidRDefault="00AE2048" w:rsidP="00E367A2">
      <w:pPr>
        <w:widowControl/>
        <w:tabs>
          <w:tab w:val="clear" w:pos="1418"/>
        </w:tabs>
        <w:adjustRightInd/>
        <w:spacing w:after="120"/>
        <w:ind w:left="2160" w:hanging="720"/>
        <w:rPr>
          <w:rFonts w:cs="Arial"/>
          <w:lang w:val="en-US"/>
        </w:rPr>
      </w:pPr>
      <w:r>
        <w:rPr>
          <w:rFonts w:cs="Arial"/>
          <w:lang w:val="en-US"/>
        </w:rPr>
        <w:t>(</w:t>
      </w:r>
      <w:proofErr w:type="spellStart"/>
      <w:r>
        <w:rPr>
          <w:rFonts w:cs="Arial"/>
          <w:lang w:val="en-US"/>
        </w:rPr>
        <w:t>i</w:t>
      </w:r>
      <w:proofErr w:type="spellEnd"/>
      <w:r>
        <w:rPr>
          <w:rFonts w:cs="Arial"/>
          <w:lang w:val="en-US"/>
        </w:rPr>
        <w:t xml:space="preserve">)  </w:t>
      </w:r>
      <w:r>
        <w:rPr>
          <w:rFonts w:cs="Arial"/>
          <w:lang w:val="en-US"/>
        </w:rPr>
        <w:tab/>
      </w:r>
      <w:proofErr w:type="gramStart"/>
      <w:r w:rsidR="00E94AC5" w:rsidRPr="00CB1FE3">
        <w:rPr>
          <w:rFonts w:cs="Arial"/>
          <w:lang w:val="en-US"/>
        </w:rPr>
        <w:t>although</w:t>
      </w:r>
      <w:proofErr w:type="gramEnd"/>
      <w:r w:rsidR="00E94AC5" w:rsidRPr="00CB1FE3">
        <w:rPr>
          <w:rFonts w:cs="Arial"/>
          <w:lang w:val="en-US"/>
        </w:rPr>
        <w:t xml:space="preserve"> the steps taken by the accused might not seem appropriate by adult standards, they are perfectly reasonable for a child of the accused’s age and circumstances;</w:t>
      </w:r>
      <w:r w:rsidR="00732551">
        <w:rPr>
          <w:rFonts w:cs="Arial"/>
          <w:lang w:val="en-US"/>
        </w:rPr>
        <w:t xml:space="preserve"> and</w:t>
      </w:r>
    </w:p>
    <w:p w14:paraId="62613962" w14:textId="77777777" w:rsidR="00725FC0" w:rsidRDefault="00E94AC5" w:rsidP="00E367A2">
      <w:pPr>
        <w:pStyle w:val="ListParagraph"/>
        <w:widowControl/>
        <w:tabs>
          <w:tab w:val="clear" w:pos="1418"/>
        </w:tabs>
        <w:adjustRightInd/>
        <w:spacing w:after="120"/>
        <w:ind w:left="2160" w:hanging="720"/>
        <w:rPr>
          <w:rFonts w:cs="Arial"/>
          <w:lang w:val="en-US"/>
        </w:rPr>
      </w:pPr>
      <w:r>
        <w:rPr>
          <w:rFonts w:cs="Arial"/>
          <w:lang w:val="en-US"/>
        </w:rPr>
        <w:lastRenderedPageBreak/>
        <w:t>(ii)</w:t>
      </w:r>
      <w:r>
        <w:rPr>
          <w:rFonts w:cs="Arial"/>
          <w:lang w:val="en-US"/>
        </w:rPr>
        <w:tab/>
      </w:r>
      <w:proofErr w:type="gramStart"/>
      <w:r>
        <w:rPr>
          <w:rFonts w:cs="Arial"/>
          <w:lang w:val="en-US"/>
        </w:rPr>
        <w:t>it</w:t>
      </w:r>
      <w:proofErr w:type="gramEnd"/>
      <w:r>
        <w:rPr>
          <w:rFonts w:cs="Arial"/>
          <w:lang w:val="en-US"/>
        </w:rPr>
        <w:t xml:space="preserve"> would have been unreasonable to expect </w:t>
      </w:r>
      <w:r w:rsidR="00B44571">
        <w:rPr>
          <w:rFonts w:cs="Arial"/>
          <w:lang w:val="en-US"/>
        </w:rPr>
        <w:t>a</w:t>
      </w:r>
      <w:r>
        <w:rPr>
          <w:rFonts w:cs="Arial"/>
          <w:lang w:val="en-US"/>
        </w:rPr>
        <w:t xml:space="preserve"> child</w:t>
      </w:r>
      <w:r w:rsidR="00195B07">
        <w:rPr>
          <w:rFonts w:cs="Arial"/>
          <w:lang w:val="en-US"/>
        </w:rPr>
        <w:t>-</w:t>
      </w:r>
      <w:r>
        <w:rPr>
          <w:rFonts w:cs="Arial"/>
          <w:lang w:val="en-US"/>
        </w:rPr>
        <w:t>accuse</w:t>
      </w:r>
      <w:r w:rsidR="00195B07">
        <w:rPr>
          <w:rFonts w:cs="Arial"/>
          <w:lang w:val="en-US"/>
        </w:rPr>
        <w:t>d</w:t>
      </w:r>
      <w:r>
        <w:rPr>
          <w:rFonts w:cs="Arial"/>
          <w:lang w:val="en-US"/>
        </w:rPr>
        <w:t xml:space="preserve"> to take any steps to protect the victim</w:t>
      </w:r>
      <w:r w:rsidR="00B44571">
        <w:rPr>
          <w:rFonts w:cs="Arial"/>
          <w:lang w:val="en-US"/>
        </w:rPr>
        <w:t xml:space="preserve"> where</w:t>
      </w:r>
      <w:r>
        <w:rPr>
          <w:rFonts w:cs="Arial"/>
          <w:lang w:val="en-US"/>
        </w:rPr>
        <w:t xml:space="preserve">, </w:t>
      </w:r>
      <w:r w:rsidR="00B44571">
        <w:rPr>
          <w:rFonts w:cs="Arial"/>
          <w:lang w:val="en-US"/>
        </w:rPr>
        <w:t>for example,</w:t>
      </w:r>
      <w:r>
        <w:rPr>
          <w:rFonts w:cs="Arial"/>
          <w:lang w:val="en-US"/>
        </w:rPr>
        <w:t xml:space="preserve"> the other </w:t>
      </w:r>
      <w:r w:rsidR="00B44571">
        <w:rPr>
          <w:rFonts w:cs="Arial"/>
          <w:lang w:val="en-US"/>
        </w:rPr>
        <w:t xml:space="preserve">adult </w:t>
      </w:r>
      <w:r>
        <w:rPr>
          <w:rFonts w:cs="Arial"/>
          <w:lang w:val="en-US"/>
        </w:rPr>
        <w:t>suspect exerted authority over that child</w:t>
      </w:r>
      <w:r w:rsidR="00B44571">
        <w:rPr>
          <w:rFonts w:cs="Arial"/>
          <w:lang w:val="en-US"/>
        </w:rPr>
        <w:t xml:space="preserve"> or the latter was</w:t>
      </w:r>
      <w:r w:rsidR="00D365B9">
        <w:rPr>
          <w:rFonts w:cs="Arial"/>
          <w:lang w:val="en-US"/>
        </w:rPr>
        <w:t xml:space="preserve"> under </w:t>
      </w:r>
      <w:r>
        <w:rPr>
          <w:rFonts w:cs="Arial"/>
          <w:lang w:val="en-US"/>
        </w:rPr>
        <w:t xml:space="preserve">duress. </w:t>
      </w:r>
      <w:r w:rsidR="00725FC0" w:rsidRPr="00E94AC5">
        <w:rPr>
          <w:rFonts w:cs="Arial"/>
          <w:lang w:val="en-US"/>
        </w:rPr>
        <w:t xml:space="preserve">  </w:t>
      </w:r>
    </w:p>
    <w:p w14:paraId="46E35119" w14:textId="1295D5CE" w:rsidR="008F1930" w:rsidRDefault="00BC35F1" w:rsidP="00E367A2">
      <w:pPr>
        <w:pStyle w:val="ListParagraph"/>
        <w:widowControl/>
        <w:numPr>
          <w:ilvl w:val="0"/>
          <w:numId w:val="22"/>
        </w:numPr>
        <w:tabs>
          <w:tab w:val="clear" w:pos="1418"/>
        </w:tabs>
        <w:adjustRightInd/>
        <w:spacing w:after="120"/>
        <w:ind w:left="1440" w:hanging="720"/>
        <w:rPr>
          <w:rFonts w:cs="Arial"/>
          <w:lang w:val="en-US"/>
        </w:rPr>
      </w:pPr>
      <w:r w:rsidRPr="007D1C47">
        <w:rPr>
          <w:rFonts w:cs="Arial"/>
          <w:lang w:val="en-US"/>
        </w:rPr>
        <w:t xml:space="preserve">There are safeguards to protect the interests of underage defendants in both prosecution and sentencing.  </w:t>
      </w:r>
    </w:p>
    <w:p w14:paraId="19AB0686" w14:textId="77777777" w:rsidR="00B03A00" w:rsidRDefault="00411EA1" w:rsidP="00E367A2">
      <w:pPr>
        <w:pStyle w:val="ListParagraph"/>
        <w:widowControl/>
        <w:numPr>
          <w:ilvl w:val="0"/>
          <w:numId w:val="22"/>
        </w:numPr>
        <w:tabs>
          <w:tab w:val="clear" w:pos="1418"/>
        </w:tabs>
        <w:adjustRightInd/>
        <w:ind w:left="1440" w:hanging="720"/>
        <w:rPr>
          <w:rFonts w:cs="Arial"/>
          <w:lang w:val="en-US"/>
        </w:rPr>
      </w:pPr>
      <w:r>
        <w:rPr>
          <w:rFonts w:cs="Arial"/>
          <w:lang w:val="en-US"/>
        </w:rPr>
        <w:t>This would provide better protection to children of parents under 16, a</w:t>
      </w:r>
      <w:r w:rsidR="008F1930">
        <w:rPr>
          <w:rFonts w:cs="Arial"/>
          <w:lang w:val="en-US"/>
        </w:rPr>
        <w:t>s it is not possible to charge parents under 16 for ill-treating and abusing their children under section 27 of the OAPO.</w:t>
      </w:r>
    </w:p>
    <w:p w14:paraId="5125FF5F" w14:textId="77777777" w:rsidR="00B03A00" w:rsidRPr="00B03A00" w:rsidRDefault="00B03A00" w:rsidP="00B03A00">
      <w:pPr>
        <w:pStyle w:val="ListParagraph"/>
        <w:rPr>
          <w:rFonts w:cs="Arial"/>
          <w:lang w:val="en-US"/>
        </w:rPr>
      </w:pPr>
    </w:p>
    <w:p w14:paraId="39C2BE4C" w14:textId="3E6EE316" w:rsidR="00B03A00" w:rsidRPr="00B03A00" w:rsidRDefault="00B1197A" w:rsidP="00D32C94">
      <w:pPr>
        <w:widowControl/>
        <w:tabs>
          <w:tab w:val="clear" w:pos="1418"/>
        </w:tabs>
        <w:adjustRightInd/>
        <w:rPr>
          <w:rFonts w:cs="Arial"/>
          <w:i/>
          <w:lang w:val="en-US"/>
        </w:rPr>
      </w:pPr>
      <w:r>
        <w:rPr>
          <w:rFonts w:cs="Arial"/>
          <w:lang w:val="en-US"/>
        </w:rPr>
        <w:t>20</w:t>
      </w:r>
      <w:r w:rsidR="00B03A00">
        <w:rPr>
          <w:rFonts w:cs="Arial"/>
          <w:lang w:val="en-US"/>
        </w:rPr>
        <w:t>.</w:t>
      </w:r>
      <w:r w:rsidR="00B03A00">
        <w:rPr>
          <w:rFonts w:cs="Arial"/>
          <w:lang w:val="en-US"/>
        </w:rPr>
        <w:tab/>
      </w:r>
      <w:r w:rsidR="00B03A00">
        <w:rPr>
          <w:rFonts w:cs="Arial"/>
          <w:lang w:val="en-US"/>
        </w:rPr>
        <w:tab/>
        <w:t xml:space="preserve">To ensure that a decision to prosecute an underage defendant under the proposed offence is cautiously made, we recommend </w:t>
      </w:r>
      <w:r w:rsidR="00451F43">
        <w:rPr>
          <w:rFonts w:cs="Arial"/>
          <w:lang w:val="en-US"/>
        </w:rPr>
        <w:t>requiring</w:t>
      </w:r>
      <w:r w:rsidR="00B03A00">
        <w:rPr>
          <w:rFonts w:cs="Arial"/>
          <w:lang w:val="en-US"/>
        </w:rPr>
        <w:t xml:space="preserve"> </w:t>
      </w:r>
      <w:r w:rsidR="009A3086" w:rsidRPr="009A3086">
        <w:rPr>
          <w:rFonts w:cs="Arial"/>
          <w:lang w:val="en-US"/>
        </w:rPr>
        <w:t>the consent of the Secretary for Justice to prosecute</w:t>
      </w:r>
      <w:r w:rsidR="009A3086">
        <w:rPr>
          <w:rFonts w:cs="Arial"/>
          <w:lang w:val="en-US"/>
        </w:rPr>
        <w:t>.</w:t>
      </w:r>
    </w:p>
    <w:p w14:paraId="7F0B3AD4" w14:textId="77777777" w:rsidR="00725FC0" w:rsidRDefault="00725FC0" w:rsidP="002F0EDE">
      <w:pPr>
        <w:widowControl/>
        <w:tabs>
          <w:tab w:val="clear" w:pos="1418"/>
        </w:tabs>
        <w:adjustRightInd/>
        <w:rPr>
          <w:rFonts w:cs="Arial"/>
          <w:lang w:val="en-US"/>
        </w:rPr>
      </w:pPr>
      <w:r>
        <w:rPr>
          <w:rFonts w:cs="Arial"/>
          <w:lang w:val="en-US"/>
        </w:rPr>
        <w:t xml:space="preserve"> </w:t>
      </w:r>
    </w:p>
    <w:p w14:paraId="6CDCD352" w14:textId="77777777" w:rsidR="00BF3CE9" w:rsidRDefault="00586DED" w:rsidP="002F0EDE">
      <w:pPr>
        <w:widowControl/>
        <w:tabs>
          <w:tab w:val="clear" w:pos="1418"/>
        </w:tabs>
        <w:adjustRightInd/>
        <w:rPr>
          <w:rFonts w:cs="Arial"/>
          <w:lang w:val="en-US"/>
        </w:rPr>
      </w:pPr>
      <w:r>
        <w:rPr>
          <w:rFonts w:cs="Arial"/>
          <w:lang w:val="en-US"/>
        </w:rPr>
        <w:t>2</w:t>
      </w:r>
      <w:r w:rsidR="00B1197A">
        <w:rPr>
          <w:rFonts w:cs="Arial"/>
          <w:lang w:val="en-US"/>
        </w:rPr>
        <w:t>1</w:t>
      </w:r>
      <w:r>
        <w:rPr>
          <w:rFonts w:cs="Arial"/>
          <w:lang w:val="en-US"/>
        </w:rPr>
        <w:t>.</w:t>
      </w:r>
      <w:r w:rsidR="00CB741C">
        <w:rPr>
          <w:rFonts w:cs="Arial"/>
          <w:lang w:val="en-US"/>
        </w:rPr>
        <w:tab/>
      </w:r>
      <w:r w:rsidR="00CB741C">
        <w:rPr>
          <w:rFonts w:cs="Arial"/>
          <w:lang w:val="en-US"/>
        </w:rPr>
        <w:tab/>
        <w:t xml:space="preserve">For the above reasons, </w:t>
      </w:r>
      <w:r w:rsidR="00BB686B">
        <w:rPr>
          <w:rFonts w:cs="Arial"/>
          <w:lang w:val="en-US"/>
        </w:rPr>
        <w:t>o</w:t>
      </w:r>
      <w:r w:rsidR="00CB741C">
        <w:rPr>
          <w:rFonts w:cs="Arial"/>
          <w:lang w:val="en-US"/>
        </w:rPr>
        <w:t xml:space="preserve">ur </w:t>
      </w:r>
      <w:r w:rsidR="00CB741C" w:rsidRPr="00714C69">
        <w:rPr>
          <w:rFonts w:cs="Arial"/>
          <w:b/>
          <w:lang w:val="en-US"/>
        </w:rPr>
        <w:t>Final Recommendation 7</w:t>
      </w:r>
      <w:r w:rsidR="00CB741C">
        <w:rPr>
          <w:rFonts w:cs="Arial"/>
          <w:lang w:val="en-US"/>
        </w:rPr>
        <w:t xml:space="preserve"> is</w:t>
      </w:r>
      <w:r w:rsidR="00BB686B">
        <w:rPr>
          <w:rFonts w:cs="Arial"/>
          <w:lang w:val="en-US"/>
        </w:rPr>
        <w:t xml:space="preserve"> as follows</w:t>
      </w:r>
      <w:r w:rsidR="00CB741C">
        <w:rPr>
          <w:rFonts w:cs="Arial"/>
          <w:lang w:val="en-US"/>
        </w:rPr>
        <w:t xml:space="preserve">: </w:t>
      </w:r>
      <w:r>
        <w:rPr>
          <w:rFonts w:cs="Arial"/>
          <w:lang w:val="en-US"/>
        </w:rPr>
        <w:tab/>
      </w:r>
      <w:r>
        <w:rPr>
          <w:rFonts w:cs="Arial"/>
          <w:lang w:val="en-US"/>
        </w:rPr>
        <w:tab/>
      </w:r>
    </w:p>
    <w:p w14:paraId="6EA3D7D0" w14:textId="77777777" w:rsidR="00BF3CE9" w:rsidRDefault="00BF3CE9" w:rsidP="002F0EDE">
      <w:pPr>
        <w:widowControl/>
        <w:tabs>
          <w:tab w:val="clear" w:pos="1418"/>
        </w:tabs>
        <w:adjustRightInd/>
        <w:rPr>
          <w:rFonts w:cs="Arial"/>
          <w:lang w:val="en-US"/>
        </w:rPr>
      </w:pPr>
    </w:p>
    <w:p w14:paraId="1E9B3D7A" w14:textId="77777777" w:rsidR="002F0EDE" w:rsidRPr="0063110D" w:rsidRDefault="00BF3CE9" w:rsidP="00E367A2">
      <w:pPr>
        <w:widowControl/>
        <w:tabs>
          <w:tab w:val="clear" w:pos="1418"/>
        </w:tabs>
        <w:adjustRightInd/>
        <w:ind w:left="720" w:right="720"/>
        <w:rPr>
          <w:rFonts w:cs="Arial"/>
          <w:i/>
          <w:lang w:val="en-US"/>
        </w:rPr>
      </w:pPr>
      <w:r w:rsidRPr="0063110D">
        <w:rPr>
          <w:rFonts w:cs="Arial"/>
          <w:i/>
          <w:lang w:val="en-US"/>
        </w:rPr>
        <w:t>“</w:t>
      </w:r>
      <w:r w:rsidR="002F0EDE" w:rsidRPr="0063110D">
        <w:rPr>
          <w:rFonts w:cs="Arial"/>
          <w:i/>
          <w:lang w:val="en-US"/>
        </w:rPr>
        <w:t>We recommend that no specific minimum age for the defendant should be stipulated in the proposed offence, in line with the approach in section 14 of the Criminal Law Consolidation Act 1935 in South Australia (as amended in 2005).</w:t>
      </w:r>
    </w:p>
    <w:p w14:paraId="44922EFD" w14:textId="77777777" w:rsidR="002F0EDE" w:rsidRPr="0063110D" w:rsidRDefault="002F0EDE" w:rsidP="00E367A2">
      <w:pPr>
        <w:widowControl/>
        <w:tabs>
          <w:tab w:val="clear" w:pos="1418"/>
        </w:tabs>
        <w:adjustRightInd/>
        <w:ind w:left="720" w:right="720"/>
        <w:rPr>
          <w:rFonts w:cs="Arial"/>
          <w:i/>
          <w:lang w:val="en-US"/>
        </w:rPr>
      </w:pPr>
    </w:p>
    <w:p w14:paraId="37216632" w14:textId="77777777" w:rsidR="002F0EDE" w:rsidRPr="0063110D" w:rsidRDefault="002F0EDE" w:rsidP="00E367A2">
      <w:pPr>
        <w:widowControl/>
        <w:tabs>
          <w:tab w:val="clear" w:pos="1418"/>
        </w:tabs>
        <w:adjustRightInd/>
        <w:ind w:left="720" w:right="720"/>
        <w:rPr>
          <w:rFonts w:cs="Arial"/>
          <w:i/>
          <w:lang w:val="en-US"/>
        </w:rPr>
      </w:pPr>
      <w:r w:rsidRPr="0063110D">
        <w:rPr>
          <w:rFonts w:cs="Arial"/>
          <w:i/>
          <w:lang w:val="en-US"/>
        </w:rPr>
        <w:t>We recommend that the consent of the Secretary for Justice to prosecute under the proposed offence is required.</w:t>
      </w:r>
      <w:r w:rsidR="003D72AE">
        <w:rPr>
          <w:rFonts w:cs="Arial"/>
          <w:i/>
          <w:lang w:val="en-US"/>
        </w:rPr>
        <w:t>”</w:t>
      </w:r>
      <w:r w:rsidR="008731AE" w:rsidRPr="001F2C62">
        <w:rPr>
          <w:bCs/>
          <w:color w:val="000000"/>
          <w:vertAlign w:val="superscript"/>
        </w:rPr>
        <w:footnoteReference w:id="8"/>
      </w:r>
    </w:p>
    <w:p w14:paraId="175A4E2E" w14:textId="77777777" w:rsidR="002F0EDE" w:rsidRDefault="002F0EDE" w:rsidP="002F0EDE">
      <w:pPr>
        <w:widowControl/>
        <w:tabs>
          <w:tab w:val="clear" w:pos="1418"/>
        </w:tabs>
        <w:adjustRightInd/>
        <w:rPr>
          <w:rFonts w:cs="Arial"/>
          <w:lang w:val="en-US"/>
        </w:rPr>
      </w:pPr>
    </w:p>
    <w:p w14:paraId="7E75EF28" w14:textId="77777777" w:rsidR="002F0EDE" w:rsidRPr="002F0EDE" w:rsidRDefault="002F0EDE" w:rsidP="002F0EDE">
      <w:pPr>
        <w:widowControl/>
        <w:tabs>
          <w:tab w:val="clear" w:pos="1418"/>
        </w:tabs>
        <w:adjustRightInd/>
        <w:rPr>
          <w:rFonts w:cs="Arial"/>
          <w:lang w:val="en-US"/>
        </w:rPr>
      </w:pPr>
    </w:p>
    <w:p w14:paraId="0D64D76E" w14:textId="77777777" w:rsidR="00E93CA8" w:rsidRPr="00202346" w:rsidRDefault="00E93CA8" w:rsidP="002F0EDE">
      <w:pPr>
        <w:widowControl/>
        <w:tabs>
          <w:tab w:val="clear" w:pos="1418"/>
        </w:tabs>
        <w:adjustRightInd/>
        <w:rPr>
          <w:b/>
          <w:sz w:val="28"/>
          <w:szCs w:val="28"/>
          <w:lang w:val="en-US"/>
        </w:rPr>
      </w:pPr>
      <w:r w:rsidRPr="00202346">
        <w:rPr>
          <w:b/>
          <w:sz w:val="28"/>
          <w:szCs w:val="28"/>
          <w:lang w:val="en-US"/>
        </w:rPr>
        <w:t>Chapter 6: The operation of the proposed offence</w:t>
      </w:r>
    </w:p>
    <w:p w14:paraId="70A96136" w14:textId="77777777" w:rsidR="00E93CA8" w:rsidRDefault="00E93CA8" w:rsidP="002F0EDE">
      <w:pPr>
        <w:widowControl/>
        <w:tabs>
          <w:tab w:val="clear" w:pos="1418"/>
        </w:tabs>
        <w:adjustRightInd/>
        <w:rPr>
          <w:rFonts w:cs="Arial"/>
          <w:b/>
          <w:lang w:val="en-US"/>
        </w:rPr>
      </w:pPr>
    </w:p>
    <w:p w14:paraId="2D03550C" w14:textId="77777777" w:rsidR="002F0EDE" w:rsidRPr="00B8789F" w:rsidRDefault="00645565" w:rsidP="002F0EDE">
      <w:pPr>
        <w:widowControl/>
        <w:tabs>
          <w:tab w:val="clear" w:pos="1418"/>
        </w:tabs>
        <w:adjustRightInd/>
        <w:rPr>
          <w:rFonts w:cs="Arial"/>
          <w:b/>
          <w:i/>
          <w:lang w:val="en-US"/>
        </w:rPr>
      </w:pPr>
      <w:r>
        <w:rPr>
          <w:rFonts w:cs="Arial"/>
          <w:b/>
          <w:i/>
          <w:lang w:val="en-US"/>
        </w:rPr>
        <w:t>U</w:t>
      </w:r>
      <w:r w:rsidR="006A4E42">
        <w:rPr>
          <w:rFonts w:cs="Arial"/>
          <w:b/>
          <w:i/>
          <w:lang w:val="en-US"/>
        </w:rPr>
        <w:t>nlawful act or neglect</w:t>
      </w:r>
      <w:r>
        <w:rPr>
          <w:rFonts w:cs="Arial"/>
          <w:b/>
          <w:i/>
          <w:lang w:val="en-US"/>
        </w:rPr>
        <w:t xml:space="preserve"> of </w:t>
      </w:r>
      <w:r w:rsidR="00FA3244">
        <w:rPr>
          <w:rFonts w:cs="Arial"/>
          <w:b/>
          <w:i/>
          <w:lang w:val="en-US"/>
        </w:rPr>
        <w:t>abuser</w:t>
      </w:r>
    </w:p>
    <w:p w14:paraId="73E26DB8" w14:textId="77777777" w:rsidR="002F0EDE" w:rsidRPr="002F0EDE" w:rsidRDefault="002F0EDE" w:rsidP="002F0EDE">
      <w:pPr>
        <w:widowControl/>
        <w:tabs>
          <w:tab w:val="clear" w:pos="1418"/>
        </w:tabs>
        <w:adjustRightInd/>
        <w:rPr>
          <w:rFonts w:cs="Arial"/>
          <w:lang w:val="en-US"/>
        </w:rPr>
      </w:pPr>
    </w:p>
    <w:p w14:paraId="50982D2B" w14:textId="1E1EA897" w:rsidR="00C43B04" w:rsidRDefault="00C43B04" w:rsidP="002F0EDE">
      <w:pPr>
        <w:widowControl/>
        <w:tabs>
          <w:tab w:val="clear" w:pos="1418"/>
        </w:tabs>
        <w:adjustRightInd/>
        <w:rPr>
          <w:rFonts w:cs="Arial"/>
          <w:lang w:val="en-US"/>
        </w:rPr>
      </w:pPr>
      <w:r>
        <w:rPr>
          <w:rFonts w:cs="Arial"/>
          <w:lang w:val="en-US"/>
        </w:rPr>
        <w:t>2</w:t>
      </w:r>
      <w:r w:rsidR="00B1197A">
        <w:rPr>
          <w:rFonts w:cs="Arial"/>
          <w:lang w:val="en-US"/>
        </w:rPr>
        <w:t>2</w:t>
      </w:r>
      <w:r>
        <w:rPr>
          <w:rFonts w:cs="Arial"/>
          <w:lang w:val="en-US"/>
        </w:rPr>
        <w:t>.</w:t>
      </w:r>
      <w:r w:rsidR="006100D1">
        <w:rPr>
          <w:rFonts w:cs="Arial"/>
          <w:lang w:val="en-US"/>
        </w:rPr>
        <w:tab/>
      </w:r>
      <w:r w:rsidR="006100D1">
        <w:rPr>
          <w:rFonts w:cs="Arial"/>
          <w:lang w:val="en-US"/>
        </w:rPr>
        <w:tab/>
      </w:r>
      <w:r w:rsidR="00320609">
        <w:rPr>
          <w:rFonts w:cs="Arial"/>
          <w:lang w:val="en-US"/>
        </w:rPr>
        <w:t>Recommendation 8</w:t>
      </w:r>
      <w:r w:rsidR="00645565">
        <w:rPr>
          <w:rFonts w:cs="Arial"/>
          <w:lang w:val="en-US"/>
        </w:rPr>
        <w:t>(a)</w:t>
      </w:r>
      <w:r w:rsidR="00320609">
        <w:rPr>
          <w:rFonts w:cs="Arial"/>
          <w:lang w:val="en-US"/>
        </w:rPr>
        <w:t xml:space="preserve"> in the CP </w:t>
      </w:r>
      <w:r w:rsidR="00D535E5">
        <w:rPr>
          <w:rFonts w:cs="Arial"/>
          <w:lang w:val="en-US"/>
        </w:rPr>
        <w:t>recommends that the</w:t>
      </w:r>
      <w:r w:rsidR="00320609">
        <w:rPr>
          <w:rFonts w:cs="Arial"/>
          <w:lang w:val="en-US"/>
        </w:rPr>
        <w:t xml:space="preserve"> proposed offence </w:t>
      </w:r>
      <w:r w:rsidR="00D535E5">
        <w:rPr>
          <w:rFonts w:cs="Arial"/>
          <w:lang w:val="en-US"/>
        </w:rPr>
        <w:t xml:space="preserve">should apply </w:t>
      </w:r>
      <w:r w:rsidR="003347D4">
        <w:rPr>
          <w:rFonts w:cs="Arial"/>
          <w:lang w:val="en-US"/>
        </w:rPr>
        <w:t>whe</w:t>
      </w:r>
      <w:r w:rsidR="00D6485F">
        <w:rPr>
          <w:rFonts w:cs="Arial"/>
          <w:lang w:val="en-US"/>
        </w:rPr>
        <w:t>re</w:t>
      </w:r>
      <w:r w:rsidR="00320609">
        <w:rPr>
          <w:rFonts w:cs="Arial"/>
          <w:lang w:val="en-US"/>
        </w:rPr>
        <w:t xml:space="preserve"> </w:t>
      </w:r>
      <w:r w:rsidR="00122A20">
        <w:rPr>
          <w:rFonts w:cs="Arial"/>
          <w:lang w:val="en-US"/>
        </w:rPr>
        <w:t>a</w:t>
      </w:r>
      <w:r w:rsidR="00320609">
        <w:rPr>
          <w:rFonts w:cs="Arial"/>
          <w:lang w:val="en-US"/>
        </w:rPr>
        <w:t xml:space="preserve"> victim dies or suffers serious harm as a result of </w:t>
      </w:r>
      <w:r w:rsidR="00D535E5" w:rsidRPr="00B8789F">
        <w:rPr>
          <w:rFonts w:cs="Arial"/>
          <w:i/>
          <w:lang w:val="en-US"/>
        </w:rPr>
        <w:t>“</w:t>
      </w:r>
      <w:r w:rsidR="00320609" w:rsidRPr="00B8789F">
        <w:rPr>
          <w:rFonts w:cs="Arial"/>
          <w:i/>
          <w:lang w:val="en-US"/>
        </w:rPr>
        <w:t>an unlawful act or neglect</w:t>
      </w:r>
      <w:r w:rsidR="00D535E5" w:rsidRPr="00B8789F">
        <w:rPr>
          <w:rFonts w:cs="Arial"/>
          <w:i/>
          <w:lang w:val="en-US"/>
        </w:rPr>
        <w:t>”</w:t>
      </w:r>
      <w:r w:rsidR="00320609">
        <w:rPr>
          <w:rFonts w:cs="Arial"/>
          <w:lang w:val="en-US"/>
        </w:rPr>
        <w:t xml:space="preserve">.  </w:t>
      </w:r>
      <w:r w:rsidR="00BE4018">
        <w:rPr>
          <w:rFonts w:cs="Arial"/>
          <w:lang w:val="en-US"/>
        </w:rPr>
        <w:t xml:space="preserve">All but one of </w:t>
      </w:r>
      <w:r w:rsidR="003A0E9A">
        <w:rPr>
          <w:rFonts w:cs="Arial"/>
          <w:lang w:val="en-US"/>
        </w:rPr>
        <w:t xml:space="preserve">the </w:t>
      </w:r>
      <w:r w:rsidR="00065D63">
        <w:rPr>
          <w:rFonts w:cs="Arial"/>
          <w:lang w:val="en-US"/>
        </w:rPr>
        <w:t xml:space="preserve">Respondents who have indicated their stance </w:t>
      </w:r>
      <w:r w:rsidR="00BE4018">
        <w:rPr>
          <w:rFonts w:cs="Arial"/>
          <w:lang w:val="en-US"/>
        </w:rPr>
        <w:t>support</w:t>
      </w:r>
      <w:r w:rsidR="00065D63">
        <w:rPr>
          <w:rFonts w:cs="Arial"/>
          <w:lang w:val="en-US"/>
        </w:rPr>
        <w:t xml:space="preserve"> </w:t>
      </w:r>
      <w:r w:rsidR="00645565">
        <w:rPr>
          <w:rFonts w:cs="Arial"/>
          <w:lang w:val="en-US"/>
        </w:rPr>
        <w:t xml:space="preserve">this </w:t>
      </w:r>
      <w:r w:rsidR="000F4FF1">
        <w:rPr>
          <w:rFonts w:cs="Arial"/>
          <w:lang w:val="en-US"/>
        </w:rPr>
        <w:t>r</w:t>
      </w:r>
      <w:r w:rsidR="00065D63">
        <w:rPr>
          <w:rFonts w:cs="Arial"/>
          <w:lang w:val="en-US"/>
        </w:rPr>
        <w:t>ecommendation</w:t>
      </w:r>
      <w:r w:rsidR="0005778D">
        <w:rPr>
          <w:rFonts w:cs="Arial"/>
          <w:lang w:val="en-US"/>
        </w:rPr>
        <w:t xml:space="preserve"> </w:t>
      </w:r>
      <w:r w:rsidR="00645565">
        <w:rPr>
          <w:rFonts w:cs="Arial"/>
          <w:lang w:val="en-US"/>
        </w:rPr>
        <w:t xml:space="preserve">because </w:t>
      </w:r>
      <w:r w:rsidR="00065D63">
        <w:rPr>
          <w:rFonts w:cs="Arial"/>
          <w:lang w:val="en-US"/>
        </w:rPr>
        <w:t>add</w:t>
      </w:r>
      <w:r w:rsidR="00645565">
        <w:rPr>
          <w:rFonts w:cs="Arial"/>
          <w:lang w:val="en-US"/>
        </w:rPr>
        <w:t>ing</w:t>
      </w:r>
      <w:r w:rsidR="00065D63">
        <w:rPr>
          <w:rFonts w:cs="Arial"/>
          <w:lang w:val="en-US"/>
        </w:rPr>
        <w:t xml:space="preserve"> the words </w:t>
      </w:r>
      <w:r w:rsidR="00065D63" w:rsidRPr="00065D63">
        <w:rPr>
          <w:rFonts w:cs="Arial"/>
          <w:i/>
          <w:lang w:val="en-US"/>
        </w:rPr>
        <w:t>“or neglect”</w:t>
      </w:r>
      <w:r w:rsidR="00065D63">
        <w:rPr>
          <w:rFonts w:cs="Arial"/>
          <w:lang w:val="en-US"/>
        </w:rPr>
        <w:t xml:space="preserve"> </w:t>
      </w:r>
      <w:r w:rsidR="006A4E42">
        <w:rPr>
          <w:rFonts w:cs="Arial"/>
          <w:lang w:val="en-US"/>
        </w:rPr>
        <w:t xml:space="preserve">after </w:t>
      </w:r>
      <w:r w:rsidR="006A4E42" w:rsidRPr="006A4E42">
        <w:rPr>
          <w:rFonts w:cs="Arial"/>
          <w:i/>
          <w:lang w:val="en-US"/>
        </w:rPr>
        <w:t>“unlawful act”</w:t>
      </w:r>
      <w:r w:rsidR="006A4E42">
        <w:rPr>
          <w:rFonts w:cs="Arial"/>
          <w:lang w:val="en-US"/>
        </w:rPr>
        <w:t xml:space="preserve"> </w:t>
      </w:r>
      <w:r w:rsidR="00065D63">
        <w:rPr>
          <w:rFonts w:cs="Arial"/>
          <w:lang w:val="en-US"/>
        </w:rPr>
        <w:t xml:space="preserve">would enable the proposed offence to apply where the serious harm to the victim is caused by </w:t>
      </w:r>
      <w:r w:rsidR="00FA3244">
        <w:rPr>
          <w:rFonts w:cs="Arial"/>
          <w:lang w:val="en-US"/>
        </w:rPr>
        <w:t>an abuser’s</w:t>
      </w:r>
      <w:r w:rsidR="00065D63">
        <w:rPr>
          <w:rFonts w:cs="Arial"/>
          <w:lang w:val="en-US"/>
        </w:rPr>
        <w:t xml:space="preserve"> </w:t>
      </w:r>
      <w:r w:rsidR="00065D63" w:rsidRPr="00B97293">
        <w:rPr>
          <w:rFonts w:cs="Arial"/>
          <w:i/>
          <w:lang w:val="en-US"/>
        </w:rPr>
        <w:t>“neglect”</w:t>
      </w:r>
      <w:r w:rsidR="00065D63">
        <w:rPr>
          <w:rFonts w:cs="Arial"/>
          <w:lang w:val="en-US"/>
        </w:rPr>
        <w:t xml:space="preserve">, which may not constitute an </w:t>
      </w:r>
      <w:r w:rsidR="00065D63" w:rsidRPr="00B97293">
        <w:rPr>
          <w:rFonts w:cs="Arial"/>
          <w:i/>
          <w:lang w:val="en-US"/>
        </w:rPr>
        <w:t>“unlawful act”</w:t>
      </w:r>
      <w:r w:rsidR="00065D63">
        <w:rPr>
          <w:rFonts w:cs="Arial"/>
          <w:lang w:val="en-US"/>
        </w:rPr>
        <w:t xml:space="preserve"> under the existing laws.</w:t>
      </w:r>
      <w:r w:rsidR="003A0E9A">
        <w:rPr>
          <w:rFonts w:cs="Arial"/>
          <w:lang w:val="en-US"/>
        </w:rPr>
        <w:t xml:space="preserve"> </w:t>
      </w:r>
      <w:r w:rsidR="00535222">
        <w:rPr>
          <w:rFonts w:cs="Arial"/>
          <w:lang w:val="en-US"/>
        </w:rPr>
        <w:t xml:space="preserve"> To assist frontline care personnel in understanding the </w:t>
      </w:r>
      <w:r w:rsidR="00762D70">
        <w:rPr>
          <w:rFonts w:cs="Arial"/>
          <w:lang w:val="en-US"/>
        </w:rPr>
        <w:t xml:space="preserve">scope of </w:t>
      </w:r>
      <w:r w:rsidR="00762D70" w:rsidRPr="00762D70">
        <w:rPr>
          <w:rFonts w:cs="Arial"/>
          <w:i/>
          <w:lang w:val="en-US"/>
        </w:rPr>
        <w:t>“neglect”</w:t>
      </w:r>
      <w:r w:rsidR="00535222">
        <w:rPr>
          <w:rFonts w:cs="Arial"/>
          <w:lang w:val="en-US"/>
        </w:rPr>
        <w:t>, guidelines may be issued by stakeholders to set out the standard for neglect.</w:t>
      </w:r>
      <w:r w:rsidR="00094699">
        <w:rPr>
          <w:rFonts w:cs="Arial"/>
          <w:lang w:val="en-US"/>
        </w:rPr>
        <w:t xml:space="preserve">  </w:t>
      </w:r>
      <w:r w:rsidR="003A0E9A">
        <w:rPr>
          <w:rFonts w:cs="Arial"/>
          <w:lang w:val="en-US"/>
        </w:rPr>
        <w:t>For Recommendation 8(b)</w:t>
      </w:r>
      <w:r w:rsidR="00BE4018">
        <w:rPr>
          <w:rFonts w:cs="Arial"/>
          <w:lang w:val="en-US"/>
        </w:rPr>
        <w:t xml:space="preserve"> in the CP</w:t>
      </w:r>
      <w:r w:rsidR="003A0E9A">
        <w:rPr>
          <w:rFonts w:cs="Arial"/>
          <w:lang w:val="en-US"/>
        </w:rPr>
        <w:t xml:space="preserve">, all the Respondents who have </w:t>
      </w:r>
      <w:r w:rsidR="00466C65">
        <w:rPr>
          <w:rFonts w:cs="Arial"/>
          <w:lang w:val="en-US"/>
        </w:rPr>
        <w:t xml:space="preserve">expressly </w:t>
      </w:r>
      <w:r w:rsidR="003A0E9A">
        <w:rPr>
          <w:rFonts w:cs="Arial"/>
          <w:lang w:val="en-US"/>
        </w:rPr>
        <w:t xml:space="preserve">indicated their stance support </w:t>
      </w:r>
      <w:r w:rsidR="003C77E0">
        <w:rPr>
          <w:rFonts w:cs="Arial"/>
          <w:lang w:val="en-US"/>
        </w:rPr>
        <w:t>adopting</w:t>
      </w:r>
      <w:r w:rsidR="003C77E0" w:rsidRPr="00367D10">
        <w:rPr>
          <w:rFonts w:cs="Arial"/>
          <w:lang w:val="en-US"/>
        </w:rPr>
        <w:t xml:space="preserve"> </w:t>
      </w:r>
      <w:r w:rsidR="003C77E0" w:rsidRPr="00B8789F">
        <w:rPr>
          <w:rFonts w:cs="Arial"/>
          <w:i/>
          <w:lang w:val="en-US"/>
        </w:rPr>
        <w:t>“a person of full legal capacity”</w:t>
      </w:r>
      <w:r w:rsidR="000D1FDE" w:rsidRPr="008E263F">
        <w:rPr>
          <w:rFonts w:cs="Arial"/>
          <w:i/>
          <w:lang w:val="en-US"/>
        </w:rPr>
        <w:t>.</w:t>
      </w:r>
      <w:r w:rsidR="00094699">
        <w:rPr>
          <w:rFonts w:cs="Arial"/>
          <w:i/>
          <w:lang w:val="en-US"/>
        </w:rPr>
        <w:t xml:space="preserve">  </w:t>
      </w:r>
      <w:r w:rsidR="001E260A" w:rsidRPr="001E260A">
        <w:rPr>
          <w:rFonts w:cs="Arial"/>
          <w:lang w:val="en-US"/>
        </w:rPr>
        <w:t xml:space="preserve">The proposed definition of </w:t>
      </w:r>
      <w:r w:rsidR="001E260A" w:rsidRPr="00094699">
        <w:rPr>
          <w:rFonts w:cs="Arial"/>
          <w:i/>
          <w:lang w:val="en-US"/>
        </w:rPr>
        <w:t xml:space="preserve">"unlawful act" </w:t>
      </w:r>
      <w:r w:rsidR="001E260A" w:rsidRPr="001E260A">
        <w:rPr>
          <w:rFonts w:cs="Arial"/>
          <w:lang w:val="en-US"/>
        </w:rPr>
        <w:t xml:space="preserve">in section </w:t>
      </w:r>
      <w:proofErr w:type="gramStart"/>
      <w:r w:rsidR="001E260A" w:rsidRPr="001E260A">
        <w:rPr>
          <w:rFonts w:cs="Arial"/>
          <w:lang w:val="en-US"/>
        </w:rPr>
        <w:t>25A(</w:t>
      </w:r>
      <w:proofErr w:type="gramEnd"/>
      <w:r w:rsidR="001E260A" w:rsidRPr="001E260A">
        <w:rPr>
          <w:rFonts w:cs="Arial"/>
          <w:lang w:val="en-US"/>
        </w:rPr>
        <w:t>6) would cover acts committed by persons of 10 to 18 years of age</w:t>
      </w:r>
      <w:r w:rsidR="001E260A">
        <w:rPr>
          <w:rFonts w:cs="Arial"/>
          <w:lang w:val="en-US"/>
        </w:rPr>
        <w:t xml:space="preserve">.  </w:t>
      </w:r>
      <w:r w:rsidR="00535222">
        <w:rPr>
          <w:rFonts w:cs="Arial"/>
          <w:lang w:val="en-US"/>
        </w:rPr>
        <w:t>We therefore</w:t>
      </w:r>
      <w:r w:rsidR="00466C65">
        <w:rPr>
          <w:rFonts w:cs="Arial"/>
          <w:lang w:val="en-US"/>
        </w:rPr>
        <w:t xml:space="preserve"> recommend </w:t>
      </w:r>
      <w:r w:rsidR="00535222">
        <w:rPr>
          <w:rFonts w:cs="Arial"/>
          <w:lang w:val="en-US"/>
        </w:rPr>
        <w:t>retain</w:t>
      </w:r>
      <w:r w:rsidR="00466C65">
        <w:rPr>
          <w:rFonts w:cs="Arial"/>
          <w:lang w:val="en-US"/>
        </w:rPr>
        <w:t>ing</w:t>
      </w:r>
      <w:r w:rsidR="00535222">
        <w:rPr>
          <w:rFonts w:cs="Arial"/>
          <w:lang w:val="en-US"/>
        </w:rPr>
        <w:t xml:space="preserve"> Recommendation 8</w:t>
      </w:r>
      <w:r w:rsidR="00714C69">
        <w:rPr>
          <w:rFonts w:cs="Arial"/>
          <w:lang w:val="en-US"/>
        </w:rPr>
        <w:t>(a)</w:t>
      </w:r>
      <w:r w:rsidR="00535222">
        <w:rPr>
          <w:rFonts w:cs="Arial"/>
          <w:lang w:val="en-US"/>
        </w:rPr>
        <w:t xml:space="preserve"> </w:t>
      </w:r>
      <w:r w:rsidR="00714C69">
        <w:rPr>
          <w:rFonts w:cs="Arial"/>
          <w:lang w:val="en-US"/>
        </w:rPr>
        <w:t xml:space="preserve">and (b) </w:t>
      </w:r>
      <w:r w:rsidR="00D6485F">
        <w:rPr>
          <w:rFonts w:cs="Arial"/>
          <w:lang w:val="en-US"/>
        </w:rPr>
        <w:t xml:space="preserve">in the CP </w:t>
      </w:r>
      <w:r w:rsidR="00313ED2">
        <w:rPr>
          <w:rFonts w:cs="Arial"/>
          <w:lang w:val="en-US"/>
        </w:rPr>
        <w:t>as</w:t>
      </w:r>
      <w:r w:rsidR="00535222">
        <w:rPr>
          <w:rFonts w:cs="Arial"/>
          <w:lang w:val="en-US"/>
        </w:rPr>
        <w:t xml:space="preserve"> o</w:t>
      </w:r>
      <w:r w:rsidR="003A0E9A">
        <w:rPr>
          <w:rFonts w:cs="Arial"/>
          <w:lang w:val="en-US"/>
        </w:rPr>
        <w:t xml:space="preserve">ur </w:t>
      </w:r>
      <w:r w:rsidR="003A0E9A" w:rsidRPr="00714C69">
        <w:rPr>
          <w:rFonts w:cs="Arial"/>
          <w:b/>
          <w:lang w:val="en-US"/>
        </w:rPr>
        <w:t>Final Recommendation 8</w:t>
      </w:r>
      <w:r w:rsidR="00535222">
        <w:rPr>
          <w:rFonts w:cs="Arial"/>
          <w:lang w:val="en-US"/>
        </w:rPr>
        <w:t>:</w:t>
      </w:r>
    </w:p>
    <w:p w14:paraId="04EDF267" w14:textId="77777777" w:rsidR="002F0EDE" w:rsidRPr="00C43B04" w:rsidRDefault="00C43B04" w:rsidP="00FC5074">
      <w:pPr>
        <w:widowControl/>
        <w:tabs>
          <w:tab w:val="clear" w:pos="1418"/>
        </w:tabs>
        <w:adjustRightInd/>
        <w:ind w:left="720" w:right="720"/>
        <w:rPr>
          <w:rFonts w:cs="Arial"/>
          <w:i/>
          <w:lang w:val="en-US"/>
        </w:rPr>
      </w:pPr>
      <w:r w:rsidRPr="00C43B04">
        <w:rPr>
          <w:rFonts w:cs="Arial"/>
          <w:i/>
          <w:lang w:val="en-US"/>
        </w:rPr>
        <w:t>“</w:t>
      </w:r>
      <w:r w:rsidR="002F0EDE" w:rsidRPr="00C43B04">
        <w:rPr>
          <w:rFonts w:cs="Arial"/>
          <w:i/>
          <w:lang w:val="en-US"/>
        </w:rPr>
        <w:t xml:space="preserve">We recommend adopting in the proposed offence the concept of, and definitions relating to, </w:t>
      </w:r>
      <w:r>
        <w:rPr>
          <w:rFonts w:cs="Arial"/>
          <w:i/>
          <w:lang w:val="en-US"/>
        </w:rPr>
        <w:t>‘</w:t>
      </w:r>
      <w:r w:rsidR="002F0EDE" w:rsidRPr="00C43B04">
        <w:rPr>
          <w:rFonts w:cs="Arial"/>
          <w:i/>
          <w:iCs/>
          <w:lang w:val="en-US"/>
        </w:rPr>
        <w:t>unlawful act</w:t>
      </w:r>
      <w:r>
        <w:rPr>
          <w:rFonts w:cs="Arial"/>
          <w:i/>
          <w:iCs/>
          <w:lang w:val="en-US"/>
        </w:rPr>
        <w:t>’</w:t>
      </w:r>
      <w:r w:rsidR="002F0EDE" w:rsidRPr="00C43B04">
        <w:rPr>
          <w:rFonts w:cs="Arial"/>
          <w:i/>
          <w:lang w:val="en-US"/>
        </w:rPr>
        <w:t xml:space="preserve"> in section 14 of the Criminal Law Consolidation Act 1935 in South Australia (as amended in 2005), subject to the following amendments:</w:t>
      </w:r>
    </w:p>
    <w:p w14:paraId="3778FECF" w14:textId="77777777" w:rsidR="002F0EDE" w:rsidRPr="00C43B04" w:rsidRDefault="002F0EDE" w:rsidP="00FC5074">
      <w:pPr>
        <w:widowControl/>
        <w:tabs>
          <w:tab w:val="clear" w:pos="1418"/>
        </w:tabs>
        <w:adjustRightInd/>
        <w:ind w:left="1440" w:right="720" w:hanging="720"/>
        <w:rPr>
          <w:rFonts w:cs="Arial"/>
          <w:i/>
          <w:lang w:val="en-US"/>
        </w:rPr>
      </w:pPr>
    </w:p>
    <w:p w14:paraId="37D4172D" w14:textId="77777777" w:rsidR="002F0EDE" w:rsidRPr="00C43B04" w:rsidRDefault="002F0EDE" w:rsidP="00FC5074">
      <w:pPr>
        <w:widowControl/>
        <w:numPr>
          <w:ilvl w:val="0"/>
          <w:numId w:val="8"/>
        </w:numPr>
        <w:tabs>
          <w:tab w:val="clear" w:pos="1418"/>
        </w:tabs>
        <w:adjustRightInd/>
        <w:ind w:left="1440" w:right="720"/>
        <w:rPr>
          <w:rFonts w:cs="Arial"/>
          <w:i/>
          <w:lang w:val="en-US"/>
        </w:rPr>
      </w:pPr>
      <w:r w:rsidRPr="00C43B04">
        <w:rPr>
          <w:rFonts w:cs="Arial"/>
          <w:i/>
          <w:lang w:val="en-US"/>
        </w:rPr>
        <w:t xml:space="preserve">the addition of the words </w:t>
      </w:r>
      <w:r w:rsidR="00C43B04">
        <w:rPr>
          <w:rFonts w:cs="Arial"/>
          <w:i/>
          <w:lang w:val="en-US"/>
        </w:rPr>
        <w:t>‘</w:t>
      </w:r>
      <w:r w:rsidRPr="00C43B04">
        <w:rPr>
          <w:rFonts w:cs="Arial"/>
          <w:i/>
          <w:lang w:val="en-US"/>
        </w:rPr>
        <w:t>or neglect</w:t>
      </w:r>
      <w:r w:rsidR="00C43B04">
        <w:rPr>
          <w:rFonts w:cs="Arial"/>
          <w:i/>
          <w:lang w:val="en-US"/>
        </w:rPr>
        <w:t>’</w:t>
      </w:r>
      <w:r w:rsidRPr="00C43B04">
        <w:rPr>
          <w:rFonts w:cs="Arial"/>
          <w:i/>
          <w:lang w:val="en-US"/>
        </w:rPr>
        <w:t xml:space="preserve"> after </w:t>
      </w:r>
      <w:r w:rsidR="00C43B04">
        <w:rPr>
          <w:rFonts w:cs="Arial"/>
          <w:i/>
          <w:lang w:val="en-US"/>
        </w:rPr>
        <w:t>‘</w:t>
      </w:r>
      <w:r w:rsidRPr="00C43B04">
        <w:rPr>
          <w:rFonts w:cs="Arial"/>
          <w:i/>
          <w:lang w:val="en-US"/>
        </w:rPr>
        <w:t>unlawful act</w:t>
      </w:r>
      <w:r w:rsidR="00C43B04">
        <w:rPr>
          <w:rFonts w:cs="Arial"/>
          <w:i/>
          <w:lang w:val="en-US"/>
        </w:rPr>
        <w:t>’</w:t>
      </w:r>
      <w:r w:rsidRPr="00C43B04">
        <w:rPr>
          <w:rFonts w:cs="Arial"/>
          <w:i/>
          <w:lang w:val="en-US"/>
        </w:rPr>
        <w:t xml:space="preserve"> in the first sub-section of the proposed offence;</w:t>
      </w:r>
      <w:r w:rsidR="006247D7">
        <w:rPr>
          <w:vertAlign w:val="superscript"/>
        </w:rPr>
        <w:footnoteReference w:id="9"/>
      </w:r>
    </w:p>
    <w:p w14:paraId="5E89FA3A" w14:textId="77777777" w:rsidR="002F0EDE" w:rsidRPr="00C43B04" w:rsidRDefault="002F0EDE" w:rsidP="00FC5074">
      <w:pPr>
        <w:widowControl/>
        <w:tabs>
          <w:tab w:val="clear" w:pos="1418"/>
        </w:tabs>
        <w:adjustRightInd/>
        <w:ind w:left="1440" w:right="720" w:hanging="720"/>
        <w:rPr>
          <w:rFonts w:cs="Arial"/>
          <w:i/>
          <w:lang w:val="en-US"/>
        </w:rPr>
      </w:pPr>
    </w:p>
    <w:p w14:paraId="6E517DF3" w14:textId="77777777" w:rsidR="002F0EDE" w:rsidRPr="00C43B04" w:rsidRDefault="002F0EDE" w:rsidP="00FC5074">
      <w:pPr>
        <w:widowControl/>
        <w:numPr>
          <w:ilvl w:val="0"/>
          <w:numId w:val="8"/>
        </w:numPr>
        <w:tabs>
          <w:tab w:val="clear" w:pos="1418"/>
        </w:tabs>
        <w:adjustRightInd/>
        <w:ind w:left="1440" w:right="720"/>
        <w:rPr>
          <w:rFonts w:cs="Arial"/>
          <w:i/>
          <w:lang w:val="en-US"/>
        </w:rPr>
      </w:pPr>
      <w:proofErr w:type="gramStart"/>
      <w:r w:rsidRPr="00C43B04">
        <w:rPr>
          <w:rFonts w:cs="Arial"/>
          <w:i/>
          <w:lang w:val="en-US"/>
        </w:rPr>
        <w:t>the</w:t>
      </w:r>
      <w:proofErr w:type="gramEnd"/>
      <w:r w:rsidRPr="00C43B04">
        <w:rPr>
          <w:rFonts w:cs="Arial"/>
          <w:i/>
          <w:lang w:val="en-US"/>
        </w:rPr>
        <w:t xml:space="preserve"> replacement of the phrase </w:t>
      </w:r>
      <w:r w:rsidR="00C43B04">
        <w:rPr>
          <w:rFonts w:cs="Arial"/>
          <w:i/>
          <w:lang w:val="en-US"/>
        </w:rPr>
        <w:t>‘</w:t>
      </w:r>
      <w:r w:rsidRPr="00C43B04">
        <w:rPr>
          <w:rFonts w:cs="Arial"/>
          <w:i/>
          <w:lang w:val="en-US"/>
        </w:rPr>
        <w:t>an adult of full legal capacity</w:t>
      </w:r>
      <w:r w:rsidR="00C43B04">
        <w:rPr>
          <w:rFonts w:cs="Arial"/>
          <w:i/>
          <w:lang w:val="en-US"/>
        </w:rPr>
        <w:t>’</w:t>
      </w:r>
      <w:r w:rsidRPr="00C43B04">
        <w:rPr>
          <w:rFonts w:cs="Arial"/>
          <w:i/>
          <w:lang w:val="en-US"/>
        </w:rPr>
        <w:t xml:space="preserve"> with </w:t>
      </w:r>
      <w:r w:rsidR="00C43B04">
        <w:rPr>
          <w:rFonts w:cs="Arial"/>
          <w:i/>
          <w:lang w:val="en-US"/>
        </w:rPr>
        <w:t>‘</w:t>
      </w:r>
      <w:r w:rsidRPr="00C43B04">
        <w:rPr>
          <w:rFonts w:cs="Arial"/>
          <w:i/>
          <w:lang w:val="en-US"/>
        </w:rPr>
        <w:t>a person of full legal capacity</w:t>
      </w:r>
      <w:r w:rsidR="00C43B04">
        <w:rPr>
          <w:rFonts w:cs="Arial"/>
          <w:i/>
          <w:lang w:val="en-US"/>
        </w:rPr>
        <w:t>’</w:t>
      </w:r>
      <w:r w:rsidRPr="00C43B04">
        <w:rPr>
          <w:rFonts w:cs="Arial"/>
          <w:i/>
          <w:lang w:val="en-US"/>
        </w:rPr>
        <w:t xml:space="preserve"> in the definition of an </w:t>
      </w:r>
      <w:r w:rsidR="00C43B04">
        <w:rPr>
          <w:rFonts w:cs="Arial"/>
          <w:i/>
          <w:lang w:val="en-US"/>
        </w:rPr>
        <w:t>‘</w:t>
      </w:r>
      <w:r w:rsidRPr="00C43B04">
        <w:rPr>
          <w:rFonts w:cs="Arial"/>
          <w:i/>
          <w:lang w:val="en-US"/>
        </w:rPr>
        <w:t>unlawful act</w:t>
      </w:r>
      <w:r w:rsidR="00C43B04">
        <w:rPr>
          <w:rFonts w:cs="Arial"/>
          <w:i/>
          <w:lang w:val="en-US"/>
        </w:rPr>
        <w:t>’</w:t>
      </w:r>
      <w:r w:rsidRPr="00C43B04">
        <w:rPr>
          <w:rFonts w:cs="Arial"/>
          <w:i/>
          <w:lang w:val="en-US"/>
        </w:rPr>
        <w:t>.</w:t>
      </w:r>
      <w:r w:rsidR="00E517CD">
        <w:rPr>
          <w:bCs/>
          <w:color w:val="000000"/>
          <w:vertAlign w:val="superscript"/>
        </w:rPr>
        <w:footnoteReference w:id="10"/>
      </w:r>
      <w:r w:rsidR="00C43B04" w:rsidRPr="00C43B04">
        <w:rPr>
          <w:rFonts w:cs="Arial"/>
          <w:i/>
          <w:lang w:val="en-US"/>
        </w:rPr>
        <w:t>”</w:t>
      </w:r>
    </w:p>
    <w:p w14:paraId="4759CF49" w14:textId="77777777" w:rsidR="002F0EDE" w:rsidRDefault="002F0EDE" w:rsidP="00207E96">
      <w:pPr>
        <w:widowControl/>
        <w:tabs>
          <w:tab w:val="clear" w:pos="1418"/>
        </w:tabs>
        <w:adjustRightInd/>
        <w:ind w:left="709" w:right="651"/>
        <w:rPr>
          <w:rFonts w:cs="Arial"/>
          <w:lang w:val="en-US"/>
        </w:rPr>
      </w:pPr>
    </w:p>
    <w:p w14:paraId="5B71EEAC" w14:textId="77777777" w:rsidR="002B5AD4" w:rsidRPr="002F0EDE" w:rsidRDefault="002B5AD4" w:rsidP="00207E96">
      <w:pPr>
        <w:widowControl/>
        <w:tabs>
          <w:tab w:val="clear" w:pos="1418"/>
        </w:tabs>
        <w:adjustRightInd/>
        <w:ind w:left="709" w:right="651"/>
        <w:rPr>
          <w:rFonts w:cs="Arial"/>
          <w:lang w:val="en-US"/>
        </w:rPr>
      </w:pPr>
    </w:p>
    <w:p w14:paraId="3CDE1D71" w14:textId="77777777" w:rsidR="006677F3" w:rsidRDefault="00AF2137" w:rsidP="006677F3">
      <w:pPr>
        <w:widowControl/>
        <w:tabs>
          <w:tab w:val="clear" w:pos="1418"/>
        </w:tabs>
        <w:adjustRightInd/>
        <w:rPr>
          <w:rFonts w:cs="Arial"/>
          <w:b/>
          <w:i/>
          <w:lang w:val="en-US"/>
        </w:rPr>
      </w:pPr>
      <w:r>
        <w:rPr>
          <w:rFonts w:cs="Arial"/>
          <w:b/>
          <w:i/>
          <w:lang w:val="en-US"/>
        </w:rPr>
        <w:t>“R</w:t>
      </w:r>
      <w:r w:rsidR="001066BB">
        <w:rPr>
          <w:rFonts w:cs="Arial"/>
          <w:b/>
          <w:i/>
          <w:lang w:val="en-US"/>
        </w:rPr>
        <w:t>isk</w:t>
      </w:r>
      <w:r>
        <w:rPr>
          <w:rFonts w:cs="Arial"/>
          <w:b/>
          <w:i/>
          <w:lang w:val="en-US"/>
        </w:rPr>
        <w:t>” of serious harm</w:t>
      </w:r>
      <w:r w:rsidR="00A71613">
        <w:rPr>
          <w:rFonts w:cs="Arial"/>
          <w:b/>
          <w:i/>
          <w:lang w:val="en-US"/>
        </w:rPr>
        <w:t>; not target accident</w:t>
      </w:r>
    </w:p>
    <w:p w14:paraId="301C538A" w14:textId="77777777" w:rsidR="006677F3" w:rsidRDefault="006677F3" w:rsidP="006677F3">
      <w:pPr>
        <w:widowControl/>
        <w:tabs>
          <w:tab w:val="clear" w:pos="1418"/>
        </w:tabs>
        <w:adjustRightInd/>
        <w:rPr>
          <w:rFonts w:cs="Arial"/>
          <w:b/>
          <w:i/>
          <w:lang w:val="en-US"/>
        </w:rPr>
      </w:pPr>
    </w:p>
    <w:p w14:paraId="49BDA6A8" w14:textId="77777777" w:rsidR="008E316C" w:rsidRDefault="00613B19" w:rsidP="006677F3">
      <w:pPr>
        <w:widowControl/>
        <w:tabs>
          <w:tab w:val="clear" w:pos="1418"/>
        </w:tabs>
        <w:adjustRightInd/>
        <w:rPr>
          <w:rFonts w:cs="Arial"/>
          <w:lang w:val="en-US"/>
        </w:rPr>
      </w:pPr>
      <w:r>
        <w:rPr>
          <w:rFonts w:cs="Arial"/>
          <w:lang w:val="en-US"/>
        </w:rPr>
        <w:t>2</w:t>
      </w:r>
      <w:r w:rsidR="00B1197A">
        <w:rPr>
          <w:rFonts w:cs="Arial"/>
          <w:lang w:val="en-US"/>
        </w:rPr>
        <w:t>3</w:t>
      </w:r>
      <w:r>
        <w:rPr>
          <w:rFonts w:cs="Arial"/>
          <w:lang w:val="en-US"/>
        </w:rPr>
        <w:t>.</w:t>
      </w:r>
      <w:r>
        <w:rPr>
          <w:rFonts w:cs="Arial"/>
          <w:lang w:val="en-US"/>
        </w:rPr>
        <w:tab/>
      </w:r>
      <w:r>
        <w:rPr>
          <w:rFonts w:cs="Arial"/>
          <w:lang w:val="en-US"/>
        </w:rPr>
        <w:tab/>
      </w:r>
      <w:r w:rsidR="009511A7">
        <w:rPr>
          <w:rFonts w:cs="Arial"/>
          <w:lang w:val="en-US"/>
        </w:rPr>
        <w:t>Recommendation 9</w:t>
      </w:r>
      <w:r w:rsidR="00FF65CD">
        <w:rPr>
          <w:rFonts w:cs="Arial"/>
          <w:lang w:val="en-US"/>
        </w:rPr>
        <w:t>(a) and (b)</w:t>
      </w:r>
      <w:r w:rsidR="009511A7">
        <w:rPr>
          <w:rFonts w:cs="Arial"/>
          <w:lang w:val="en-US"/>
        </w:rPr>
        <w:t xml:space="preserve"> of the CP recommends that the proposed offence applies where the defendant was, or ought to have been, aware that there was a risk that serious harm would be caused to the victim</w:t>
      </w:r>
      <w:r w:rsidR="007B3D08">
        <w:rPr>
          <w:rFonts w:cs="Arial"/>
          <w:lang w:val="en-US"/>
        </w:rPr>
        <w:t xml:space="preserve"> by the unlawful act or neglect</w:t>
      </w:r>
      <w:r w:rsidR="009511A7">
        <w:rPr>
          <w:rFonts w:cs="Arial"/>
          <w:lang w:val="en-US"/>
        </w:rPr>
        <w:t xml:space="preserve">.  </w:t>
      </w:r>
      <w:r>
        <w:rPr>
          <w:rFonts w:cs="Arial"/>
          <w:lang w:val="en-US"/>
        </w:rPr>
        <w:t xml:space="preserve">A majority of the Respondents </w:t>
      </w:r>
      <w:r w:rsidR="00D5327D">
        <w:rPr>
          <w:rFonts w:cs="Arial"/>
          <w:lang w:val="en-US"/>
        </w:rPr>
        <w:t xml:space="preserve">and all Respondents </w:t>
      </w:r>
      <w:r>
        <w:rPr>
          <w:rFonts w:cs="Arial"/>
          <w:lang w:val="en-US"/>
        </w:rPr>
        <w:t>who have express</w:t>
      </w:r>
      <w:r w:rsidR="004C2E69">
        <w:rPr>
          <w:rFonts w:cs="Arial"/>
          <w:lang w:val="en-US"/>
        </w:rPr>
        <w:t>ly stated</w:t>
      </w:r>
      <w:r>
        <w:rPr>
          <w:rFonts w:cs="Arial"/>
          <w:lang w:val="en-US"/>
        </w:rPr>
        <w:t xml:space="preserve"> their stance support Recommendation 9(a)</w:t>
      </w:r>
      <w:r w:rsidR="00D5327D">
        <w:rPr>
          <w:rFonts w:cs="Arial"/>
          <w:lang w:val="en-US"/>
        </w:rPr>
        <w:t xml:space="preserve"> and (b) respectively. </w:t>
      </w:r>
      <w:r w:rsidR="00412FD7">
        <w:rPr>
          <w:rFonts w:cs="Arial"/>
          <w:lang w:val="en-US"/>
        </w:rPr>
        <w:t xml:space="preserve"> </w:t>
      </w:r>
      <w:r w:rsidR="00BB2E14">
        <w:rPr>
          <w:rFonts w:cs="Arial"/>
          <w:lang w:val="en-US"/>
        </w:rPr>
        <w:t>W</w:t>
      </w:r>
      <w:proofErr w:type="spellStart"/>
      <w:r w:rsidR="002E0D29">
        <w:t>e</w:t>
      </w:r>
      <w:proofErr w:type="spellEnd"/>
      <w:r w:rsidR="002E0D29">
        <w:t xml:space="preserve"> are of the view that there is no need to </w:t>
      </w:r>
      <w:r w:rsidR="00BB2E14">
        <w:t xml:space="preserve">qualify </w:t>
      </w:r>
      <w:r w:rsidR="00BB2E14" w:rsidRPr="009A6545">
        <w:rPr>
          <w:i/>
        </w:rPr>
        <w:t>“risk”</w:t>
      </w:r>
      <w:r w:rsidR="00BB2E14">
        <w:t xml:space="preserve"> </w:t>
      </w:r>
      <w:r w:rsidR="00CF08E5">
        <w:t>of serious harm</w:t>
      </w:r>
      <w:r w:rsidR="0033108F">
        <w:t>, as suggested by some Respondents</w:t>
      </w:r>
      <w:r w:rsidR="00CF08E5">
        <w:t xml:space="preserve"> </w:t>
      </w:r>
      <w:r w:rsidR="00E30569">
        <w:t xml:space="preserve">since </w:t>
      </w:r>
      <w:r w:rsidR="002E0D29">
        <w:t xml:space="preserve">the word </w:t>
      </w:r>
      <w:r w:rsidR="002E0D29" w:rsidRPr="008D1E0A">
        <w:rPr>
          <w:i/>
        </w:rPr>
        <w:t>“risk”</w:t>
      </w:r>
      <w:r w:rsidR="002E0D29">
        <w:t xml:space="preserve"> </w:t>
      </w:r>
      <w:r w:rsidR="008D36E1">
        <w:t xml:space="preserve">already carries the meaning that the risk should be a </w:t>
      </w:r>
      <w:r w:rsidR="008D36E1" w:rsidRPr="00C45029">
        <w:rPr>
          <w:i/>
        </w:rPr>
        <w:t>“real or appreciable”</w:t>
      </w:r>
      <w:r w:rsidR="008D36E1">
        <w:t xml:space="preserve"> risk.  </w:t>
      </w:r>
      <w:r w:rsidR="002E0D29">
        <w:t xml:space="preserve">In addition, </w:t>
      </w:r>
      <w:r w:rsidR="00201916">
        <w:t xml:space="preserve">there is </w:t>
      </w:r>
      <w:r w:rsidR="002E0D29">
        <w:t>a safeguard in the proposed offence to prevent a parent or a carer from being charged for an accident</w:t>
      </w:r>
      <w:r w:rsidR="00201916">
        <w:t xml:space="preserve">: </w:t>
      </w:r>
      <w:r w:rsidR="002E0D29">
        <w:t>his failure to take such reasonable steps had to be so serious that a criminal penalty is warranted.</w:t>
      </w:r>
      <w:r>
        <w:rPr>
          <w:rFonts w:cs="Arial"/>
          <w:lang w:val="en-US"/>
        </w:rPr>
        <w:tab/>
      </w:r>
      <w:r w:rsidR="008E316C">
        <w:rPr>
          <w:rFonts w:cs="Arial"/>
          <w:lang w:val="en-US"/>
        </w:rPr>
        <w:t xml:space="preserve"> </w:t>
      </w:r>
    </w:p>
    <w:p w14:paraId="0BAF467D" w14:textId="77777777" w:rsidR="00752BAF" w:rsidRDefault="00752BAF" w:rsidP="006677F3">
      <w:pPr>
        <w:widowControl/>
        <w:tabs>
          <w:tab w:val="clear" w:pos="1418"/>
        </w:tabs>
        <w:adjustRightInd/>
        <w:rPr>
          <w:rFonts w:cs="Arial"/>
          <w:lang w:val="en-US"/>
        </w:rPr>
      </w:pPr>
    </w:p>
    <w:p w14:paraId="5E2FD983" w14:textId="77777777" w:rsidR="00613B19" w:rsidRDefault="00005F29" w:rsidP="006677F3">
      <w:pPr>
        <w:keepNext/>
        <w:keepLines/>
        <w:widowControl/>
        <w:tabs>
          <w:tab w:val="left" w:pos="567"/>
        </w:tabs>
        <w:rPr>
          <w:rFonts w:cs="Arial"/>
          <w:lang w:val="en-US"/>
        </w:rPr>
      </w:pPr>
      <w:r>
        <w:rPr>
          <w:rFonts w:cs="Arial"/>
          <w:lang w:val="en-US"/>
        </w:rPr>
        <w:t>2</w:t>
      </w:r>
      <w:r w:rsidR="00B1197A">
        <w:rPr>
          <w:rFonts w:cs="Arial"/>
          <w:lang w:val="en-US"/>
        </w:rPr>
        <w:t>4</w:t>
      </w:r>
      <w:r>
        <w:rPr>
          <w:rFonts w:cs="Arial"/>
          <w:lang w:val="en-US"/>
        </w:rPr>
        <w:t>.</w:t>
      </w:r>
      <w:r>
        <w:rPr>
          <w:rFonts w:cs="Arial"/>
          <w:lang w:val="en-US"/>
        </w:rPr>
        <w:tab/>
      </w:r>
      <w:r>
        <w:rPr>
          <w:rFonts w:cs="Arial"/>
          <w:lang w:val="en-US"/>
        </w:rPr>
        <w:tab/>
      </w:r>
      <w:r w:rsidR="00E11BB0">
        <w:rPr>
          <w:rFonts w:cs="Arial"/>
          <w:lang w:val="en-US"/>
        </w:rPr>
        <w:t>We t</w:t>
      </w:r>
      <w:r>
        <w:rPr>
          <w:rFonts w:cs="Arial"/>
          <w:lang w:val="en-US"/>
        </w:rPr>
        <w:t>herefore</w:t>
      </w:r>
      <w:r w:rsidR="00B801BF">
        <w:rPr>
          <w:rFonts w:cs="Arial"/>
          <w:lang w:val="en-US"/>
        </w:rPr>
        <w:t xml:space="preserve"> </w:t>
      </w:r>
      <w:r>
        <w:rPr>
          <w:rFonts w:cs="Arial"/>
          <w:lang w:val="en-US"/>
        </w:rPr>
        <w:t xml:space="preserve">recommend retaining Recommendation 9(a) and (b) </w:t>
      </w:r>
      <w:r w:rsidR="00955ADB">
        <w:rPr>
          <w:rFonts w:cs="Arial"/>
          <w:lang w:val="en-US"/>
        </w:rPr>
        <w:t xml:space="preserve">in the CP </w:t>
      </w:r>
      <w:r w:rsidR="00B801BF">
        <w:rPr>
          <w:rFonts w:cs="Arial"/>
          <w:lang w:val="en-US"/>
        </w:rPr>
        <w:t>as</w:t>
      </w:r>
      <w:r>
        <w:rPr>
          <w:rFonts w:cs="Arial"/>
          <w:lang w:val="en-US"/>
        </w:rPr>
        <w:t xml:space="preserve"> our </w:t>
      </w:r>
      <w:r w:rsidRPr="00714C69">
        <w:rPr>
          <w:rFonts w:cs="Arial"/>
          <w:b/>
          <w:lang w:val="en-US"/>
        </w:rPr>
        <w:t>Final Recommendation 9</w:t>
      </w:r>
      <w:r>
        <w:rPr>
          <w:rFonts w:cs="Arial"/>
          <w:lang w:val="en-US"/>
        </w:rPr>
        <w:t>:</w:t>
      </w:r>
    </w:p>
    <w:p w14:paraId="6CB867F4" w14:textId="77777777" w:rsidR="00005F29" w:rsidRDefault="00005F29" w:rsidP="002F0EDE">
      <w:pPr>
        <w:widowControl/>
        <w:tabs>
          <w:tab w:val="clear" w:pos="1418"/>
        </w:tabs>
        <w:adjustRightInd/>
        <w:rPr>
          <w:rFonts w:cs="Arial"/>
          <w:lang w:val="en-US"/>
        </w:rPr>
      </w:pPr>
    </w:p>
    <w:p w14:paraId="7978F505" w14:textId="77777777" w:rsidR="002F0EDE" w:rsidRPr="00FC5074" w:rsidRDefault="002A2952" w:rsidP="00FC5074">
      <w:pPr>
        <w:widowControl/>
        <w:tabs>
          <w:tab w:val="clear" w:pos="1418"/>
        </w:tabs>
        <w:adjustRightInd/>
        <w:ind w:left="1440" w:right="720" w:hanging="720"/>
        <w:rPr>
          <w:rFonts w:cs="Arial"/>
          <w:i/>
          <w:lang w:val="en-US"/>
        </w:rPr>
      </w:pPr>
      <w:r w:rsidRPr="00FC5074">
        <w:rPr>
          <w:rFonts w:cs="Arial"/>
          <w:i/>
          <w:lang w:val="en-US"/>
        </w:rPr>
        <w:t>“</w:t>
      </w:r>
      <w:r w:rsidR="002F0EDE" w:rsidRPr="00FC5074">
        <w:rPr>
          <w:rFonts w:cs="Arial"/>
          <w:i/>
          <w:lang w:val="en-US"/>
        </w:rPr>
        <w:t>We recommend:</w:t>
      </w:r>
    </w:p>
    <w:p w14:paraId="305CCAE9" w14:textId="77777777" w:rsidR="00EC0C89" w:rsidRPr="00FC5074" w:rsidRDefault="00EC0C89" w:rsidP="00FC5074">
      <w:pPr>
        <w:widowControl/>
        <w:tabs>
          <w:tab w:val="clear" w:pos="1418"/>
        </w:tabs>
        <w:adjustRightInd/>
        <w:ind w:left="1440" w:right="720" w:hanging="720"/>
        <w:rPr>
          <w:rFonts w:cs="Arial"/>
          <w:i/>
          <w:lang w:val="en-US"/>
        </w:rPr>
      </w:pPr>
    </w:p>
    <w:p w14:paraId="72E11D7D" w14:textId="77777777" w:rsidR="002F0EDE" w:rsidRPr="00FC5074" w:rsidRDefault="002F0EDE" w:rsidP="00FC5074">
      <w:pPr>
        <w:widowControl/>
        <w:numPr>
          <w:ilvl w:val="0"/>
          <w:numId w:val="9"/>
        </w:numPr>
        <w:tabs>
          <w:tab w:val="clear" w:pos="1418"/>
        </w:tabs>
        <w:adjustRightInd/>
        <w:ind w:left="1440" w:right="720"/>
        <w:rPr>
          <w:rFonts w:cs="Arial"/>
          <w:i/>
          <w:lang w:val="en-US"/>
        </w:rPr>
      </w:pPr>
      <w:r w:rsidRPr="00FC5074">
        <w:rPr>
          <w:rFonts w:cs="Arial"/>
          <w:i/>
          <w:lang w:val="en-US"/>
        </w:rPr>
        <w:t xml:space="preserve">that section 14(1)(c) of the Criminal Law Consolidation Act 1935 in South Australia (as amended in 2005) should be adopted in the proposed offence, subject to Final Recommendation 3(c) and the substitution of the words </w:t>
      </w:r>
      <w:r w:rsidR="00912B12" w:rsidRPr="00FC5074">
        <w:rPr>
          <w:rFonts w:cs="Arial"/>
          <w:i/>
          <w:lang w:val="en-US"/>
        </w:rPr>
        <w:t>‘</w:t>
      </w:r>
      <w:r w:rsidRPr="00FC5074">
        <w:rPr>
          <w:rFonts w:cs="Arial"/>
          <w:i/>
          <w:lang w:val="en-US"/>
        </w:rPr>
        <w:t>a risk</w:t>
      </w:r>
      <w:r w:rsidR="00912B12" w:rsidRPr="00FC5074">
        <w:rPr>
          <w:rFonts w:cs="Arial"/>
          <w:i/>
          <w:lang w:val="en-US"/>
        </w:rPr>
        <w:t>’</w:t>
      </w:r>
      <w:r w:rsidRPr="00FC5074">
        <w:rPr>
          <w:rFonts w:cs="Arial"/>
          <w:i/>
          <w:lang w:val="en-US"/>
        </w:rPr>
        <w:t xml:space="preserve"> for </w:t>
      </w:r>
      <w:r w:rsidR="002A2952" w:rsidRPr="00FC5074">
        <w:rPr>
          <w:rFonts w:cs="Arial"/>
          <w:i/>
          <w:lang w:val="en-US"/>
        </w:rPr>
        <w:t>‘</w:t>
      </w:r>
      <w:r w:rsidRPr="00FC5074">
        <w:rPr>
          <w:rFonts w:cs="Arial"/>
          <w:i/>
          <w:lang w:val="en-US"/>
        </w:rPr>
        <w:t>an appreciable risk</w:t>
      </w:r>
      <w:r w:rsidR="002A2952" w:rsidRPr="00FC5074">
        <w:rPr>
          <w:rFonts w:cs="Arial"/>
          <w:i/>
          <w:lang w:val="en-US"/>
        </w:rPr>
        <w:t>’</w:t>
      </w:r>
      <w:r w:rsidRPr="00FC5074">
        <w:rPr>
          <w:rFonts w:cs="Arial"/>
          <w:i/>
          <w:lang w:val="en-US"/>
        </w:rPr>
        <w:t xml:space="preserve"> in the provision; and</w:t>
      </w:r>
    </w:p>
    <w:p w14:paraId="4135443D" w14:textId="77777777" w:rsidR="00EC0C89" w:rsidRPr="00FC5074" w:rsidRDefault="00EC0C89" w:rsidP="00FC5074">
      <w:pPr>
        <w:widowControl/>
        <w:tabs>
          <w:tab w:val="clear" w:pos="1418"/>
        </w:tabs>
        <w:adjustRightInd/>
        <w:ind w:left="1440" w:right="720" w:hanging="720"/>
        <w:rPr>
          <w:rFonts w:cs="Arial"/>
          <w:i/>
          <w:lang w:val="en-US"/>
        </w:rPr>
      </w:pPr>
    </w:p>
    <w:p w14:paraId="3387AD81" w14:textId="77777777" w:rsidR="002F0EDE" w:rsidRPr="00FC5074" w:rsidRDefault="002F0EDE" w:rsidP="00FC5074">
      <w:pPr>
        <w:widowControl/>
        <w:numPr>
          <w:ilvl w:val="0"/>
          <w:numId w:val="9"/>
        </w:numPr>
        <w:tabs>
          <w:tab w:val="clear" w:pos="1418"/>
        </w:tabs>
        <w:adjustRightInd/>
        <w:ind w:left="1440" w:right="720"/>
        <w:rPr>
          <w:rFonts w:cs="Arial"/>
          <w:i/>
          <w:lang w:val="en-US"/>
        </w:rPr>
      </w:pPr>
      <w:proofErr w:type="gramStart"/>
      <w:r w:rsidRPr="00FC5074">
        <w:rPr>
          <w:rFonts w:cs="Arial"/>
          <w:i/>
          <w:lang w:val="en-US"/>
        </w:rPr>
        <w:lastRenderedPageBreak/>
        <w:t>in</w:t>
      </w:r>
      <w:proofErr w:type="gramEnd"/>
      <w:r w:rsidRPr="00FC5074">
        <w:rPr>
          <w:rFonts w:cs="Arial"/>
          <w:i/>
          <w:lang w:val="en-US"/>
        </w:rPr>
        <w:t xml:space="preserve"> line with </w:t>
      </w:r>
      <w:r w:rsidR="000D370B">
        <w:rPr>
          <w:rFonts w:cs="Arial"/>
          <w:i/>
          <w:lang w:val="en-US"/>
        </w:rPr>
        <w:t xml:space="preserve">Final </w:t>
      </w:r>
      <w:r w:rsidRPr="00FC5074">
        <w:rPr>
          <w:rFonts w:cs="Arial"/>
          <w:i/>
          <w:lang w:val="en-US"/>
        </w:rPr>
        <w:t xml:space="preserve">Recommendation 8 above, that the words </w:t>
      </w:r>
      <w:r w:rsidR="002A2952" w:rsidRPr="00FC5074">
        <w:rPr>
          <w:rFonts w:cs="Arial"/>
          <w:i/>
          <w:lang w:val="en-US"/>
        </w:rPr>
        <w:t>‘</w:t>
      </w:r>
      <w:r w:rsidRPr="00FC5074">
        <w:rPr>
          <w:rFonts w:cs="Arial"/>
          <w:i/>
          <w:lang w:val="en-US"/>
        </w:rPr>
        <w:t>or neglect</w:t>
      </w:r>
      <w:r w:rsidR="002A2952" w:rsidRPr="00FC5074">
        <w:rPr>
          <w:rFonts w:cs="Arial"/>
          <w:i/>
          <w:lang w:val="en-US"/>
        </w:rPr>
        <w:t>’</w:t>
      </w:r>
      <w:r w:rsidRPr="00FC5074">
        <w:rPr>
          <w:rFonts w:cs="Arial"/>
          <w:i/>
          <w:lang w:val="en-US"/>
        </w:rPr>
        <w:t xml:space="preserve"> should be added after </w:t>
      </w:r>
      <w:r w:rsidR="002A2952" w:rsidRPr="00FC5074">
        <w:rPr>
          <w:rFonts w:cs="Arial"/>
          <w:i/>
          <w:lang w:val="en-US"/>
        </w:rPr>
        <w:t>‘</w:t>
      </w:r>
      <w:r w:rsidRPr="00FC5074">
        <w:rPr>
          <w:rFonts w:cs="Arial"/>
          <w:i/>
          <w:iCs/>
          <w:lang w:val="en-US"/>
        </w:rPr>
        <w:t>unlawful act</w:t>
      </w:r>
      <w:r w:rsidR="002A2952" w:rsidRPr="00FC5074">
        <w:rPr>
          <w:rFonts w:cs="Arial"/>
          <w:i/>
          <w:iCs/>
          <w:lang w:val="en-US"/>
        </w:rPr>
        <w:t>’</w:t>
      </w:r>
      <w:r w:rsidRPr="00FC5074">
        <w:rPr>
          <w:rFonts w:cs="Arial"/>
          <w:i/>
          <w:lang w:val="en-US"/>
        </w:rPr>
        <w:t xml:space="preserve"> in sub-section (1)(c) of the proposed offence.</w:t>
      </w:r>
      <w:r w:rsidR="003D72AE">
        <w:rPr>
          <w:rFonts w:cs="Arial"/>
          <w:i/>
          <w:lang w:val="en-US"/>
        </w:rPr>
        <w:t>”</w:t>
      </w:r>
      <w:r w:rsidR="006247D7" w:rsidRPr="00FC5074">
        <w:rPr>
          <w:rStyle w:val="FootnoteReference"/>
          <w:bCs/>
          <w:color w:val="000000"/>
          <w:sz w:val="24"/>
          <w:szCs w:val="24"/>
        </w:rPr>
        <w:footnoteReference w:id="11"/>
      </w:r>
    </w:p>
    <w:p w14:paraId="7718036E" w14:textId="77777777" w:rsidR="00E11045" w:rsidRDefault="00E11045" w:rsidP="00112E04">
      <w:pPr>
        <w:keepNext/>
        <w:keepLines/>
        <w:widowControl/>
        <w:tabs>
          <w:tab w:val="clear" w:pos="1418"/>
        </w:tabs>
        <w:adjustRightInd/>
        <w:rPr>
          <w:rFonts w:cs="Arial"/>
          <w:b/>
          <w:i/>
          <w:lang w:val="en-US"/>
        </w:rPr>
      </w:pPr>
    </w:p>
    <w:p w14:paraId="6F487D6E" w14:textId="77777777" w:rsidR="00E11045" w:rsidRDefault="00E11045" w:rsidP="00112E04">
      <w:pPr>
        <w:keepNext/>
        <w:keepLines/>
        <w:widowControl/>
        <w:tabs>
          <w:tab w:val="clear" w:pos="1418"/>
        </w:tabs>
        <w:adjustRightInd/>
        <w:rPr>
          <w:rFonts w:cs="Arial"/>
          <w:b/>
          <w:i/>
          <w:lang w:val="en-US"/>
        </w:rPr>
      </w:pPr>
    </w:p>
    <w:p w14:paraId="4B00E982" w14:textId="77777777" w:rsidR="002F0EDE" w:rsidRPr="00202346" w:rsidRDefault="00955ADB" w:rsidP="00112E04">
      <w:pPr>
        <w:keepNext/>
        <w:keepLines/>
        <w:widowControl/>
        <w:tabs>
          <w:tab w:val="clear" w:pos="1418"/>
        </w:tabs>
        <w:adjustRightInd/>
        <w:rPr>
          <w:rFonts w:cs="Arial"/>
          <w:i/>
          <w:lang w:val="en-US"/>
        </w:rPr>
      </w:pPr>
      <w:r>
        <w:rPr>
          <w:rFonts w:cs="Arial"/>
          <w:b/>
          <w:i/>
          <w:lang w:val="en-US"/>
        </w:rPr>
        <w:t>F</w:t>
      </w:r>
      <w:r w:rsidR="006B0268">
        <w:rPr>
          <w:rFonts w:cs="Arial"/>
          <w:b/>
          <w:i/>
          <w:lang w:val="en-US"/>
        </w:rPr>
        <w:t>ailure to take reasonable steps</w:t>
      </w:r>
      <w:r w:rsidR="00A22B41">
        <w:rPr>
          <w:rFonts w:cs="Arial"/>
          <w:b/>
          <w:i/>
          <w:lang w:val="en-US"/>
        </w:rPr>
        <w:t>:</w:t>
      </w:r>
      <w:r w:rsidR="006B0268">
        <w:rPr>
          <w:rFonts w:cs="Arial"/>
          <w:b/>
          <w:i/>
          <w:lang w:val="en-US"/>
        </w:rPr>
        <w:t xml:space="preserve"> so serious that </w:t>
      </w:r>
      <w:r w:rsidR="00A22B41">
        <w:rPr>
          <w:rFonts w:cs="Arial"/>
          <w:b/>
          <w:i/>
          <w:lang w:val="en-US"/>
        </w:rPr>
        <w:t xml:space="preserve">warrants </w:t>
      </w:r>
      <w:r w:rsidR="006B0268">
        <w:rPr>
          <w:rFonts w:cs="Arial"/>
          <w:b/>
          <w:i/>
          <w:lang w:val="en-US"/>
        </w:rPr>
        <w:t xml:space="preserve">a criminal penalty </w:t>
      </w:r>
    </w:p>
    <w:p w14:paraId="7D0B0680" w14:textId="77777777" w:rsidR="002F0EDE" w:rsidRPr="002F0EDE" w:rsidRDefault="002F0EDE" w:rsidP="00112E04">
      <w:pPr>
        <w:keepNext/>
        <w:keepLines/>
        <w:widowControl/>
        <w:tabs>
          <w:tab w:val="clear" w:pos="1418"/>
        </w:tabs>
        <w:adjustRightInd/>
        <w:rPr>
          <w:rFonts w:cs="Arial"/>
          <w:lang w:val="en-US"/>
        </w:rPr>
      </w:pPr>
    </w:p>
    <w:p w14:paraId="2B055A62" w14:textId="77777777" w:rsidR="007622AB" w:rsidRDefault="00180A60" w:rsidP="00112E04">
      <w:pPr>
        <w:keepNext/>
        <w:keepLines/>
        <w:widowControl/>
        <w:tabs>
          <w:tab w:val="left" w:pos="567"/>
        </w:tabs>
      </w:pPr>
      <w:r>
        <w:rPr>
          <w:rFonts w:cs="Arial"/>
          <w:lang w:val="en-US"/>
        </w:rPr>
        <w:t>2</w:t>
      </w:r>
      <w:r w:rsidR="00B1197A">
        <w:rPr>
          <w:rFonts w:cs="Arial"/>
          <w:lang w:val="en-US"/>
        </w:rPr>
        <w:t>5.</w:t>
      </w:r>
      <w:r>
        <w:rPr>
          <w:rFonts w:cs="Arial"/>
          <w:lang w:val="en-US"/>
        </w:rPr>
        <w:tab/>
      </w:r>
      <w:r>
        <w:rPr>
          <w:rFonts w:cs="Arial"/>
          <w:lang w:val="en-US"/>
        </w:rPr>
        <w:tab/>
      </w:r>
      <w:r w:rsidR="0062033F">
        <w:rPr>
          <w:rFonts w:cs="Arial"/>
          <w:lang w:val="en-US"/>
        </w:rPr>
        <w:t xml:space="preserve">Recommendation 10 in the CP recommends that the proposed offence </w:t>
      </w:r>
      <w:r w:rsidR="00B27453">
        <w:rPr>
          <w:rFonts w:cs="Arial"/>
          <w:lang w:val="en-US"/>
        </w:rPr>
        <w:t xml:space="preserve">only </w:t>
      </w:r>
      <w:r w:rsidR="0062033F">
        <w:rPr>
          <w:rFonts w:cs="Arial"/>
          <w:lang w:val="en-US"/>
        </w:rPr>
        <w:t xml:space="preserve">applies when </w:t>
      </w:r>
      <w:r w:rsidR="00A22B41">
        <w:rPr>
          <w:rFonts w:cs="Arial"/>
          <w:lang w:val="en-US"/>
        </w:rPr>
        <w:t>a</w:t>
      </w:r>
      <w:r w:rsidR="0062033F">
        <w:rPr>
          <w:rFonts w:cs="Arial"/>
          <w:lang w:val="en-US"/>
        </w:rPr>
        <w:t xml:space="preserve"> defendant’s failure to take </w:t>
      </w:r>
      <w:r w:rsidR="0062033F" w:rsidRPr="007622AB">
        <w:rPr>
          <w:i/>
        </w:rPr>
        <w:t>“steps that the defendant could reasonably be expected to have taken in the circumstances”</w:t>
      </w:r>
      <w:r w:rsidR="0062033F" w:rsidRPr="000D2CCF">
        <w:t xml:space="preserve"> </w:t>
      </w:r>
      <w:r w:rsidR="0062033F">
        <w:t>(“</w:t>
      </w:r>
      <w:r w:rsidR="0062033F" w:rsidRPr="00567762">
        <w:rPr>
          <w:b/>
        </w:rPr>
        <w:t>Such Steps</w:t>
      </w:r>
      <w:r w:rsidR="0062033F">
        <w:t xml:space="preserve">”) to protect the victim was so serious that a criminal penalty is warranted. </w:t>
      </w:r>
      <w:r w:rsidR="0062033F">
        <w:rPr>
          <w:rFonts w:cs="Arial"/>
          <w:lang w:val="en-US"/>
        </w:rPr>
        <w:t xml:space="preserve"> </w:t>
      </w:r>
      <w:r w:rsidR="00CE6F00">
        <w:t>All Respondents who have expressly stated their stance support</w:t>
      </w:r>
      <w:r w:rsidR="00A22B41">
        <w:t xml:space="preserve"> this</w:t>
      </w:r>
      <w:r w:rsidR="00CE6F00">
        <w:t xml:space="preserve"> </w:t>
      </w:r>
      <w:r w:rsidR="00164E49">
        <w:t>r</w:t>
      </w:r>
      <w:r w:rsidR="00CE6F00">
        <w:t>ecommendation</w:t>
      </w:r>
      <w:r w:rsidR="008110F9">
        <w:t>.</w:t>
      </w:r>
      <w:r w:rsidR="00B42164" w:rsidRPr="00B42164">
        <w:t xml:space="preserve"> </w:t>
      </w:r>
      <w:r w:rsidR="000F38AC">
        <w:t xml:space="preserve"> </w:t>
      </w:r>
      <w:r w:rsidR="00A22B41">
        <w:t>Some of the other</w:t>
      </w:r>
      <w:r w:rsidR="000D2CCF">
        <w:t xml:space="preserve"> Respondents have </w:t>
      </w:r>
      <w:r w:rsidR="00A22B41">
        <w:t>expressed</w:t>
      </w:r>
      <w:r w:rsidR="000D2CCF">
        <w:t xml:space="preserve"> the</w:t>
      </w:r>
      <w:r w:rsidR="00A22B41">
        <w:t xml:space="preserve"> following</w:t>
      </w:r>
      <w:r w:rsidR="000D2CCF">
        <w:t xml:space="preserve"> </w:t>
      </w:r>
      <w:r w:rsidR="00A22B41">
        <w:t>concerns</w:t>
      </w:r>
      <w:r w:rsidR="00341A0D">
        <w:t>:</w:t>
      </w:r>
    </w:p>
    <w:p w14:paraId="07691B13" w14:textId="77777777" w:rsidR="007622AB" w:rsidRDefault="007622AB" w:rsidP="007622AB">
      <w:pPr>
        <w:widowControl/>
        <w:tabs>
          <w:tab w:val="left" w:pos="567"/>
        </w:tabs>
        <w:ind w:firstLine="709"/>
      </w:pPr>
    </w:p>
    <w:p w14:paraId="66406797" w14:textId="77777777" w:rsidR="008B390E" w:rsidRDefault="00341A0D" w:rsidP="00DD237B">
      <w:pPr>
        <w:pStyle w:val="ListParagraph"/>
        <w:widowControl/>
        <w:numPr>
          <w:ilvl w:val="0"/>
          <w:numId w:val="23"/>
        </w:numPr>
        <w:tabs>
          <w:tab w:val="left" w:pos="567"/>
        </w:tabs>
        <w:spacing w:after="240"/>
        <w:ind w:left="1440" w:hanging="720"/>
      </w:pPr>
      <w:r>
        <w:t>The m</w:t>
      </w:r>
      <w:r w:rsidR="000D2CCF" w:rsidRPr="00341A0D">
        <w:t>eaning</w:t>
      </w:r>
      <w:r w:rsidR="000D2CCF" w:rsidRPr="000D2CCF">
        <w:t xml:space="preserve"> of </w:t>
      </w:r>
      <w:r w:rsidR="007622AB">
        <w:t>Such Step</w:t>
      </w:r>
      <w:r w:rsidR="0023494C">
        <w:t>s</w:t>
      </w:r>
      <w:r w:rsidR="007622AB">
        <w:t xml:space="preserve"> </w:t>
      </w:r>
      <w:r w:rsidR="008B390E">
        <w:t xml:space="preserve">is </w:t>
      </w:r>
      <w:r w:rsidR="000D2CCF" w:rsidRPr="000D2CCF">
        <w:t>unclear</w:t>
      </w:r>
      <w:r w:rsidR="00A22B41">
        <w:t>.</w:t>
      </w:r>
    </w:p>
    <w:p w14:paraId="4FD2F4D4" w14:textId="77777777" w:rsidR="008B390E" w:rsidRDefault="008B390E" w:rsidP="00DD237B">
      <w:pPr>
        <w:pStyle w:val="ListParagraph"/>
        <w:widowControl/>
        <w:numPr>
          <w:ilvl w:val="0"/>
          <w:numId w:val="23"/>
        </w:numPr>
        <w:tabs>
          <w:tab w:val="left" w:pos="567"/>
        </w:tabs>
        <w:spacing w:after="240"/>
        <w:ind w:left="1440" w:hanging="720"/>
      </w:pPr>
      <w:r>
        <w:t>There are</w:t>
      </w:r>
      <w:r w:rsidR="000D2CCF" w:rsidRPr="000D2CCF">
        <w:t xml:space="preserve"> </w:t>
      </w:r>
      <w:r>
        <w:t>p</w:t>
      </w:r>
      <w:r w:rsidR="000D2CCF" w:rsidRPr="008B390E">
        <w:t>ractical</w:t>
      </w:r>
      <w:r w:rsidR="000D2CCF" w:rsidRPr="000D2CCF">
        <w:t xml:space="preserve"> difficulties in reporting suspected abuse cases</w:t>
      </w:r>
      <w:r w:rsidR="00A22B41">
        <w:t>.</w:t>
      </w:r>
    </w:p>
    <w:p w14:paraId="6B075536" w14:textId="77777777" w:rsidR="007622AB" w:rsidRDefault="008B390E" w:rsidP="00FC5074">
      <w:pPr>
        <w:widowControl/>
        <w:tabs>
          <w:tab w:val="left" w:pos="567"/>
        </w:tabs>
        <w:ind w:left="1440" w:hanging="720"/>
      </w:pPr>
      <w:r>
        <w:t>(c)</w:t>
      </w:r>
      <w:r w:rsidR="007622AB">
        <w:tab/>
        <w:t xml:space="preserve">The </w:t>
      </w:r>
      <w:r w:rsidR="005F21BE">
        <w:t xml:space="preserve">circumstances of </w:t>
      </w:r>
      <w:r w:rsidR="007622AB">
        <w:t>d</w:t>
      </w:r>
      <w:r w:rsidR="000D2CCF" w:rsidRPr="000D2CCF">
        <w:t>efendant</w:t>
      </w:r>
      <w:r w:rsidR="005F21BE">
        <w:t>s</w:t>
      </w:r>
      <w:r w:rsidR="000D2CCF" w:rsidRPr="000D2CCF">
        <w:t xml:space="preserve"> </w:t>
      </w:r>
      <w:r w:rsidR="005F21BE">
        <w:t xml:space="preserve">or </w:t>
      </w:r>
      <w:r w:rsidR="007622AB">
        <w:t>victim</w:t>
      </w:r>
      <w:r w:rsidR="005F21BE">
        <w:t>s</w:t>
      </w:r>
      <w:r w:rsidR="000D2CCF" w:rsidRPr="000D2CCF">
        <w:t xml:space="preserve"> </w:t>
      </w:r>
      <w:r w:rsidR="007622AB">
        <w:t xml:space="preserve">may make it difficult for the defendant </w:t>
      </w:r>
      <w:r w:rsidR="000D2CCF" w:rsidRPr="000D2CCF">
        <w:t>to take Such Steps</w:t>
      </w:r>
      <w:r w:rsidR="007622AB">
        <w:t>.</w:t>
      </w:r>
    </w:p>
    <w:p w14:paraId="135CDD8C" w14:textId="77777777" w:rsidR="000D2CCF" w:rsidRDefault="000D2CCF" w:rsidP="00B42164">
      <w:pPr>
        <w:widowControl/>
        <w:tabs>
          <w:tab w:val="left" w:pos="567"/>
        </w:tabs>
      </w:pPr>
    </w:p>
    <w:p w14:paraId="6CAC111C" w14:textId="77777777" w:rsidR="00007ECE" w:rsidRDefault="0091344A" w:rsidP="00D32C94">
      <w:pPr>
        <w:widowControl/>
        <w:tabs>
          <w:tab w:val="left" w:pos="567"/>
        </w:tabs>
      </w:pPr>
      <w:r>
        <w:t>2</w:t>
      </w:r>
      <w:r w:rsidR="00B1197A">
        <w:t>6</w:t>
      </w:r>
      <w:r>
        <w:t>.</w:t>
      </w:r>
      <w:r>
        <w:tab/>
      </w:r>
      <w:r>
        <w:tab/>
      </w:r>
      <w:r w:rsidR="005E349D">
        <w:t>To address the</w:t>
      </w:r>
      <w:r w:rsidR="00A22B41">
        <w:t>se</w:t>
      </w:r>
      <w:r w:rsidR="005E349D">
        <w:t xml:space="preserve"> concerns, </w:t>
      </w:r>
      <w:r w:rsidR="00852FBF">
        <w:t>we propose to</w:t>
      </w:r>
      <w:r w:rsidR="00A22B41">
        <w:t xml:space="preserve"> </w:t>
      </w:r>
      <w:r w:rsidR="00852FBF">
        <w:t>amend</w:t>
      </w:r>
      <w:r w:rsidR="00A22B41">
        <w:t xml:space="preserve"> the test in</w:t>
      </w:r>
      <w:r w:rsidR="00852FBF">
        <w:t xml:space="preserve"> the proposed offence such that a defendant would be liable only if he has </w:t>
      </w:r>
      <w:r w:rsidR="00852FBF" w:rsidRPr="00A22B41">
        <w:rPr>
          <w:i/>
        </w:rPr>
        <w:t>“failed to take reasonable steps”</w:t>
      </w:r>
      <w:r w:rsidR="00852FBF">
        <w:t xml:space="preserve"> in the circumstances to protect the victim</w:t>
      </w:r>
      <w:r w:rsidR="000E0260">
        <w:t>.  There are two advantages of this test</w:t>
      </w:r>
      <w:r w:rsidR="00007ECE">
        <w:t>:</w:t>
      </w:r>
    </w:p>
    <w:p w14:paraId="2019436E" w14:textId="77777777" w:rsidR="00007ECE" w:rsidRDefault="00007ECE" w:rsidP="00007ECE">
      <w:pPr>
        <w:pStyle w:val="ListParagraph"/>
        <w:widowControl/>
        <w:tabs>
          <w:tab w:val="left" w:pos="567"/>
        </w:tabs>
        <w:ind w:left="1418"/>
      </w:pPr>
    </w:p>
    <w:p w14:paraId="043C87F0" w14:textId="39886934" w:rsidR="0091344A" w:rsidRDefault="00007ECE" w:rsidP="00FC5074">
      <w:pPr>
        <w:pStyle w:val="ListParagraph"/>
        <w:widowControl/>
        <w:tabs>
          <w:tab w:val="left" w:pos="567"/>
        </w:tabs>
        <w:spacing w:after="120"/>
        <w:ind w:left="1440" w:hanging="720"/>
      </w:pPr>
      <w:r>
        <w:t>(</w:t>
      </w:r>
      <w:r w:rsidR="0002154E">
        <w:t>a</w:t>
      </w:r>
      <w:r>
        <w:t>)</w:t>
      </w:r>
      <w:r w:rsidR="00852FBF">
        <w:t xml:space="preserve"> </w:t>
      </w:r>
      <w:r>
        <w:tab/>
      </w:r>
      <w:r w:rsidR="00A22B41">
        <w:t xml:space="preserve">This would </w:t>
      </w:r>
      <w:r w:rsidR="00852FBF">
        <w:t xml:space="preserve">enable the court to take into account a defendant’s personal circumstances </w:t>
      </w:r>
      <w:r w:rsidR="00B727D7">
        <w:t xml:space="preserve">and </w:t>
      </w:r>
      <w:r w:rsidR="00A17B84">
        <w:t xml:space="preserve">his </w:t>
      </w:r>
      <w:r w:rsidR="001C58A8">
        <w:t xml:space="preserve">relevant </w:t>
      </w:r>
      <w:r w:rsidR="00B727D7">
        <w:t xml:space="preserve">characteristics </w:t>
      </w:r>
      <w:r w:rsidR="00852FBF">
        <w:t>(</w:t>
      </w:r>
      <w:proofErr w:type="spellStart"/>
      <w:r w:rsidR="00852FBF">
        <w:t>ie</w:t>
      </w:r>
      <w:proofErr w:type="spellEnd"/>
      <w:r w:rsidR="00852FBF">
        <w:t xml:space="preserve"> not purely an objective bystander test</w:t>
      </w:r>
      <w:r w:rsidR="00A22B41">
        <w:t>)</w:t>
      </w:r>
      <w:r w:rsidR="00273FCC">
        <w:t xml:space="preserve"> which tall</w:t>
      </w:r>
      <w:r w:rsidR="00A22B41">
        <w:t>ies</w:t>
      </w:r>
      <w:r w:rsidR="00273FCC">
        <w:t xml:space="preserve"> with </w:t>
      </w:r>
      <w:r w:rsidR="006D49B6">
        <w:t xml:space="preserve">the revised </w:t>
      </w:r>
      <w:proofErr w:type="spellStart"/>
      <w:r w:rsidR="006D49B6" w:rsidRPr="0091344A">
        <w:rPr>
          <w:i/>
        </w:rPr>
        <w:t>mens</w:t>
      </w:r>
      <w:proofErr w:type="spellEnd"/>
      <w:r w:rsidR="006D49B6" w:rsidRPr="0091344A">
        <w:rPr>
          <w:i/>
        </w:rPr>
        <w:t xml:space="preserve"> rea</w:t>
      </w:r>
      <w:r w:rsidR="00273FCC">
        <w:t xml:space="preserve"> </w:t>
      </w:r>
      <w:r w:rsidR="006D49B6" w:rsidRPr="0091344A">
        <w:rPr>
          <w:i/>
        </w:rPr>
        <w:t>“had reasonable grounds to believe”</w:t>
      </w:r>
      <w:r w:rsidR="006D49B6">
        <w:t xml:space="preserve"> under Final Recommendation 3</w:t>
      </w:r>
      <w:r w:rsidR="002862F2">
        <w:t>.</w:t>
      </w:r>
      <w:r w:rsidR="0023494C">
        <w:t xml:space="preserve"> </w:t>
      </w:r>
      <w:r w:rsidR="002862F2">
        <w:t xml:space="preserve"> W</w:t>
      </w:r>
      <w:r w:rsidR="004C7AC7" w:rsidRPr="004C7AC7">
        <w:t xml:space="preserve">hether a defendant would be liable under the proposed offence due to his failure to take reasonable steps to protect the victim from serious harm would depend on all the circumstances, including </w:t>
      </w:r>
      <w:r w:rsidR="00434594">
        <w:t xml:space="preserve">circumstances of </w:t>
      </w:r>
      <w:r w:rsidR="004C7AC7" w:rsidRPr="004C7AC7">
        <w:t>both the defendant and the victim</w:t>
      </w:r>
      <w:r w:rsidR="00A22B41">
        <w:t>.  For example, a</w:t>
      </w:r>
      <w:r w:rsidR="00AD2F14">
        <w:t xml:space="preserve"> defendant</w:t>
      </w:r>
      <w:r w:rsidR="0076680B">
        <w:t>’s ability to take reasonable steps may be affected by</w:t>
      </w:r>
      <w:r w:rsidR="00E652E6">
        <w:t>:</w:t>
      </w:r>
      <w:r w:rsidR="00AD2F14">
        <w:t xml:space="preserve"> </w:t>
      </w:r>
      <w:r w:rsidR="0061611E">
        <w:t xml:space="preserve">tender </w:t>
      </w:r>
      <w:r w:rsidR="00E652E6">
        <w:t xml:space="preserve">or </w:t>
      </w:r>
      <w:r w:rsidR="0061611E">
        <w:t>old age,</w:t>
      </w:r>
      <w:r w:rsidR="00E652E6" w:rsidRPr="00E652E6">
        <w:t xml:space="preserve"> </w:t>
      </w:r>
      <w:r w:rsidR="00E652E6">
        <w:t xml:space="preserve">pregnancy, </w:t>
      </w:r>
      <w:r w:rsidR="00A17B84">
        <w:t xml:space="preserve">physical </w:t>
      </w:r>
      <w:r w:rsidR="0061611E">
        <w:t xml:space="preserve">disability, </w:t>
      </w:r>
      <w:r w:rsidR="00E652E6">
        <w:t xml:space="preserve">recognised mental illness or psychiatric condition, </w:t>
      </w:r>
      <w:r w:rsidR="0061611E">
        <w:t>presence of domestic violence, power imbalance or duress (as in the case of domestic workers)</w:t>
      </w:r>
      <w:r w:rsidR="00AD2F14">
        <w:t xml:space="preserve">.  </w:t>
      </w:r>
    </w:p>
    <w:p w14:paraId="2137C5C6" w14:textId="77777777" w:rsidR="00D07999" w:rsidRDefault="00007ECE" w:rsidP="00DD237B">
      <w:pPr>
        <w:pStyle w:val="ListParagraph"/>
        <w:keepNext/>
        <w:keepLines/>
        <w:widowControl/>
        <w:tabs>
          <w:tab w:val="left" w:pos="567"/>
        </w:tabs>
        <w:ind w:left="1440" w:hanging="720"/>
      </w:pPr>
      <w:r>
        <w:lastRenderedPageBreak/>
        <w:t>(</w:t>
      </w:r>
      <w:r w:rsidR="0002154E">
        <w:t>b</w:t>
      </w:r>
      <w:r>
        <w:t xml:space="preserve">) </w:t>
      </w:r>
      <w:r>
        <w:tab/>
      </w:r>
      <w:r w:rsidR="00A22B41">
        <w:t xml:space="preserve">This would </w:t>
      </w:r>
      <w:r w:rsidRPr="00007ECE">
        <w:t>allow the court to take into consideration all possible types of steps</w:t>
      </w:r>
      <w:r w:rsidR="00A22B41">
        <w:t xml:space="preserve"> and</w:t>
      </w:r>
      <w:r w:rsidRPr="00007ECE">
        <w:t xml:space="preserve"> to gradually develop the jurisprudence on the meaning of </w:t>
      </w:r>
      <w:r w:rsidR="002D7E2E" w:rsidRPr="002D7E2E">
        <w:rPr>
          <w:i/>
        </w:rPr>
        <w:t>“reasonable steps”</w:t>
      </w:r>
      <w:r w:rsidR="00A22B41">
        <w:t>.  For example, the court may</w:t>
      </w:r>
      <w:r w:rsidR="00D07999">
        <w:t xml:space="preserve"> tak</w:t>
      </w:r>
      <w:r w:rsidR="00A22B41">
        <w:t>e</w:t>
      </w:r>
      <w:r w:rsidR="00D07999">
        <w:t xml:space="preserve"> into account of </w:t>
      </w:r>
      <w:r w:rsidR="00BB17A0" w:rsidRPr="00BB17A0">
        <w:t xml:space="preserve">the steps that relevant professionals could take to protect a victim </w:t>
      </w:r>
      <w:r w:rsidR="00825260">
        <w:t xml:space="preserve">as </w:t>
      </w:r>
      <w:r w:rsidR="008D6665">
        <w:t xml:space="preserve">set out </w:t>
      </w:r>
      <w:r w:rsidR="00BB17A0">
        <w:t xml:space="preserve">in </w:t>
      </w:r>
      <w:r w:rsidR="00D07999" w:rsidRPr="00D07999">
        <w:t xml:space="preserve">various procedural guides, guidelines and circulars </w:t>
      </w:r>
      <w:r w:rsidR="00CF3279">
        <w:t>(</w:t>
      </w:r>
      <w:proofErr w:type="spellStart"/>
      <w:r w:rsidR="00CF3279">
        <w:t>eg</w:t>
      </w:r>
      <w:proofErr w:type="spellEnd"/>
      <w:r w:rsidR="00CF3279">
        <w:t xml:space="preserve"> those </w:t>
      </w:r>
      <w:r w:rsidR="00D07999">
        <w:t xml:space="preserve">issued </w:t>
      </w:r>
      <w:r w:rsidR="00CF3279">
        <w:t xml:space="preserve">and updated </w:t>
      </w:r>
      <w:r w:rsidR="00D07999">
        <w:t xml:space="preserve">by </w:t>
      </w:r>
      <w:r w:rsidR="00CF3279" w:rsidRPr="000F5057">
        <w:t xml:space="preserve">the </w:t>
      </w:r>
      <w:r w:rsidR="00D07999" w:rsidRPr="000F5057">
        <w:t>S</w:t>
      </w:r>
      <w:r w:rsidR="000F5057" w:rsidRPr="000F5057">
        <w:t xml:space="preserve">ocial </w:t>
      </w:r>
      <w:r w:rsidR="00D07999" w:rsidRPr="000F5057">
        <w:t>W</w:t>
      </w:r>
      <w:r w:rsidR="000F5057" w:rsidRPr="000F5057">
        <w:t xml:space="preserve">elfare </w:t>
      </w:r>
      <w:r w:rsidR="00D07999" w:rsidRPr="000F5057">
        <w:t>D</w:t>
      </w:r>
      <w:r w:rsidR="000F5057" w:rsidRPr="000F5057">
        <w:t>epartment</w:t>
      </w:r>
      <w:r w:rsidR="00D07999" w:rsidRPr="00D07999">
        <w:t xml:space="preserve"> and the Education Bureau</w:t>
      </w:r>
      <w:r w:rsidR="00353E30">
        <w:t>,</w:t>
      </w:r>
      <w:r w:rsidR="00D07999">
        <w:t xml:space="preserve"> </w:t>
      </w:r>
      <w:r w:rsidR="00353E30">
        <w:t>which deal with</w:t>
      </w:r>
      <w:r w:rsidR="008D6665">
        <w:t xml:space="preserve">, </w:t>
      </w:r>
      <w:r w:rsidR="008D6665" w:rsidRPr="00D32C94">
        <w:rPr>
          <w:i/>
        </w:rPr>
        <w:t>inter alia</w:t>
      </w:r>
      <w:r w:rsidR="008D6665">
        <w:t>,</w:t>
      </w:r>
      <w:r w:rsidR="00353E30">
        <w:t xml:space="preserve"> reporting of suspected abuse cases</w:t>
      </w:r>
      <w:r w:rsidR="00CF3279">
        <w:t>)</w:t>
      </w:r>
      <w:r w:rsidR="00D07999" w:rsidRPr="00D07999">
        <w:t>.</w:t>
      </w:r>
    </w:p>
    <w:p w14:paraId="73AB109F" w14:textId="77777777" w:rsidR="00D07999" w:rsidRDefault="00D07999" w:rsidP="00DD237B">
      <w:pPr>
        <w:pStyle w:val="ListParagraph"/>
        <w:widowControl/>
        <w:tabs>
          <w:tab w:val="clear" w:pos="1418"/>
          <w:tab w:val="left" w:pos="567"/>
          <w:tab w:val="left" w:pos="1843"/>
        </w:tabs>
        <w:spacing w:after="120"/>
        <w:ind w:left="1843" w:hanging="425"/>
      </w:pPr>
    </w:p>
    <w:p w14:paraId="04A99FD9" w14:textId="77777777" w:rsidR="002F0EDE" w:rsidRDefault="00894606" w:rsidP="002F0EDE">
      <w:pPr>
        <w:widowControl/>
        <w:tabs>
          <w:tab w:val="clear" w:pos="1418"/>
        </w:tabs>
        <w:adjustRightInd/>
        <w:rPr>
          <w:rFonts w:cs="Arial"/>
          <w:lang w:val="en-US"/>
        </w:rPr>
      </w:pPr>
      <w:r>
        <w:rPr>
          <w:rFonts w:cs="Arial"/>
          <w:lang w:val="en-US"/>
        </w:rPr>
        <w:t>2</w:t>
      </w:r>
      <w:r w:rsidR="00B1197A">
        <w:rPr>
          <w:rFonts w:cs="Arial"/>
          <w:lang w:val="en-US"/>
        </w:rPr>
        <w:t>7</w:t>
      </w:r>
      <w:r w:rsidR="00007ECE">
        <w:rPr>
          <w:rFonts w:cs="Arial"/>
          <w:lang w:val="en-US"/>
        </w:rPr>
        <w:t>.</w:t>
      </w:r>
      <w:r w:rsidR="00007ECE">
        <w:rPr>
          <w:rFonts w:cs="Arial"/>
          <w:lang w:val="en-US"/>
        </w:rPr>
        <w:tab/>
      </w:r>
      <w:r w:rsidR="00007ECE">
        <w:rPr>
          <w:rFonts w:cs="Arial"/>
          <w:lang w:val="en-US"/>
        </w:rPr>
        <w:tab/>
      </w:r>
      <w:r w:rsidR="00D335F4">
        <w:t>In addition, the defendant’s failure to take reasonable steps had to f</w:t>
      </w:r>
      <w:r w:rsidR="00D335F4" w:rsidRPr="0023314F">
        <w:t xml:space="preserve">all so far short of the standard of care </w:t>
      </w:r>
      <w:r w:rsidR="00D335F4">
        <w:t xml:space="preserve">that could </w:t>
      </w:r>
      <w:r w:rsidR="00D335F4" w:rsidRPr="0023314F">
        <w:t xml:space="preserve">reasonably </w:t>
      </w:r>
      <w:r w:rsidR="00D335F4">
        <w:t xml:space="preserve">be </w:t>
      </w:r>
      <w:r w:rsidR="00D335F4" w:rsidRPr="0023314F">
        <w:t>expected of him and was thus, in the circumstances, so serious that a criminal penalty is warranted</w:t>
      </w:r>
      <w:r w:rsidR="00D335F4">
        <w:t xml:space="preserve">.  </w:t>
      </w:r>
      <w:r w:rsidR="0035448B" w:rsidRPr="0035448B">
        <w:rPr>
          <w:rFonts w:cs="Arial"/>
          <w:lang w:val="en-US"/>
        </w:rPr>
        <w:t>We</w:t>
      </w:r>
      <w:r w:rsidR="0035448B">
        <w:rPr>
          <w:rFonts w:cs="Arial"/>
          <w:lang w:val="en-US"/>
        </w:rPr>
        <w:t xml:space="preserve"> further</w:t>
      </w:r>
      <w:r w:rsidR="0035448B" w:rsidRPr="0035448B">
        <w:rPr>
          <w:rFonts w:cs="Arial"/>
          <w:lang w:val="en-US"/>
        </w:rPr>
        <w:t xml:space="preserve"> note that the Government has pledged to provide resources to improve the condition of care institutions</w:t>
      </w:r>
      <w:r w:rsidR="00102EFC" w:rsidRPr="00102EFC">
        <w:t xml:space="preserve"> </w:t>
      </w:r>
      <w:r w:rsidR="00102EFC">
        <w:t>faced with</w:t>
      </w:r>
      <w:r w:rsidR="00102EFC" w:rsidRPr="00102EFC">
        <w:t xml:space="preserve"> insufficient manpower or poor facilities</w:t>
      </w:r>
      <w:r w:rsidR="00102EFC">
        <w:rPr>
          <w:rFonts w:cs="Arial"/>
          <w:lang w:val="en-US"/>
        </w:rPr>
        <w:t xml:space="preserve">, which would enhance their ability to take </w:t>
      </w:r>
      <w:r w:rsidR="00AD3F36">
        <w:rPr>
          <w:rFonts w:cs="Arial"/>
          <w:lang w:val="en-US"/>
        </w:rPr>
        <w:t>the</w:t>
      </w:r>
      <w:r w:rsidR="00102EFC">
        <w:rPr>
          <w:rFonts w:cs="Arial"/>
          <w:lang w:val="en-US"/>
        </w:rPr>
        <w:t xml:space="preserve"> reasonable steps.  </w:t>
      </w:r>
      <w:r w:rsidR="0035448B">
        <w:rPr>
          <w:rFonts w:cs="Arial"/>
          <w:lang w:val="en-US"/>
        </w:rPr>
        <w:t xml:space="preserve">Based on Recommendation 10 </w:t>
      </w:r>
      <w:r w:rsidR="00BD3719">
        <w:rPr>
          <w:rFonts w:cs="Arial"/>
          <w:lang w:val="en-US"/>
        </w:rPr>
        <w:t xml:space="preserve">in the CP </w:t>
      </w:r>
      <w:r w:rsidR="00AD3F36">
        <w:rPr>
          <w:rFonts w:cs="Arial"/>
          <w:lang w:val="en-US"/>
        </w:rPr>
        <w:t>(with some modifications), we make our</w:t>
      </w:r>
      <w:r w:rsidR="007E2803">
        <w:rPr>
          <w:rFonts w:cs="Arial"/>
          <w:lang w:val="en-US"/>
        </w:rPr>
        <w:t xml:space="preserve"> </w:t>
      </w:r>
      <w:r w:rsidR="007E2803" w:rsidRPr="00524162">
        <w:rPr>
          <w:rFonts w:cs="Arial"/>
          <w:b/>
          <w:lang w:val="en-US"/>
        </w:rPr>
        <w:t>Final Recommendation 10</w:t>
      </w:r>
      <w:r w:rsidR="002F0EDE" w:rsidRPr="002F0EDE">
        <w:rPr>
          <w:rFonts w:cs="Arial"/>
          <w:lang w:val="en-US"/>
        </w:rPr>
        <w:t>:</w:t>
      </w:r>
    </w:p>
    <w:p w14:paraId="7A65F383" w14:textId="77777777" w:rsidR="0035448B" w:rsidRDefault="0035448B" w:rsidP="002F0EDE">
      <w:pPr>
        <w:widowControl/>
        <w:tabs>
          <w:tab w:val="clear" w:pos="1418"/>
        </w:tabs>
        <w:adjustRightInd/>
        <w:rPr>
          <w:rFonts w:cs="Arial"/>
          <w:lang w:val="en-US"/>
        </w:rPr>
      </w:pPr>
    </w:p>
    <w:p w14:paraId="343BE4D2" w14:textId="77777777" w:rsidR="00343E46" w:rsidRPr="00567762" w:rsidRDefault="00343E46" w:rsidP="00567762">
      <w:pPr>
        <w:widowControl/>
        <w:tabs>
          <w:tab w:val="clear" w:pos="1418"/>
        </w:tabs>
        <w:adjustRightInd/>
        <w:spacing w:after="240"/>
        <w:ind w:left="720" w:right="720"/>
        <w:rPr>
          <w:rFonts w:cs="Arial"/>
          <w:i/>
          <w:lang w:val="en-US"/>
        </w:rPr>
      </w:pPr>
      <w:r>
        <w:rPr>
          <w:rFonts w:cs="Arial"/>
          <w:i/>
          <w:lang w:val="en-US"/>
        </w:rPr>
        <w:t>“</w:t>
      </w:r>
      <w:r w:rsidRPr="00567762">
        <w:rPr>
          <w:rFonts w:cs="Arial"/>
          <w:i/>
          <w:lang w:val="en-US"/>
        </w:rPr>
        <w:t>We recommend:</w:t>
      </w:r>
    </w:p>
    <w:p w14:paraId="78C62C6B" w14:textId="77777777" w:rsidR="00343E46" w:rsidRPr="00567762" w:rsidRDefault="00343E46" w:rsidP="00DD237B">
      <w:pPr>
        <w:widowControl/>
        <w:adjustRightInd/>
        <w:spacing w:after="240"/>
        <w:ind w:left="1440" w:right="720" w:hanging="720"/>
        <w:rPr>
          <w:rFonts w:cs="Arial"/>
          <w:i/>
          <w:lang w:val="en-US"/>
        </w:rPr>
      </w:pPr>
      <w:r w:rsidRPr="00567762">
        <w:rPr>
          <w:rFonts w:cs="Arial"/>
          <w:i/>
          <w:lang w:val="en-US"/>
        </w:rPr>
        <w:t>(a)</w:t>
      </w:r>
      <w:r w:rsidRPr="00567762">
        <w:rPr>
          <w:rFonts w:cs="Arial"/>
          <w:i/>
          <w:lang w:val="en-US"/>
        </w:rPr>
        <w:tab/>
        <w:t xml:space="preserve">adopting section 14(1)(d) of the Criminal Law </w:t>
      </w:r>
      <w:r w:rsidRPr="006269AE">
        <w:rPr>
          <w:rFonts w:cs="Arial"/>
          <w:i/>
          <w:spacing w:val="4"/>
          <w:lang w:val="en-US"/>
        </w:rPr>
        <w:t>Consolidation Act 1935 in South Australia (as amended in</w:t>
      </w:r>
      <w:r w:rsidRPr="00567762">
        <w:rPr>
          <w:rFonts w:cs="Arial"/>
          <w:i/>
          <w:lang w:val="en-US"/>
        </w:rPr>
        <w:t xml:space="preserve"> 2005), with the revisions set out in paragraph (b) below, </w:t>
      </w:r>
      <w:r w:rsidRPr="006269AE">
        <w:rPr>
          <w:rFonts w:cs="Arial"/>
          <w:i/>
          <w:spacing w:val="10"/>
          <w:lang w:val="en-US"/>
        </w:rPr>
        <w:t>as the proposed section 25A(1)(d) and (e)</w:t>
      </w:r>
      <w:r w:rsidRPr="006269AE">
        <w:rPr>
          <w:rStyle w:val="FootnoteReference"/>
          <w:bCs/>
          <w:color w:val="000000"/>
          <w:spacing w:val="10"/>
          <w:sz w:val="24"/>
          <w:szCs w:val="24"/>
        </w:rPr>
        <w:footnoteReference w:id="12"/>
      </w:r>
      <w:r w:rsidRPr="006269AE">
        <w:rPr>
          <w:rFonts w:cs="Arial"/>
          <w:i/>
          <w:spacing w:val="10"/>
          <w:lang w:val="en-US"/>
        </w:rPr>
        <w:t xml:space="preserve"> in the draft</w:t>
      </w:r>
      <w:r w:rsidRPr="006269AE">
        <w:rPr>
          <w:rFonts w:cs="Arial"/>
          <w:i/>
          <w:spacing w:val="4"/>
          <w:lang w:val="en-US"/>
        </w:rPr>
        <w:t xml:space="preserve"> Bill. </w:t>
      </w:r>
    </w:p>
    <w:p w14:paraId="65A306CB" w14:textId="77777777" w:rsidR="00343E46" w:rsidRPr="00567762" w:rsidRDefault="00343E46" w:rsidP="00DD237B">
      <w:pPr>
        <w:widowControl/>
        <w:adjustRightInd/>
        <w:spacing w:after="240"/>
        <w:ind w:left="1440" w:right="720" w:hanging="720"/>
        <w:rPr>
          <w:rFonts w:cs="Arial"/>
          <w:i/>
          <w:lang w:val="en-US"/>
        </w:rPr>
      </w:pPr>
      <w:r w:rsidRPr="00567762">
        <w:rPr>
          <w:rFonts w:cs="Arial"/>
          <w:i/>
          <w:lang w:val="en-US"/>
        </w:rPr>
        <w:t xml:space="preserve">(b) </w:t>
      </w:r>
      <w:r w:rsidRPr="00567762">
        <w:rPr>
          <w:rFonts w:cs="Arial"/>
          <w:i/>
          <w:lang w:val="en-US"/>
        </w:rPr>
        <w:tab/>
      </w:r>
      <w:proofErr w:type="gramStart"/>
      <w:r w:rsidRPr="00567762">
        <w:rPr>
          <w:rFonts w:cs="Arial"/>
          <w:i/>
          <w:lang w:val="en-US"/>
        </w:rPr>
        <w:t>the</w:t>
      </w:r>
      <w:proofErr w:type="gramEnd"/>
      <w:r w:rsidRPr="00567762">
        <w:rPr>
          <w:rFonts w:cs="Arial"/>
          <w:i/>
          <w:lang w:val="en-US"/>
        </w:rPr>
        <w:t xml:space="preserve"> revisions are as follows:</w:t>
      </w:r>
    </w:p>
    <w:p w14:paraId="3A4898C0" w14:textId="5E2FC87F" w:rsidR="00814EC6" w:rsidRDefault="00343E46" w:rsidP="00567762">
      <w:pPr>
        <w:widowControl/>
        <w:tabs>
          <w:tab w:val="left" w:pos="1985"/>
        </w:tabs>
        <w:adjustRightInd/>
        <w:spacing w:after="240"/>
        <w:ind w:left="1985" w:right="720" w:hanging="567"/>
        <w:rPr>
          <w:rFonts w:cs="Arial"/>
          <w:i/>
          <w:lang w:val="en-US"/>
        </w:rPr>
      </w:pPr>
      <w:r w:rsidRPr="00567762">
        <w:rPr>
          <w:rFonts w:cs="Arial"/>
          <w:i/>
          <w:lang w:val="en-US"/>
        </w:rPr>
        <w:t>(</w:t>
      </w:r>
      <w:proofErr w:type="spellStart"/>
      <w:r w:rsidRPr="00567762">
        <w:rPr>
          <w:rFonts w:cs="Arial"/>
          <w:i/>
          <w:lang w:val="en-US"/>
        </w:rPr>
        <w:t>i</w:t>
      </w:r>
      <w:proofErr w:type="spellEnd"/>
      <w:r w:rsidRPr="00567762">
        <w:rPr>
          <w:rFonts w:cs="Arial"/>
          <w:i/>
          <w:lang w:val="en-US"/>
        </w:rPr>
        <w:t>)</w:t>
      </w:r>
      <w:r w:rsidRPr="00567762">
        <w:rPr>
          <w:rFonts w:cs="Arial"/>
          <w:i/>
          <w:lang w:val="en-US"/>
        </w:rPr>
        <w:tab/>
      </w:r>
      <w:proofErr w:type="gramStart"/>
      <w:r w:rsidRPr="00567762">
        <w:rPr>
          <w:rFonts w:cs="Arial"/>
          <w:i/>
          <w:lang w:val="en-US"/>
        </w:rPr>
        <w:t>splitting</w:t>
      </w:r>
      <w:proofErr w:type="gramEnd"/>
      <w:r w:rsidRPr="00567762">
        <w:rPr>
          <w:rFonts w:cs="Arial"/>
          <w:i/>
          <w:lang w:val="en-US"/>
        </w:rPr>
        <w:t xml:space="preserve"> paragraph (d) under the original proposed section 25A(1) into two separate paragraphs </w:t>
      </w:r>
      <w:proofErr w:type="spellStart"/>
      <w:r w:rsidRPr="00567762">
        <w:rPr>
          <w:rFonts w:cs="Arial"/>
          <w:i/>
          <w:lang w:val="en-US"/>
        </w:rPr>
        <w:t>ie</w:t>
      </w:r>
      <w:proofErr w:type="spellEnd"/>
      <w:r w:rsidR="009E6673">
        <w:rPr>
          <w:rFonts w:cs="Arial"/>
          <w:i/>
          <w:lang w:val="en-US"/>
        </w:rPr>
        <w:t xml:space="preserve"> </w:t>
      </w:r>
      <w:r w:rsidRPr="00567762">
        <w:rPr>
          <w:rFonts w:cs="Arial"/>
          <w:i/>
          <w:lang w:val="en-US"/>
        </w:rPr>
        <w:t>paragraphs (d) and (e);</w:t>
      </w:r>
    </w:p>
    <w:p w14:paraId="5F3F6984" w14:textId="77777777" w:rsidR="00660370" w:rsidRDefault="00814EC6" w:rsidP="00567762">
      <w:pPr>
        <w:widowControl/>
        <w:adjustRightInd/>
        <w:spacing w:after="240"/>
        <w:ind w:left="2019" w:right="720" w:hanging="601"/>
        <w:rPr>
          <w:rFonts w:cs="Arial"/>
          <w:i/>
          <w:lang w:val="en-US"/>
        </w:rPr>
      </w:pPr>
      <w:r>
        <w:rPr>
          <w:rFonts w:cs="Arial"/>
          <w:i/>
          <w:lang w:val="en-US"/>
        </w:rPr>
        <w:t>(ii)</w:t>
      </w:r>
      <w:r>
        <w:rPr>
          <w:rFonts w:cs="Arial"/>
          <w:i/>
          <w:lang w:val="en-US"/>
        </w:rPr>
        <w:tab/>
      </w:r>
      <w:r w:rsidR="00343E46" w:rsidRPr="00567762">
        <w:rPr>
          <w:rFonts w:cs="Arial"/>
          <w:i/>
          <w:lang w:val="en-US"/>
        </w:rPr>
        <w:t xml:space="preserve">substituting </w:t>
      </w:r>
      <w:r w:rsidR="002B6200">
        <w:rPr>
          <w:rFonts w:cs="Arial"/>
          <w:i/>
          <w:lang w:val="en-US"/>
        </w:rPr>
        <w:t>‘</w:t>
      </w:r>
      <w:r w:rsidR="00343E46" w:rsidRPr="00567762">
        <w:rPr>
          <w:rFonts w:cs="Arial"/>
          <w:i/>
          <w:lang w:val="en-US"/>
        </w:rPr>
        <w:t>reasonable steps</w:t>
      </w:r>
      <w:r w:rsidR="002B6200">
        <w:rPr>
          <w:rFonts w:cs="Arial"/>
          <w:i/>
          <w:lang w:val="en-US"/>
        </w:rPr>
        <w:t>’</w:t>
      </w:r>
      <w:r w:rsidR="00343E46" w:rsidRPr="00567762">
        <w:rPr>
          <w:rFonts w:cs="Arial"/>
          <w:i/>
          <w:lang w:val="en-US"/>
        </w:rPr>
        <w:t xml:space="preserve"> for </w:t>
      </w:r>
      <w:r w:rsidR="002B6200">
        <w:rPr>
          <w:rFonts w:cs="Arial"/>
          <w:i/>
          <w:lang w:val="en-US"/>
        </w:rPr>
        <w:t>‘</w:t>
      </w:r>
      <w:r w:rsidR="00343E46" w:rsidRPr="00567762">
        <w:rPr>
          <w:rFonts w:cs="Arial"/>
          <w:i/>
          <w:lang w:val="en-US"/>
        </w:rPr>
        <w:t>steps that he or she could reasonably be expected to have taken</w:t>
      </w:r>
      <w:r w:rsidR="002B6200">
        <w:rPr>
          <w:rFonts w:cs="Arial"/>
          <w:i/>
          <w:lang w:val="en-US"/>
        </w:rPr>
        <w:t>’</w:t>
      </w:r>
      <w:r w:rsidR="00343E46" w:rsidRPr="00567762">
        <w:rPr>
          <w:rFonts w:cs="Arial"/>
          <w:i/>
          <w:lang w:val="en-US"/>
        </w:rPr>
        <w:t xml:space="preserve"> and adding </w:t>
      </w:r>
      <w:r w:rsidR="002B6200">
        <w:rPr>
          <w:rFonts w:cs="Arial"/>
          <w:i/>
          <w:lang w:val="en-US"/>
        </w:rPr>
        <w:t>‘</w:t>
      </w:r>
      <w:r w:rsidR="00343E46" w:rsidRPr="00567762">
        <w:rPr>
          <w:rFonts w:cs="Arial"/>
          <w:i/>
          <w:lang w:val="en-US"/>
        </w:rPr>
        <w:t>such</w:t>
      </w:r>
      <w:r w:rsidR="002B6200">
        <w:rPr>
          <w:rFonts w:cs="Arial"/>
          <w:i/>
          <w:lang w:val="en-US"/>
        </w:rPr>
        <w:t>’</w:t>
      </w:r>
      <w:r w:rsidR="00343E46" w:rsidRPr="00567762">
        <w:rPr>
          <w:rFonts w:cs="Arial"/>
          <w:i/>
          <w:lang w:val="en-US"/>
        </w:rPr>
        <w:t xml:space="preserve"> before </w:t>
      </w:r>
      <w:r w:rsidR="002B6200">
        <w:rPr>
          <w:rFonts w:cs="Arial"/>
          <w:i/>
          <w:lang w:val="en-US"/>
        </w:rPr>
        <w:t>‘</w:t>
      </w:r>
      <w:r w:rsidR="00343E46" w:rsidRPr="00567762">
        <w:rPr>
          <w:rFonts w:cs="Arial"/>
          <w:i/>
          <w:lang w:val="en-US"/>
        </w:rPr>
        <w:t>harm</w:t>
      </w:r>
      <w:r w:rsidR="002B6200">
        <w:rPr>
          <w:rFonts w:cs="Arial"/>
          <w:i/>
          <w:lang w:val="en-US"/>
        </w:rPr>
        <w:t>’</w:t>
      </w:r>
      <w:r w:rsidR="00343E46" w:rsidRPr="00567762">
        <w:rPr>
          <w:rFonts w:cs="Arial"/>
          <w:i/>
          <w:lang w:val="en-US"/>
        </w:rPr>
        <w:t xml:space="preserve"> in the proposed section 25A(1)(d);</w:t>
      </w:r>
    </w:p>
    <w:p w14:paraId="4462121A" w14:textId="70F76DE2" w:rsidR="00A30A79" w:rsidRDefault="00814EC6" w:rsidP="00567762">
      <w:pPr>
        <w:widowControl/>
        <w:adjustRightInd/>
        <w:spacing w:after="240"/>
        <w:ind w:left="2019" w:right="720" w:hanging="601"/>
        <w:rPr>
          <w:rFonts w:cs="Arial"/>
          <w:i/>
          <w:lang w:val="en-US"/>
        </w:rPr>
      </w:pPr>
      <w:r>
        <w:rPr>
          <w:rFonts w:cs="Arial"/>
          <w:i/>
          <w:lang w:val="en-US"/>
        </w:rPr>
        <w:t>(iii)</w:t>
      </w:r>
      <w:r w:rsidR="009E6673">
        <w:rPr>
          <w:rFonts w:cs="Arial"/>
          <w:i/>
          <w:lang w:val="en-US"/>
        </w:rPr>
        <w:tab/>
      </w:r>
      <w:proofErr w:type="gramStart"/>
      <w:r w:rsidR="00343E46" w:rsidRPr="00567762">
        <w:rPr>
          <w:rFonts w:cs="Arial"/>
          <w:i/>
          <w:lang w:val="en-US"/>
        </w:rPr>
        <w:t>substituting</w:t>
      </w:r>
      <w:proofErr w:type="gramEnd"/>
      <w:r w:rsidR="00343E46" w:rsidRPr="00567762">
        <w:rPr>
          <w:rFonts w:cs="Arial"/>
          <w:i/>
          <w:lang w:val="en-US"/>
        </w:rPr>
        <w:t xml:space="preserve"> </w:t>
      </w:r>
      <w:r w:rsidR="002B6200">
        <w:rPr>
          <w:rFonts w:cs="Arial"/>
          <w:i/>
          <w:lang w:val="en-US"/>
        </w:rPr>
        <w:t>‘</w:t>
      </w:r>
      <w:r w:rsidR="00343E46" w:rsidRPr="00567762">
        <w:rPr>
          <w:rFonts w:cs="Arial"/>
          <w:i/>
          <w:lang w:val="en-US"/>
        </w:rPr>
        <w:t>mentioned in paragraph (d)</w:t>
      </w:r>
      <w:r w:rsidR="002B6200">
        <w:rPr>
          <w:rFonts w:cs="Arial"/>
          <w:i/>
          <w:lang w:val="en-US"/>
        </w:rPr>
        <w:t>’</w:t>
      </w:r>
      <w:r w:rsidR="00343E46" w:rsidRPr="00567762">
        <w:rPr>
          <w:rFonts w:cs="Arial"/>
          <w:i/>
          <w:lang w:val="en-US"/>
        </w:rPr>
        <w:t xml:space="preserve"> for </w:t>
      </w:r>
      <w:r w:rsidR="002B6200">
        <w:rPr>
          <w:rFonts w:cs="Arial"/>
          <w:i/>
          <w:lang w:val="en-US"/>
        </w:rPr>
        <w:t>‘</w:t>
      </w:r>
      <w:r w:rsidR="00343E46" w:rsidRPr="00567762">
        <w:rPr>
          <w:rFonts w:cs="Arial"/>
          <w:i/>
          <w:lang w:val="en-US"/>
        </w:rPr>
        <w:t>to do so</w:t>
      </w:r>
      <w:r w:rsidR="002B6200">
        <w:rPr>
          <w:rFonts w:cs="Arial"/>
          <w:i/>
          <w:lang w:val="en-US"/>
        </w:rPr>
        <w:t>’</w:t>
      </w:r>
      <w:r w:rsidR="00343E46" w:rsidRPr="00567762">
        <w:rPr>
          <w:rFonts w:cs="Arial"/>
          <w:i/>
          <w:lang w:val="en-US"/>
        </w:rPr>
        <w:t xml:space="preserve"> in the proposed section 25A(1)(e); and</w:t>
      </w:r>
    </w:p>
    <w:p w14:paraId="015D4D2F" w14:textId="1F5441C2" w:rsidR="00894606" w:rsidRDefault="00A30A79" w:rsidP="00567762">
      <w:pPr>
        <w:widowControl/>
        <w:tabs>
          <w:tab w:val="left" w:pos="1985"/>
        </w:tabs>
        <w:adjustRightInd/>
        <w:spacing w:after="240"/>
        <w:ind w:left="1985" w:right="720" w:hanging="567"/>
        <w:rPr>
          <w:rFonts w:cs="Arial"/>
          <w:i/>
          <w:lang w:val="en-US"/>
        </w:rPr>
      </w:pPr>
      <w:r>
        <w:rPr>
          <w:rFonts w:cs="Arial"/>
          <w:i/>
          <w:lang w:val="en-US"/>
        </w:rPr>
        <w:lastRenderedPageBreak/>
        <w:t>(iv)</w:t>
      </w:r>
      <w:r>
        <w:rPr>
          <w:rFonts w:cs="Arial"/>
          <w:i/>
          <w:lang w:val="en-US"/>
        </w:rPr>
        <w:tab/>
      </w:r>
      <w:proofErr w:type="gramStart"/>
      <w:r w:rsidR="00343E46" w:rsidRPr="00567762">
        <w:rPr>
          <w:rFonts w:cs="Arial"/>
          <w:i/>
          <w:lang w:val="en-US"/>
        </w:rPr>
        <w:t>adding</w:t>
      </w:r>
      <w:proofErr w:type="gramEnd"/>
      <w:r w:rsidR="00343E46" w:rsidRPr="00567762">
        <w:rPr>
          <w:rFonts w:cs="Arial"/>
          <w:i/>
          <w:lang w:val="en-US"/>
        </w:rPr>
        <w:t xml:space="preserve"> subsections (3A) and (3B)</w:t>
      </w:r>
      <w:r w:rsidR="00343E46" w:rsidRPr="00567762">
        <w:rPr>
          <w:rStyle w:val="FootnoteReference"/>
          <w:bCs/>
          <w:color w:val="000000"/>
          <w:sz w:val="24"/>
          <w:szCs w:val="24"/>
        </w:rPr>
        <w:footnoteReference w:id="13"/>
      </w:r>
      <w:r w:rsidR="00343E46" w:rsidRPr="00567762">
        <w:rPr>
          <w:rFonts w:cs="Arial"/>
          <w:i/>
          <w:lang w:val="en-US"/>
        </w:rPr>
        <w:t xml:space="preserve"> in the proposed </w:t>
      </w:r>
      <w:r w:rsidR="00343E46" w:rsidRPr="00E5421F">
        <w:rPr>
          <w:rFonts w:cs="Arial"/>
          <w:i/>
          <w:spacing w:val="6"/>
          <w:lang w:val="en-US"/>
        </w:rPr>
        <w:t xml:space="preserve">section 25A in the draft Bill to specify the factors </w:t>
      </w:r>
      <w:r w:rsidR="00343E46" w:rsidRPr="00567762">
        <w:rPr>
          <w:rFonts w:cs="Arial"/>
          <w:i/>
          <w:lang w:val="en-US"/>
        </w:rPr>
        <w:t xml:space="preserve">for determining the </w:t>
      </w:r>
      <w:r w:rsidR="002B6200">
        <w:rPr>
          <w:rFonts w:cs="Arial"/>
          <w:i/>
          <w:lang w:val="en-US"/>
        </w:rPr>
        <w:t>‘</w:t>
      </w:r>
      <w:r w:rsidR="00343E46" w:rsidRPr="00567762">
        <w:rPr>
          <w:rFonts w:cs="Arial"/>
          <w:i/>
          <w:lang w:val="en-US"/>
        </w:rPr>
        <w:t>reasonable steps in the circumstances</w:t>
      </w:r>
      <w:r w:rsidR="002B6200">
        <w:rPr>
          <w:rFonts w:cs="Arial"/>
          <w:i/>
          <w:lang w:val="en-US"/>
        </w:rPr>
        <w:t>’</w:t>
      </w:r>
      <w:r w:rsidR="00343E46" w:rsidRPr="00567762">
        <w:rPr>
          <w:rFonts w:cs="Arial"/>
          <w:i/>
          <w:lang w:val="en-US"/>
        </w:rPr>
        <w:t xml:space="preserve"> for the purposes of its</w:t>
      </w:r>
      <w:r w:rsidR="00343E46">
        <w:rPr>
          <w:rFonts w:cs="Arial"/>
          <w:i/>
          <w:lang w:val="en-US"/>
        </w:rPr>
        <w:t xml:space="preserve"> subsection (1)(d).”</w:t>
      </w:r>
    </w:p>
    <w:p w14:paraId="7366C077" w14:textId="77777777" w:rsidR="00343E46" w:rsidRPr="00567762" w:rsidRDefault="00343E46" w:rsidP="00343E46">
      <w:pPr>
        <w:widowControl/>
        <w:tabs>
          <w:tab w:val="clear" w:pos="1418"/>
        </w:tabs>
        <w:adjustRightInd/>
        <w:rPr>
          <w:rFonts w:cs="Arial"/>
          <w:i/>
          <w:lang w:val="en-US"/>
        </w:rPr>
      </w:pPr>
    </w:p>
    <w:p w14:paraId="47F27E81" w14:textId="77777777" w:rsidR="002F0EDE" w:rsidRPr="00202346" w:rsidRDefault="006E51FD" w:rsidP="002F0EDE">
      <w:pPr>
        <w:widowControl/>
        <w:tabs>
          <w:tab w:val="clear" w:pos="1418"/>
        </w:tabs>
        <w:adjustRightInd/>
        <w:rPr>
          <w:b/>
          <w:sz w:val="28"/>
          <w:szCs w:val="28"/>
          <w:lang w:val="en-US"/>
        </w:rPr>
      </w:pPr>
      <w:r w:rsidRPr="00202346">
        <w:rPr>
          <w:b/>
          <w:sz w:val="28"/>
          <w:szCs w:val="28"/>
          <w:lang w:val="en-US"/>
        </w:rPr>
        <w:t>Chapter 7: Evidential matters</w:t>
      </w:r>
    </w:p>
    <w:p w14:paraId="3CEC082F" w14:textId="77777777" w:rsidR="006E51FD" w:rsidRDefault="006E51FD" w:rsidP="002F0EDE">
      <w:pPr>
        <w:widowControl/>
        <w:tabs>
          <w:tab w:val="clear" w:pos="1418"/>
        </w:tabs>
        <w:adjustRightInd/>
        <w:rPr>
          <w:rFonts w:cs="Arial"/>
          <w:b/>
          <w:lang w:val="en-US"/>
        </w:rPr>
      </w:pPr>
    </w:p>
    <w:p w14:paraId="4602CD70" w14:textId="77777777" w:rsidR="002F0EDE" w:rsidRPr="00202346" w:rsidRDefault="003176D1" w:rsidP="002F0EDE">
      <w:pPr>
        <w:widowControl/>
        <w:tabs>
          <w:tab w:val="clear" w:pos="1418"/>
        </w:tabs>
        <w:adjustRightInd/>
        <w:rPr>
          <w:rFonts w:cs="Arial"/>
          <w:i/>
          <w:lang w:val="en-US"/>
        </w:rPr>
      </w:pPr>
      <w:r>
        <w:rPr>
          <w:rFonts w:cs="Arial"/>
          <w:b/>
          <w:i/>
          <w:lang w:val="en-US"/>
        </w:rPr>
        <w:t>N</w:t>
      </w:r>
      <w:r w:rsidR="00AE06A1" w:rsidRPr="00AE06A1">
        <w:rPr>
          <w:rFonts w:cs="Arial"/>
          <w:b/>
          <w:i/>
          <w:lang w:val="en-US"/>
        </w:rPr>
        <w:t>ot necessary to prove who did the unlawful act or neglect</w:t>
      </w:r>
    </w:p>
    <w:p w14:paraId="74901DC6" w14:textId="77777777" w:rsidR="002F0EDE" w:rsidRPr="002F0EDE" w:rsidRDefault="002F0EDE" w:rsidP="002F0EDE">
      <w:pPr>
        <w:widowControl/>
        <w:tabs>
          <w:tab w:val="clear" w:pos="1418"/>
        </w:tabs>
        <w:adjustRightInd/>
        <w:rPr>
          <w:rFonts w:cs="Arial"/>
          <w:lang w:val="en-US"/>
        </w:rPr>
      </w:pPr>
    </w:p>
    <w:p w14:paraId="57D317D5" w14:textId="77777777" w:rsidR="00180AED" w:rsidRDefault="00EE7CF0" w:rsidP="002F0EDE">
      <w:pPr>
        <w:widowControl/>
        <w:tabs>
          <w:tab w:val="clear" w:pos="1418"/>
        </w:tabs>
        <w:adjustRightInd/>
        <w:rPr>
          <w:rFonts w:cs="Arial"/>
          <w:lang w:val="en-US"/>
        </w:rPr>
      </w:pPr>
      <w:r>
        <w:rPr>
          <w:rFonts w:cs="Arial"/>
          <w:lang w:val="en-US"/>
        </w:rPr>
        <w:t>2</w:t>
      </w:r>
      <w:r w:rsidR="00B1197A">
        <w:rPr>
          <w:rFonts w:cs="Arial"/>
          <w:lang w:val="en-US"/>
        </w:rPr>
        <w:t>8</w:t>
      </w:r>
      <w:r w:rsidR="006E51FD">
        <w:rPr>
          <w:rFonts w:cs="Arial"/>
          <w:lang w:val="en-US"/>
        </w:rPr>
        <w:t>.</w:t>
      </w:r>
      <w:r w:rsidR="006E51FD">
        <w:rPr>
          <w:rFonts w:cs="Arial"/>
          <w:lang w:val="en-US"/>
        </w:rPr>
        <w:tab/>
      </w:r>
      <w:r w:rsidR="006E51FD">
        <w:rPr>
          <w:rFonts w:cs="Arial"/>
          <w:lang w:val="en-US"/>
        </w:rPr>
        <w:tab/>
      </w:r>
      <w:r w:rsidR="00054AA6">
        <w:rPr>
          <w:rFonts w:cs="Arial"/>
          <w:lang w:val="en-US"/>
        </w:rPr>
        <w:t xml:space="preserve">Recommendation 11 in the CP recommends that it </w:t>
      </w:r>
      <w:r w:rsidR="00054AA6" w:rsidRPr="00AE06A1">
        <w:rPr>
          <w:rFonts w:cs="Arial"/>
          <w:lang w:val="en-US"/>
        </w:rPr>
        <w:t xml:space="preserve">is not necessary for the prosecution to prove who </w:t>
      </w:r>
      <w:proofErr w:type="gramStart"/>
      <w:r w:rsidR="00054AA6" w:rsidRPr="00AE06A1">
        <w:rPr>
          <w:rFonts w:cs="Arial"/>
          <w:lang w:val="en-US"/>
        </w:rPr>
        <w:t>did the unlawful act</w:t>
      </w:r>
      <w:proofErr w:type="gramEnd"/>
      <w:r w:rsidR="00054AA6" w:rsidRPr="00AE06A1">
        <w:rPr>
          <w:rFonts w:cs="Arial"/>
          <w:lang w:val="en-US"/>
        </w:rPr>
        <w:t xml:space="preserve"> or neglect</w:t>
      </w:r>
      <w:r w:rsidR="00054AA6">
        <w:rPr>
          <w:rFonts w:cs="Arial"/>
          <w:lang w:val="en-US"/>
        </w:rPr>
        <w:t xml:space="preserve">.  </w:t>
      </w:r>
      <w:r w:rsidR="00992766" w:rsidRPr="00992766">
        <w:rPr>
          <w:rFonts w:cs="Arial"/>
          <w:lang w:val="en-US"/>
        </w:rPr>
        <w:t xml:space="preserve">A majority of the Respondents who have expressly stated their stance support </w:t>
      </w:r>
      <w:r w:rsidR="00054AA6">
        <w:rPr>
          <w:rFonts w:cs="Arial"/>
          <w:lang w:val="en-US"/>
        </w:rPr>
        <w:t>th</w:t>
      </w:r>
      <w:r w:rsidR="00D26F17">
        <w:rPr>
          <w:rFonts w:cs="Arial"/>
          <w:lang w:val="en-US"/>
        </w:rPr>
        <w:t>is</w:t>
      </w:r>
      <w:r w:rsidR="00054AA6">
        <w:rPr>
          <w:rFonts w:cs="Arial"/>
          <w:lang w:val="en-US"/>
        </w:rPr>
        <w:t xml:space="preserve"> </w:t>
      </w:r>
      <w:r w:rsidR="003A671E">
        <w:rPr>
          <w:rFonts w:cs="Arial"/>
          <w:lang w:val="en-US"/>
        </w:rPr>
        <w:t>r</w:t>
      </w:r>
      <w:r w:rsidR="00992766" w:rsidRPr="00992766">
        <w:rPr>
          <w:rFonts w:cs="Arial"/>
          <w:lang w:val="en-US"/>
        </w:rPr>
        <w:t>ecommendation</w:t>
      </w:r>
      <w:r w:rsidR="00054AA6">
        <w:rPr>
          <w:rFonts w:cs="Arial"/>
          <w:lang w:val="en-US"/>
        </w:rPr>
        <w:t>.</w:t>
      </w:r>
      <w:r w:rsidR="00091035">
        <w:rPr>
          <w:rFonts w:cs="Arial"/>
          <w:lang w:val="en-US"/>
        </w:rPr>
        <w:t xml:space="preserve">  </w:t>
      </w:r>
      <w:r w:rsidR="00180AED">
        <w:rPr>
          <w:rFonts w:cs="Arial"/>
          <w:lang w:val="en-US"/>
        </w:rPr>
        <w:t xml:space="preserve">Some </w:t>
      </w:r>
      <w:r w:rsidR="00180AED" w:rsidRPr="00180AED">
        <w:rPr>
          <w:rFonts w:cs="Arial"/>
          <w:lang w:val="en-US"/>
        </w:rPr>
        <w:t xml:space="preserve">social service </w:t>
      </w:r>
      <w:proofErr w:type="spellStart"/>
      <w:r w:rsidR="00180AED" w:rsidRPr="00180AED">
        <w:rPr>
          <w:rFonts w:cs="Arial"/>
          <w:lang w:val="en-US"/>
        </w:rPr>
        <w:t>organisations</w:t>
      </w:r>
      <w:proofErr w:type="spellEnd"/>
      <w:r w:rsidR="00180AED">
        <w:rPr>
          <w:rFonts w:cs="Arial"/>
          <w:lang w:val="en-US"/>
        </w:rPr>
        <w:t xml:space="preserve"> </w:t>
      </w:r>
      <w:r w:rsidR="00180AED" w:rsidRPr="00180AED">
        <w:rPr>
          <w:rFonts w:cs="Arial"/>
          <w:lang w:val="en-US"/>
        </w:rPr>
        <w:t xml:space="preserve">oppose </w:t>
      </w:r>
      <w:r w:rsidR="00D26F17">
        <w:rPr>
          <w:rFonts w:cs="Arial"/>
          <w:lang w:val="en-US"/>
        </w:rPr>
        <w:t xml:space="preserve">this </w:t>
      </w:r>
      <w:r w:rsidR="003A671E">
        <w:rPr>
          <w:rFonts w:cs="Arial"/>
          <w:lang w:val="en-US"/>
        </w:rPr>
        <w:t>r</w:t>
      </w:r>
      <w:r w:rsidR="00180AED" w:rsidRPr="00180AED">
        <w:rPr>
          <w:rFonts w:cs="Arial"/>
          <w:lang w:val="en-US"/>
        </w:rPr>
        <w:t xml:space="preserve">ecommendation </w:t>
      </w:r>
      <w:r w:rsidR="00180AED">
        <w:rPr>
          <w:rFonts w:cs="Arial"/>
          <w:lang w:val="en-US"/>
        </w:rPr>
        <w:t>because they</w:t>
      </w:r>
      <w:r w:rsidR="00180AED" w:rsidRPr="00180AED">
        <w:rPr>
          <w:rFonts w:cs="Arial"/>
          <w:lang w:val="en-US"/>
        </w:rPr>
        <w:t xml:space="preserve"> are concern</w:t>
      </w:r>
      <w:r w:rsidR="00180AED">
        <w:rPr>
          <w:rFonts w:cs="Arial"/>
          <w:lang w:val="en-US"/>
        </w:rPr>
        <w:t>ed</w:t>
      </w:r>
      <w:r w:rsidR="00180AED" w:rsidRPr="00180AED">
        <w:rPr>
          <w:rFonts w:cs="Arial"/>
          <w:lang w:val="en-US"/>
        </w:rPr>
        <w:t xml:space="preserve"> that the proposed offence would</w:t>
      </w:r>
      <w:r w:rsidR="00180AED">
        <w:rPr>
          <w:rFonts w:cs="Arial"/>
          <w:lang w:val="en-US"/>
        </w:rPr>
        <w:t>:</w:t>
      </w:r>
    </w:p>
    <w:p w14:paraId="58463D97" w14:textId="77777777" w:rsidR="00180AED" w:rsidRDefault="00180AED" w:rsidP="002F0EDE">
      <w:pPr>
        <w:widowControl/>
        <w:tabs>
          <w:tab w:val="clear" w:pos="1418"/>
        </w:tabs>
        <w:adjustRightInd/>
        <w:rPr>
          <w:rFonts w:cs="Arial"/>
          <w:lang w:val="en-US"/>
        </w:rPr>
      </w:pPr>
    </w:p>
    <w:p w14:paraId="19B5A353" w14:textId="77777777" w:rsidR="00180AED" w:rsidRDefault="00180AED" w:rsidP="006269AE">
      <w:pPr>
        <w:widowControl/>
        <w:tabs>
          <w:tab w:val="clear" w:pos="1418"/>
        </w:tabs>
        <w:adjustRightInd/>
        <w:spacing w:after="240"/>
        <w:ind w:left="1440" w:hanging="720"/>
        <w:rPr>
          <w:rFonts w:cs="Arial"/>
          <w:lang w:val="en-US"/>
        </w:rPr>
      </w:pPr>
      <w:r>
        <w:rPr>
          <w:rFonts w:cs="Arial"/>
          <w:lang w:val="en-US"/>
        </w:rPr>
        <w:t>(a)</w:t>
      </w:r>
      <w:r w:rsidRPr="00180AED">
        <w:rPr>
          <w:rFonts w:cs="Arial"/>
          <w:lang w:val="en-US"/>
        </w:rPr>
        <w:t xml:space="preserve"> </w:t>
      </w:r>
      <w:r>
        <w:rPr>
          <w:rFonts w:cs="Arial"/>
          <w:lang w:val="en-US"/>
        </w:rPr>
        <w:tab/>
      </w:r>
      <w:r w:rsidRPr="00180AED">
        <w:rPr>
          <w:rFonts w:cs="Arial"/>
          <w:lang w:val="en-US"/>
        </w:rPr>
        <w:t xml:space="preserve">infringe </w:t>
      </w:r>
      <w:r w:rsidR="003D72AE">
        <w:rPr>
          <w:rFonts w:cs="Arial"/>
          <w:lang w:val="en-US"/>
        </w:rPr>
        <w:t xml:space="preserve">the </w:t>
      </w:r>
      <w:r w:rsidRPr="00180AED">
        <w:rPr>
          <w:rFonts w:cs="Arial"/>
          <w:lang w:val="en-US"/>
        </w:rPr>
        <w:t>defendant</w:t>
      </w:r>
      <w:r w:rsidR="00D26F17">
        <w:rPr>
          <w:rFonts w:cs="Arial"/>
          <w:lang w:val="en-US"/>
        </w:rPr>
        <w:t>s</w:t>
      </w:r>
      <w:r w:rsidRPr="00180AED">
        <w:rPr>
          <w:rFonts w:cs="Arial"/>
          <w:lang w:val="en-US"/>
        </w:rPr>
        <w:t>’ right to a fair trial</w:t>
      </w:r>
      <w:r>
        <w:rPr>
          <w:rFonts w:cs="Arial"/>
          <w:lang w:val="en-US"/>
        </w:rPr>
        <w:t>, i</w:t>
      </w:r>
      <w:r w:rsidRPr="00180AED">
        <w:rPr>
          <w:rFonts w:cs="Arial"/>
          <w:lang w:val="en-US"/>
        </w:rPr>
        <w:t>n particular, shifting of the onus of proof and diminution of right to silence, privilege against self-incrimination and presumption of innocence</w:t>
      </w:r>
      <w:r>
        <w:rPr>
          <w:rFonts w:cs="Arial"/>
          <w:lang w:val="en-US"/>
        </w:rPr>
        <w:t>;</w:t>
      </w:r>
      <w:r w:rsidR="00D26F17">
        <w:rPr>
          <w:rFonts w:cs="Arial"/>
          <w:lang w:val="en-US"/>
        </w:rPr>
        <w:t xml:space="preserve"> and</w:t>
      </w:r>
    </w:p>
    <w:p w14:paraId="684755FB" w14:textId="77777777" w:rsidR="00992766" w:rsidRDefault="00180AED" w:rsidP="006269AE">
      <w:pPr>
        <w:widowControl/>
        <w:tabs>
          <w:tab w:val="clear" w:pos="1418"/>
        </w:tabs>
        <w:adjustRightInd/>
        <w:ind w:left="1440" w:hanging="720"/>
        <w:rPr>
          <w:rFonts w:cs="Arial"/>
          <w:lang w:val="en-US"/>
        </w:rPr>
      </w:pPr>
      <w:r w:rsidRPr="00180AED">
        <w:rPr>
          <w:rFonts w:cs="Arial"/>
          <w:lang w:val="en-US"/>
        </w:rPr>
        <w:t>(b)</w:t>
      </w:r>
      <w:r w:rsidRPr="00180AED">
        <w:rPr>
          <w:rFonts w:cs="Arial"/>
          <w:lang w:val="en-US"/>
        </w:rPr>
        <w:tab/>
      </w:r>
      <w:proofErr w:type="gramStart"/>
      <w:r>
        <w:rPr>
          <w:rFonts w:cs="Arial"/>
          <w:lang w:val="en-US"/>
        </w:rPr>
        <w:t>encourage</w:t>
      </w:r>
      <w:proofErr w:type="gramEnd"/>
      <w:r>
        <w:rPr>
          <w:rFonts w:cs="Arial"/>
          <w:lang w:val="en-US"/>
        </w:rPr>
        <w:t xml:space="preserve"> t</w:t>
      </w:r>
      <w:r w:rsidRPr="00180AED">
        <w:rPr>
          <w:rFonts w:cs="Arial"/>
          <w:lang w:val="en-US"/>
        </w:rPr>
        <w:t>he prosecution to charge a bystander instead of the perpetrator of the abuse</w:t>
      </w:r>
      <w:r>
        <w:rPr>
          <w:rFonts w:cs="Arial"/>
          <w:lang w:val="en-US"/>
        </w:rPr>
        <w:t>.</w:t>
      </w:r>
    </w:p>
    <w:p w14:paraId="13BA6C2E" w14:textId="77777777" w:rsidR="00992766" w:rsidRDefault="00992766" w:rsidP="002F0EDE">
      <w:pPr>
        <w:widowControl/>
        <w:tabs>
          <w:tab w:val="clear" w:pos="1418"/>
        </w:tabs>
        <w:adjustRightInd/>
        <w:rPr>
          <w:rFonts w:cs="Arial"/>
          <w:lang w:val="en-US"/>
        </w:rPr>
      </w:pPr>
    </w:p>
    <w:p w14:paraId="71D4ED0F" w14:textId="77777777" w:rsidR="00A4257B" w:rsidRDefault="00A4257B" w:rsidP="002F0EDE">
      <w:pPr>
        <w:widowControl/>
        <w:tabs>
          <w:tab w:val="clear" w:pos="1418"/>
        </w:tabs>
        <w:adjustRightInd/>
        <w:rPr>
          <w:rFonts w:cs="Arial"/>
          <w:lang w:val="en-US"/>
        </w:rPr>
      </w:pPr>
      <w:r>
        <w:rPr>
          <w:rFonts w:cs="Arial"/>
          <w:lang w:val="en-US"/>
        </w:rPr>
        <w:t xml:space="preserve">There is also a concern that a defendant may try to assert </w:t>
      </w:r>
      <w:r w:rsidR="00A17B84">
        <w:rPr>
          <w:rFonts w:cs="Arial"/>
          <w:lang w:val="en-US"/>
        </w:rPr>
        <w:t xml:space="preserve">a “reasonable possibility” </w:t>
      </w:r>
      <w:r>
        <w:rPr>
          <w:rFonts w:cs="Arial"/>
          <w:lang w:val="en-US"/>
        </w:rPr>
        <w:t>that he is the perpetrator and not the culpable bystander, and should therefore not be liable under the proposed offence which targets culpable bystanders.</w:t>
      </w:r>
    </w:p>
    <w:p w14:paraId="10975C2D" w14:textId="77777777" w:rsidR="00A4257B" w:rsidRDefault="00A4257B" w:rsidP="002F0EDE">
      <w:pPr>
        <w:widowControl/>
        <w:tabs>
          <w:tab w:val="clear" w:pos="1418"/>
        </w:tabs>
        <w:adjustRightInd/>
        <w:rPr>
          <w:rFonts w:cs="Arial"/>
          <w:lang w:val="en-US"/>
        </w:rPr>
      </w:pPr>
    </w:p>
    <w:p w14:paraId="19B7EA6A" w14:textId="77777777" w:rsidR="00A53198" w:rsidRDefault="00091035" w:rsidP="002F0EDE">
      <w:pPr>
        <w:widowControl/>
        <w:tabs>
          <w:tab w:val="clear" w:pos="1418"/>
        </w:tabs>
        <w:adjustRightInd/>
        <w:rPr>
          <w:rFonts w:cs="Arial"/>
          <w:lang w:val="en-US"/>
        </w:rPr>
      </w:pPr>
      <w:r>
        <w:rPr>
          <w:rFonts w:cs="Arial"/>
          <w:lang w:val="en-US"/>
        </w:rPr>
        <w:t>2</w:t>
      </w:r>
      <w:r w:rsidR="00B1197A">
        <w:rPr>
          <w:rFonts w:cs="Arial"/>
          <w:lang w:val="en-US"/>
        </w:rPr>
        <w:t>9</w:t>
      </w:r>
      <w:r w:rsidR="001F601F">
        <w:rPr>
          <w:rFonts w:cs="Arial"/>
          <w:lang w:val="en-US"/>
        </w:rPr>
        <w:t>.</w:t>
      </w:r>
      <w:r w:rsidR="001F601F">
        <w:rPr>
          <w:rFonts w:cs="Arial"/>
          <w:lang w:val="en-US"/>
        </w:rPr>
        <w:tab/>
      </w:r>
      <w:r w:rsidR="001F601F">
        <w:rPr>
          <w:rFonts w:cs="Arial"/>
          <w:lang w:val="en-US"/>
        </w:rPr>
        <w:tab/>
      </w:r>
      <w:proofErr w:type="gramStart"/>
      <w:r w:rsidR="00D26F17">
        <w:rPr>
          <w:rFonts w:cs="Arial"/>
          <w:lang w:val="en-US"/>
        </w:rPr>
        <w:t>For</w:t>
      </w:r>
      <w:proofErr w:type="gramEnd"/>
      <w:r w:rsidR="00D26F17">
        <w:rPr>
          <w:rFonts w:cs="Arial"/>
          <w:lang w:val="en-US"/>
        </w:rPr>
        <w:t xml:space="preserve"> the reasons below, w</w:t>
      </w:r>
      <w:r w:rsidR="001F601F" w:rsidRPr="001F601F">
        <w:rPr>
          <w:rFonts w:cs="Arial"/>
          <w:lang w:val="en-US"/>
        </w:rPr>
        <w:t xml:space="preserve">e are satisfied that the proposed offence strikes the right balance between the need to protect children and vulnerable persons and </w:t>
      </w:r>
      <w:r w:rsidR="003D72AE">
        <w:rPr>
          <w:rFonts w:cs="Arial"/>
          <w:lang w:val="en-US"/>
        </w:rPr>
        <w:t xml:space="preserve">the </w:t>
      </w:r>
      <w:r w:rsidR="001F601F" w:rsidRPr="001F601F">
        <w:rPr>
          <w:rFonts w:cs="Arial"/>
          <w:lang w:val="en-US"/>
        </w:rPr>
        <w:t>defendants’ right to a fair trial</w:t>
      </w:r>
      <w:r w:rsidR="00A53198">
        <w:rPr>
          <w:rFonts w:cs="Arial"/>
          <w:lang w:val="en-US"/>
        </w:rPr>
        <w:t>:</w:t>
      </w:r>
    </w:p>
    <w:p w14:paraId="3FA8A399" w14:textId="77777777" w:rsidR="00A53198" w:rsidRDefault="00A53198" w:rsidP="002F0EDE">
      <w:pPr>
        <w:widowControl/>
        <w:tabs>
          <w:tab w:val="clear" w:pos="1418"/>
        </w:tabs>
        <w:adjustRightInd/>
        <w:rPr>
          <w:rFonts w:cs="Arial"/>
          <w:lang w:val="en-US"/>
        </w:rPr>
      </w:pPr>
    </w:p>
    <w:p w14:paraId="4398FC2C" w14:textId="77777777" w:rsidR="00A53198" w:rsidRDefault="001F601F" w:rsidP="00FC5074">
      <w:pPr>
        <w:pStyle w:val="ListParagraph"/>
        <w:widowControl/>
        <w:numPr>
          <w:ilvl w:val="0"/>
          <w:numId w:val="25"/>
        </w:numPr>
        <w:tabs>
          <w:tab w:val="clear" w:pos="1418"/>
        </w:tabs>
        <w:adjustRightInd/>
        <w:ind w:left="1440" w:hanging="720"/>
        <w:rPr>
          <w:rFonts w:cs="Arial"/>
          <w:lang w:val="en-US"/>
        </w:rPr>
      </w:pPr>
      <w:r w:rsidRPr="00A53198">
        <w:rPr>
          <w:rFonts w:cs="Arial"/>
          <w:lang w:val="en-US"/>
        </w:rPr>
        <w:t>There is no shifting of the onus of proof as the prosecution is still required to prove the elements of the proposed offence</w:t>
      </w:r>
      <w:r w:rsidR="005A3FF0" w:rsidRPr="00A53198">
        <w:rPr>
          <w:rFonts w:cs="Arial"/>
          <w:lang w:val="en-US"/>
        </w:rPr>
        <w:t xml:space="preserve"> of </w:t>
      </w:r>
      <w:r w:rsidR="005A3FF0" w:rsidRPr="00A53198">
        <w:rPr>
          <w:rFonts w:cs="Arial"/>
          <w:i/>
          <w:lang w:val="en-US"/>
        </w:rPr>
        <w:t>“failure to protect”</w:t>
      </w:r>
      <w:r w:rsidRPr="00A53198">
        <w:rPr>
          <w:rFonts w:cs="Arial"/>
          <w:lang w:val="en-US"/>
        </w:rPr>
        <w:t xml:space="preserve"> </w:t>
      </w:r>
      <w:r w:rsidR="00A53198">
        <w:rPr>
          <w:rFonts w:cs="Arial"/>
          <w:lang w:val="en-US"/>
        </w:rPr>
        <w:t>against</w:t>
      </w:r>
      <w:r w:rsidRPr="00A53198">
        <w:rPr>
          <w:rFonts w:cs="Arial"/>
          <w:lang w:val="en-US"/>
        </w:rPr>
        <w:t xml:space="preserve"> all the defendants</w:t>
      </w:r>
      <w:r w:rsidR="00D26F17">
        <w:rPr>
          <w:rFonts w:cs="Arial"/>
          <w:lang w:val="en-US"/>
        </w:rPr>
        <w:t xml:space="preserve">, albeit not </w:t>
      </w:r>
      <w:r w:rsidR="005A3FF0" w:rsidRPr="00A53198">
        <w:rPr>
          <w:rFonts w:cs="Arial"/>
          <w:lang w:val="en-US"/>
        </w:rPr>
        <w:t xml:space="preserve">the causative offence of </w:t>
      </w:r>
      <w:r w:rsidR="001B5420" w:rsidRPr="00A53198">
        <w:rPr>
          <w:rFonts w:cs="Arial"/>
          <w:lang w:val="en-US"/>
        </w:rPr>
        <w:t xml:space="preserve">committing </w:t>
      </w:r>
      <w:r w:rsidR="005A3FF0" w:rsidRPr="00A53198">
        <w:rPr>
          <w:rFonts w:cs="Arial"/>
          <w:lang w:val="en-US"/>
        </w:rPr>
        <w:t>the abuse</w:t>
      </w:r>
      <w:r w:rsidR="00A53198">
        <w:rPr>
          <w:rFonts w:cs="Arial"/>
          <w:lang w:val="en-US"/>
        </w:rPr>
        <w:t>.</w:t>
      </w:r>
    </w:p>
    <w:p w14:paraId="5F0F0AC9" w14:textId="77777777" w:rsidR="00A53198" w:rsidRDefault="00A53198" w:rsidP="00FC5074">
      <w:pPr>
        <w:pStyle w:val="ListParagraph"/>
        <w:widowControl/>
        <w:tabs>
          <w:tab w:val="clear" w:pos="1418"/>
        </w:tabs>
        <w:adjustRightInd/>
        <w:ind w:left="1440" w:hanging="720"/>
        <w:rPr>
          <w:rFonts w:cs="Arial"/>
          <w:lang w:val="en-US"/>
        </w:rPr>
      </w:pPr>
    </w:p>
    <w:p w14:paraId="5F1DA2F3" w14:textId="77777777" w:rsidR="00AD43C7" w:rsidRPr="003A2076" w:rsidRDefault="00AD43C7" w:rsidP="00FC5074">
      <w:pPr>
        <w:pStyle w:val="ListParagraph"/>
        <w:widowControl/>
        <w:numPr>
          <w:ilvl w:val="0"/>
          <w:numId w:val="25"/>
        </w:numPr>
        <w:tabs>
          <w:tab w:val="clear" w:pos="1418"/>
        </w:tabs>
        <w:adjustRightInd/>
        <w:ind w:left="1440" w:hanging="720"/>
        <w:rPr>
          <w:rFonts w:cs="Arial"/>
          <w:lang w:val="en-US"/>
        </w:rPr>
      </w:pPr>
      <w:r w:rsidRPr="003A2076">
        <w:rPr>
          <w:rFonts w:cs="Arial"/>
        </w:rPr>
        <w:lastRenderedPageBreak/>
        <w:t xml:space="preserve">We do not introduce any </w:t>
      </w:r>
      <w:r w:rsidR="00A53198" w:rsidRPr="003A2076">
        <w:rPr>
          <w:rFonts w:cs="Arial"/>
        </w:rPr>
        <w:t>procedural or evidential reform</w:t>
      </w:r>
      <w:r w:rsidR="00D26F17">
        <w:rPr>
          <w:rFonts w:cs="Arial"/>
        </w:rPr>
        <w:t xml:space="preserve"> (as under the English model</w:t>
      </w:r>
      <w:r w:rsidRPr="003A2076">
        <w:rPr>
          <w:rFonts w:cs="Arial"/>
        </w:rPr>
        <w:t xml:space="preserve"> which</w:t>
      </w:r>
      <w:r w:rsidR="00D26F17">
        <w:rPr>
          <w:rFonts w:cs="Arial"/>
        </w:rPr>
        <w:t xml:space="preserve"> is</w:t>
      </w:r>
      <w:r w:rsidRPr="003A2076">
        <w:rPr>
          <w:rFonts w:cs="Arial"/>
        </w:rPr>
        <w:t xml:space="preserve"> </w:t>
      </w:r>
      <w:r>
        <w:t xml:space="preserve">criticised for </w:t>
      </w:r>
      <w:r w:rsidR="00A53198" w:rsidRPr="003A2076">
        <w:rPr>
          <w:rFonts w:cs="Arial"/>
        </w:rPr>
        <w:t>undermin</w:t>
      </w:r>
      <w:r w:rsidRPr="003A2076">
        <w:rPr>
          <w:rFonts w:cs="Arial"/>
        </w:rPr>
        <w:t>ing</w:t>
      </w:r>
      <w:r w:rsidR="00A53198" w:rsidRPr="003A2076">
        <w:rPr>
          <w:rFonts w:cs="Arial"/>
        </w:rPr>
        <w:t xml:space="preserve"> </w:t>
      </w:r>
      <w:r w:rsidR="003D72AE">
        <w:rPr>
          <w:rFonts w:cs="Arial"/>
        </w:rPr>
        <w:t xml:space="preserve">the </w:t>
      </w:r>
      <w:r w:rsidR="00A53198" w:rsidRPr="003A2076">
        <w:rPr>
          <w:rFonts w:cs="Arial"/>
        </w:rPr>
        <w:t>defendants’ right to a fair trial</w:t>
      </w:r>
      <w:r w:rsidR="00D26F17">
        <w:rPr>
          <w:rFonts w:cs="Arial"/>
        </w:rPr>
        <w:t>)</w:t>
      </w:r>
      <w:r w:rsidR="003A2076">
        <w:rPr>
          <w:rFonts w:cs="Arial"/>
        </w:rPr>
        <w:t>.</w:t>
      </w:r>
    </w:p>
    <w:p w14:paraId="0F012DA1" w14:textId="77777777" w:rsidR="003A2076" w:rsidRPr="003A2076" w:rsidRDefault="003A2076" w:rsidP="003A2076">
      <w:pPr>
        <w:pStyle w:val="ListParagraph"/>
        <w:widowControl/>
        <w:tabs>
          <w:tab w:val="clear" w:pos="1418"/>
        </w:tabs>
        <w:adjustRightInd/>
        <w:ind w:left="1418"/>
        <w:rPr>
          <w:rFonts w:cs="Arial"/>
          <w:lang w:val="en-US"/>
        </w:rPr>
      </w:pPr>
    </w:p>
    <w:p w14:paraId="3B403BCD" w14:textId="48577D60" w:rsidR="00136CD4" w:rsidRDefault="00B1197A" w:rsidP="00AD43C7">
      <w:pPr>
        <w:widowControl/>
        <w:tabs>
          <w:tab w:val="clear" w:pos="1418"/>
        </w:tabs>
        <w:adjustRightInd/>
        <w:rPr>
          <w:rFonts w:cs="Arial"/>
          <w:lang w:val="en-US"/>
        </w:rPr>
      </w:pPr>
      <w:r>
        <w:rPr>
          <w:rFonts w:cs="Arial"/>
          <w:lang w:val="en-US"/>
        </w:rPr>
        <w:t>30</w:t>
      </w:r>
      <w:r w:rsidR="00136CD4">
        <w:rPr>
          <w:rFonts w:cs="Arial"/>
          <w:lang w:val="en-US"/>
        </w:rPr>
        <w:t>.</w:t>
      </w:r>
      <w:r w:rsidR="00136CD4">
        <w:rPr>
          <w:rFonts w:cs="Arial"/>
          <w:lang w:val="en-US"/>
        </w:rPr>
        <w:tab/>
      </w:r>
      <w:r w:rsidR="00136CD4">
        <w:rPr>
          <w:rFonts w:cs="Arial"/>
          <w:lang w:val="en-US"/>
        </w:rPr>
        <w:tab/>
      </w:r>
      <w:r w:rsidR="00D26F17">
        <w:rPr>
          <w:rFonts w:cs="Arial"/>
          <w:lang w:val="en-US"/>
        </w:rPr>
        <w:t>Separately, w</w:t>
      </w:r>
      <w:r w:rsidR="00136CD4" w:rsidRPr="00136CD4">
        <w:rPr>
          <w:rFonts w:cs="Arial"/>
          <w:lang w:val="en-US"/>
        </w:rPr>
        <w:t>e do not see the need to be concerned that the proposed offence would encourage the prosecution to tak</w:t>
      </w:r>
      <w:r w:rsidR="00136CD4">
        <w:rPr>
          <w:rFonts w:cs="Arial"/>
          <w:lang w:val="en-US"/>
        </w:rPr>
        <w:t>e</w:t>
      </w:r>
      <w:r w:rsidR="003A671E">
        <w:rPr>
          <w:rFonts w:cs="Arial"/>
          <w:lang w:val="en-US"/>
        </w:rPr>
        <w:t xml:space="preserve"> </w:t>
      </w:r>
      <w:r w:rsidR="00136CD4" w:rsidRPr="00136CD4">
        <w:rPr>
          <w:rFonts w:cs="Arial"/>
          <w:lang w:val="en-US"/>
        </w:rPr>
        <w:t>the easy option of only charging a bystander or the Police not to investigate the abuse case properly</w:t>
      </w:r>
      <w:r w:rsidR="00136CD4">
        <w:rPr>
          <w:rFonts w:cs="Arial"/>
          <w:lang w:val="en-US"/>
        </w:rPr>
        <w:t xml:space="preserve"> </w:t>
      </w:r>
      <w:r w:rsidR="00FD34E3">
        <w:rPr>
          <w:rFonts w:cs="Arial"/>
          <w:lang w:val="en-US"/>
        </w:rPr>
        <w:t>for the reasons below</w:t>
      </w:r>
      <w:r w:rsidR="00136CD4">
        <w:rPr>
          <w:rFonts w:cs="Arial"/>
          <w:lang w:val="en-US"/>
        </w:rPr>
        <w:t>:</w:t>
      </w:r>
    </w:p>
    <w:p w14:paraId="2A42F7CC" w14:textId="77777777" w:rsidR="00136CD4" w:rsidRDefault="00136CD4" w:rsidP="00AD43C7">
      <w:pPr>
        <w:widowControl/>
        <w:tabs>
          <w:tab w:val="clear" w:pos="1418"/>
        </w:tabs>
        <w:adjustRightInd/>
        <w:rPr>
          <w:rFonts w:cs="Arial"/>
          <w:lang w:val="en-US"/>
        </w:rPr>
      </w:pPr>
    </w:p>
    <w:p w14:paraId="66291C28" w14:textId="77777777" w:rsidR="00136CD4" w:rsidRPr="00136CD4" w:rsidRDefault="00EC3068" w:rsidP="006269AE">
      <w:pPr>
        <w:pStyle w:val="ListParagraph"/>
        <w:widowControl/>
        <w:numPr>
          <w:ilvl w:val="0"/>
          <w:numId w:val="26"/>
        </w:numPr>
        <w:tabs>
          <w:tab w:val="clear" w:pos="1418"/>
        </w:tabs>
        <w:adjustRightInd/>
        <w:spacing w:after="240"/>
        <w:ind w:left="1440" w:hanging="720"/>
        <w:rPr>
          <w:rFonts w:cs="Arial"/>
          <w:lang w:val="en-US"/>
        </w:rPr>
      </w:pPr>
      <w:r w:rsidRPr="00136CD4">
        <w:rPr>
          <w:rFonts w:cs="Arial"/>
          <w:lang w:val="en-US"/>
        </w:rPr>
        <w:t xml:space="preserve">The proposed offence aims to give the prosecution </w:t>
      </w:r>
      <w:r w:rsidR="00D26F17">
        <w:rPr>
          <w:rFonts w:cs="Arial"/>
          <w:lang w:val="en-US"/>
        </w:rPr>
        <w:t>more</w:t>
      </w:r>
      <w:r w:rsidRPr="00136CD4">
        <w:rPr>
          <w:rFonts w:cs="Arial"/>
          <w:lang w:val="en-US"/>
        </w:rPr>
        <w:t xml:space="preserve"> charging options in abuse cases, including the proposed offence of </w:t>
      </w:r>
      <w:r w:rsidRPr="00B8789F">
        <w:rPr>
          <w:rFonts w:cs="Arial"/>
          <w:i/>
          <w:lang w:val="en-US"/>
        </w:rPr>
        <w:t>“failure to protect”</w:t>
      </w:r>
      <w:r w:rsidRPr="00136CD4">
        <w:rPr>
          <w:rFonts w:cs="Arial"/>
          <w:lang w:val="en-US"/>
        </w:rPr>
        <w:t xml:space="preserve"> and other causative offences of the abuse (</w:t>
      </w:r>
      <w:proofErr w:type="spellStart"/>
      <w:r w:rsidRPr="00136CD4">
        <w:rPr>
          <w:rFonts w:cs="Arial"/>
          <w:lang w:val="en-US"/>
        </w:rPr>
        <w:t>eg</w:t>
      </w:r>
      <w:proofErr w:type="spellEnd"/>
      <w:r w:rsidRPr="00136CD4">
        <w:rPr>
          <w:rFonts w:cs="Arial"/>
          <w:lang w:val="en-US"/>
        </w:rPr>
        <w:t xml:space="preserve"> murder, manslaughter or an offence of causing serious harm)</w:t>
      </w:r>
      <w:r w:rsidR="0079421B">
        <w:rPr>
          <w:rFonts w:cs="Arial"/>
          <w:lang w:val="en-US"/>
        </w:rPr>
        <w:t>.</w:t>
      </w:r>
      <w:r w:rsidRPr="00136CD4">
        <w:rPr>
          <w:rFonts w:cs="Arial"/>
          <w:lang w:val="en-US"/>
        </w:rPr>
        <w:t xml:space="preserve"> </w:t>
      </w:r>
      <w:r w:rsidR="003A671E">
        <w:rPr>
          <w:rFonts w:cs="Arial"/>
          <w:lang w:val="en-US"/>
        </w:rPr>
        <w:t xml:space="preserve"> </w:t>
      </w:r>
      <w:r w:rsidR="00414FF1">
        <w:rPr>
          <w:rFonts w:cs="Arial"/>
          <w:lang w:val="en-US"/>
        </w:rPr>
        <w:t>In fact, r</w:t>
      </w:r>
      <w:r w:rsidR="002775BB" w:rsidRPr="00136CD4">
        <w:rPr>
          <w:rFonts w:cs="Arial"/>
          <w:lang w:val="en-US"/>
        </w:rPr>
        <w:t>eal cases under the English model</w:t>
      </w:r>
      <w:r w:rsidR="00D26F17">
        <w:rPr>
          <w:rFonts w:cs="Arial"/>
          <w:lang w:val="en-US"/>
        </w:rPr>
        <w:t xml:space="preserve"> introduced in 2004</w:t>
      </w:r>
      <w:r w:rsidR="002775BB" w:rsidRPr="00136CD4">
        <w:rPr>
          <w:rFonts w:cs="Arial"/>
          <w:lang w:val="en-US"/>
        </w:rPr>
        <w:t xml:space="preserve"> indicate that the prosecution has not chosen the easy option of only charging a bystander</w:t>
      </w:r>
      <w:r w:rsidR="004D6377">
        <w:rPr>
          <w:rFonts w:cs="Arial"/>
          <w:lang w:val="en-US"/>
        </w:rPr>
        <w:t>.</w:t>
      </w:r>
    </w:p>
    <w:p w14:paraId="522A1C92" w14:textId="77777777" w:rsidR="00136CD4" w:rsidRDefault="002775BB" w:rsidP="00FC5074">
      <w:pPr>
        <w:pStyle w:val="ListParagraph"/>
        <w:widowControl/>
        <w:numPr>
          <w:ilvl w:val="0"/>
          <w:numId w:val="26"/>
        </w:numPr>
        <w:tabs>
          <w:tab w:val="clear" w:pos="1418"/>
        </w:tabs>
        <w:adjustRightInd/>
        <w:ind w:left="1440" w:hanging="720"/>
        <w:rPr>
          <w:rFonts w:cs="Arial"/>
          <w:lang w:val="en-US"/>
        </w:rPr>
      </w:pPr>
      <w:r w:rsidRPr="00136CD4">
        <w:rPr>
          <w:rFonts w:cs="Arial"/>
          <w:lang w:val="en-US"/>
        </w:rPr>
        <w:t xml:space="preserve">In addition, when the prosecution chooses the charge(s) to prosecute, the charge(s) should reflect the criminality of a defendant’s conduct </w:t>
      </w:r>
      <w:r w:rsidR="00D26F17">
        <w:rPr>
          <w:rFonts w:cs="Arial"/>
          <w:lang w:val="en-US"/>
        </w:rPr>
        <w:t>according to</w:t>
      </w:r>
      <w:r w:rsidRPr="00136CD4">
        <w:rPr>
          <w:rFonts w:cs="Arial"/>
          <w:lang w:val="en-US"/>
        </w:rPr>
        <w:t xml:space="preserve"> the Prosecution Code of the Department of Justice of Hong Kong.</w:t>
      </w:r>
    </w:p>
    <w:p w14:paraId="3496F86A" w14:textId="77777777" w:rsidR="00136CD4" w:rsidRPr="00136CD4" w:rsidRDefault="00136CD4" w:rsidP="00136CD4">
      <w:pPr>
        <w:pStyle w:val="ListParagraph"/>
        <w:rPr>
          <w:rFonts w:cs="Arial"/>
          <w:lang w:val="en-US"/>
        </w:rPr>
      </w:pPr>
    </w:p>
    <w:p w14:paraId="1EC4B926" w14:textId="77777777" w:rsidR="00136CD4" w:rsidRDefault="00136CD4" w:rsidP="00136CD4">
      <w:pPr>
        <w:widowControl/>
        <w:tabs>
          <w:tab w:val="clear" w:pos="1418"/>
        </w:tabs>
        <w:adjustRightInd/>
        <w:rPr>
          <w:rFonts w:cs="Arial"/>
          <w:lang w:val="en-US"/>
        </w:rPr>
      </w:pPr>
      <w:r>
        <w:rPr>
          <w:rFonts w:cs="Arial"/>
          <w:lang w:val="en-US"/>
        </w:rPr>
        <w:t>3</w:t>
      </w:r>
      <w:r w:rsidR="00B1197A">
        <w:rPr>
          <w:rFonts w:cs="Arial"/>
          <w:lang w:val="en-US"/>
        </w:rPr>
        <w:t>1</w:t>
      </w:r>
      <w:r>
        <w:rPr>
          <w:rFonts w:cs="Arial"/>
          <w:lang w:val="en-US"/>
        </w:rPr>
        <w:t>.</w:t>
      </w:r>
      <w:r>
        <w:rPr>
          <w:rFonts w:cs="Arial"/>
          <w:lang w:val="en-US"/>
        </w:rPr>
        <w:tab/>
      </w:r>
      <w:r>
        <w:rPr>
          <w:rFonts w:cs="Arial"/>
          <w:lang w:val="en-US"/>
        </w:rPr>
        <w:tab/>
      </w:r>
      <w:r w:rsidR="00874C38">
        <w:rPr>
          <w:rFonts w:cs="Arial"/>
          <w:lang w:val="en-US"/>
        </w:rPr>
        <w:t>We t</w:t>
      </w:r>
      <w:r>
        <w:rPr>
          <w:rFonts w:cs="Arial"/>
          <w:lang w:val="en-US"/>
        </w:rPr>
        <w:t>herefore</w:t>
      </w:r>
      <w:r w:rsidRPr="00136CD4">
        <w:rPr>
          <w:rFonts w:cs="Arial"/>
          <w:lang w:val="en-US"/>
        </w:rPr>
        <w:t xml:space="preserve"> recommend retaining Recommendation 11</w:t>
      </w:r>
      <w:r w:rsidR="00CA7779">
        <w:rPr>
          <w:rFonts w:cs="Arial"/>
          <w:lang w:val="en-US"/>
        </w:rPr>
        <w:t xml:space="preserve"> in the CP</w:t>
      </w:r>
      <w:r>
        <w:rPr>
          <w:rFonts w:cs="Arial"/>
          <w:lang w:val="en-US"/>
        </w:rPr>
        <w:t xml:space="preserve"> </w:t>
      </w:r>
      <w:r w:rsidR="000A2A65">
        <w:rPr>
          <w:rFonts w:cs="Arial"/>
          <w:lang w:val="en-US"/>
        </w:rPr>
        <w:t xml:space="preserve">with clarification </w:t>
      </w:r>
      <w:r w:rsidR="00A4257B">
        <w:rPr>
          <w:rFonts w:cs="Arial"/>
          <w:lang w:val="en-US"/>
        </w:rPr>
        <w:t xml:space="preserve">in a new paragraph (b) in the proposed section </w:t>
      </w:r>
      <w:proofErr w:type="gramStart"/>
      <w:r w:rsidR="00A4257B">
        <w:rPr>
          <w:rFonts w:cs="Arial"/>
          <w:lang w:val="en-US"/>
        </w:rPr>
        <w:t>25A(</w:t>
      </w:r>
      <w:proofErr w:type="gramEnd"/>
      <w:r w:rsidR="00A4257B">
        <w:rPr>
          <w:rFonts w:cs="Arial"/>
          <w:lang w:val="en-US"/>
        </w:rPr>
        <w:t>4)</w:t>
      </w:r>
      <w:r w:rsidR="00FE1B58">
        <w:rPr>
          <w:rFonts w:cs="Arial"/>
          <w:lang w:val="en-US"/>
        </w:rPr>
        <w:t>,</w:t>
      </w:r>
      <w:r w:rsidR="00A4257B">
        <w:rPr>
          <w:rFonts w:cs="Arial"/>
          <w:lang w:val="en-US"/>
        </w:rPr>
        <w:t xml:space="preserve"> </w:t>
      </w:r>
      <w:r w:rsidR="00FE1B58">
        <w:rPr>
          <w:rFonts w:cs="Arial"/>
          <w:lang w:val="en-US"/>
        </w:rPr>
        <w:t xml:space="preserve">to address the concern that the defendant may try to assert </w:t>
      </w:r>
      <w:r w:rsidR="00A17B84">
        <w:rPr>
          <w:rFonts w:cs="Arial"/>
          <w:lang w:val="en-US"/>
        </w:rPr>
        <w:t xml:space="preserve">a “reasonable possibility” </w:t>
      </w:r>
      <w:r w:rsidR="00FE1B58">
        <w:rPr>
          <w:rFonts w:cs="Arial"/>
          <w:lang w:val="en-US"/>
        </w:rPr>
        <w:t xml:space="preserve">that he is the perpetrator and not the bystander, </w:t>
      </w:r>
      <w:r w:rsidR="00874C38">
        <w:rPr>
          <w:rFonts w:cs="Arial"/>
          <w:lang w:val="en-US"/>
        </w:rPr>
        <w:t>as</w:t>
      </w:r>
      <w:r>
        <w:rPr>
          <w:rFonts w:cs="Arial"/>
          <w:lang w:val="en-US"/>
        </w:rPr>
        <w:t xml:space="preserve"> our </w:t>
      </w:r>
      <w:r w:rsidRPr="00524162">
        <w:rPr>
          <w:rFonts w:cs="Arial"/>
          <w:b/>
          <w:lang w:val="en-US"/>
        </w:rPr>
        <w:t>Final Recommendation 11</w:t>
      </w:r>
      <w:r>
        <w:rPr>
          <w:rFonts w:cs="Arial"/>
          <w:lang w:val="en-US"/>
        </w:rPr>
        <w:t>:</w:t>
      </w:r>
    </w:p>
    <w:p w14:paraId="1CB3D572" w14:textId="77777777" w:rsidR="00624BA7" w:rsidRDefault="00624BA7" w:rsidP="006269AE">
      <w:pPr>
        <w:widowControl/>
        <w:tabs>
          <w:tab w:val="clear" w:pos="1418"/>
        </w:tabs>
        <w:adjustRightInd/>
        <w:spacing w:after="120"/>
        <w:ind w:left="720" w:right="720"/>
        <w:rPr>
          <w:rFonts w:cs="Arial"/>
          <w:i/>
          <w:lang w:val="en-AU"/>
        </w:rPr>
      </w:pPr>
    </w:p>
    <w:p w14:paraId="3A102FE2" w14:textId="77777777" w:rsidR="00624BA7" w:rsidRPr="00567762" w:rsidRDefault="00624BA7" w:rsidP="00624BA7">
      <w:pPr>
        <w:widowControl/>
        <w:tabs>
          <w:tab w:val="clear" w:pos="1418"/>
        </w:tabs>
        <w:adjustRightInd/>
        <w:ind w:left="720" w:right="720"/>
        <w:rPr>
          <w:rFonts w:cs="Arial"/>
          <w:i/>
          <w:lang w:val="en-US"/>
        </w:rPr>
      </w:pPr>
      <w:r>
        <w:rPr>
          <w:rFonts w:cs="Arial"/>
          <w:i/>
          <w:lang w:val="en-US"/>
        </w:rPr>
        <w:t>“</w:t>
      </w:r>
      <w:r w:rsidRPr="00567762">
        <w:rPr>
          <w:rFonts w:cs="Arial"/>
          <w:i/>
          <w:lang w:val="en-US"/>
        </w:rPr>
        <w:t>We recommend that a provision along the following lines should be adopted in the proposed offence in place of the wording set out in section 14(2) of the Criminal Law Consolidation Act 1935 in South Australia (as amended in 2005):</w:t>
      </w:r>
    </w:p>
    <w:p w14:paraId="1A09D728" w14:textId="77777777" w:rsidR="00624BA7" w:rsidRPr="00567762" w:rsidRDefault="00624BA7" w:rsidP="00624BA7">
      <w:pPr>
        <w:widowControl/>
        <w:tabs>
          <w:tab w:val="clear" w:pos="1418"/>
        </w:tabs>
        <w:adjustRightInd/>
        <w:ind w:left="720" w:right="720"/>
        <w:rPr>
          <w:rFonts w:cs="Arial"/>
          <w:i/>
          <w:lang w:val="en-US"/>
        </w:rPr>
      </w:pPr>
    </w:p>
    <w:p w14:paraId="068FDC25" w14:textId="3BCC9AAA" w:rsidR="00624BA7" w:rsidRPr="00567762" w:rsidRDefault="004964D5" w:rsidP="00624BA7">
      <w:pPr>
        <w:widowControl/>
        <w:tabs>
          <w:tab w:val="clear" w:pos="1418"/>
        </w:tabs>
        <w:adjustRightInd/>
        <w:ind w:left="720" w:right="720"/>
        <w:rPr>
          <w:rFonts w:cs="Arial"/>
          <w:i/>
          <w:lang w:val="en-US"/>
        </w:rPr>
      </w:pPr>
      <w:r>
        <w:rPr>
          <w:rFonts w:cs="Arial"/>
          <w:i/>
          <w:lang w:val="en-US"/>
        </w:rPr>
        <w:t>‘</w:t>
      </w:r>
      <w:r w:rsidR="00624BA7" w:rsidRPr="00567762">
        <w:rPr>
          <w:rFonts w:cs="Arial"/>
          <w:i/>
          <w:lang w:val="en-US"/>
        </w:rPr>
        <w:t>In proceedings for an offence under subsection (1) –</w:t>
      </w:r>
    </w:p>
    <w:p w14:paraId="57FD3D46" w14:textId="77777777" w:rsidR="00624BA7" w:rsidRPr="00567762" w:rsidRDefault="00624BA7" w:rsidP="00624BA7">
      <w:pPr>
        <w:widowControl/>
        <w:tabs>
          <w:tab w:val="clear" w:pos="1418"/>
        </w:tabs>
        <w:adjustRightInd/>
        <w:ind w:left="720" w:right="720"/>
        <w:rPr>
          <w:rFonts w:cs="Arial"/>
          <w:i/>
          <w:lang w:val="en-US"/>
        </w:rPr>
      </w:pPr>
    </w:p>
    <w:p w14:paraId="29248B5C" w14:textId="77777777" w:rsidR="00624BA7" w:rsidRPr="0028142E" w:rsidRDefault="00624BA7" w:rsidP="006269AE">
      <w:pPr>
        <w:widowControl/>
        <w:numPr>
          <w:ilvl w:val="0"/>
          <w:numId w:val="36"/>
        </w:numPr>
        <w:tabs>
          <w:tab w:val="clear" w:pos="1418"/>
        </w:tabs>
        <w:adjustRightInd/>
        <w:spacing w:after="240"/>
        <w:ind w:left="1440" w:right="720" w:hanging="720"/>
        <w:rPr>
          <w:rFonts w:cs="Arial"/>
          <w:i/>
          <w:lang w:val="en-US"/>
        </w:rPr>
      </w:pPr>
      <w:r w:rsidRPr="00567762">
        <w:rPr>
          <w:rFonts w:cs="Arial"/>
          <w:i/>
          <w:lang w:val="en-US"/>
        </w:rPr>
        <w:t>it is not necessary for the prosecution to prove who did the unlawful act or neglect mentioned in subsection (1)(a); and</w:t>
      </w:r>
    </w:p>
    <w:p w14:paraId="7A031598" w14:textId="413DE5E6" w:rsidR="00624BA7" w:rsidRPr="0028142E" w:rsidRDefault="00624BA7" w:rsidP="006269AE">
      <w:pPr>
        <w:widowControl/>
        <w:numPr>
          <w:ilvl w:val="0"/>
          <w:numId w:val="36"/>
        </w:numPr>
        <w:tabs>
          <w:tab w:val="clear" w:pos="1418"/>
        </w:tabs>
        <w:adjustRightInd/>
        <w:spacing w:after="240"/>
        <w:ind w:left="1440" w:right="720" w:hanging="720"/>
        <w:rPr>
          <w:rFonts w:cs="Arial"/>
          <w:i/>
          <w:lang w:val="en-US"/>
        </w:rPr>
      </w:pPr>
      <w:proofErr w:type="gramStart"/>
      <w:r w:rsidRPr="00567762">
        <w:rPr>
          <w:rFonts w:cs="Arial"/>
          <w:i/>
          <w:lang w:val="en-US"/>
        </w:rPr>
        <w:t>the</w:t>
      </w:r>
      <w:proofErr w:type="gramEnd"/>
      <w:r w:rsidRPr="00567762">
        <w:rPr>
          <w:rFonts w:cs="Arial"/>
          <w:i/>
          <w:lang w:val="en-US"/>
        </w:rPr>
        <w:t xml:space="preserve"> defendant may be convicted of the offence regardless of whether the defendant did or may have done the unlawful act or neglect.</w:t>
      </w:r>
      <w:r w:rsidR="004964D5">
        <w:rPr>
          <w:rFonts w:cs="Arial"/>
          <w:i/>
          <w:lang w:val="en-US"/>
        </w:rPr>
        <w:t>’</w:t>
      </w:r>
      <w:r w:rsidR="006D4784">
        <w:rPr>
          <w:rFonts w:cs="Arial"/>
          <w:i/>
          <w:lang w:val="en-US"/>
        </w:rPr>
        <w:t xml:space="preserve"> ”</w:t>
      </w:r>
      <w:r w:rsidRPr="00567762">
        <w:rPr>
          <w:rStyle w:val="FootnoteReference"/>
          <w:color w:val="000000"/>
          <w:sz w:val="24"/>
          <w:szCs w:val="24"/>
        </w:rPr>
        <w:footnoteReference w:id="14"/>
      </w:r>
    </w:p>
    <w:p w14:paraId="63606BDE" w14:textId="77777777" w:rsidR="00624BA7" w:rsidRPr="00567762" w:rsidRDefault="00624BA7" w:rsidP="00BF17ED">
      <w:pPr>
        <w:widowControl/>
        <w:tabs>
          <w:tab w:val="clear" w:pos="1418"/>
        </w:tabs>
        <w:adjustRightInd/>
        <w:ind w:left="1418" w:right="720" w:hanging="698"/>
        <w:rPr>
          <w:rFonts w:cs="Arial"/>
          <w:i/>
          <w:lang w:val="en-US"/>
        </w:rPr>
      </w:pPr>
    </w:p>
    <w:p w14:paraId="05170309" w14:textId="77777777" w:rsidR="002F0EDE" w:rsidRPr="00202346" w:rsidRDefault="00F11F66" w:rsidP="00E11045">
      <w:pPr>
        <w:keepNext/>
        <w:keepLines/>
        <w:widowControl/>
        <w:tabs>
          <w:tab w:val="clear" w:pos="1418"/>
        </w:tabs>
        <w:adjustRightInd/>
        <w:spacing w:before="240"/>
        <w:rPr>
          <w:b/>
          <w:sz w:val="28"/>
          <w:szCs w:val="28"/>
          <w:lang w:val="en-US"/>
        </w:rPr>
      </w:pPr>
      <w:r w:rsidRPr="00202346">
        <w:rPr>
          <w:b/>
          <w:sz w:val="28"/>
          <w:szCs w:val="28"/>
          <w:lang w:val="en-US"/>
        </w:rPr>
        <w:lastRenderedPageBreak/>
        <w:t>Chapter 8: Maximum penalties for the proposed offence and procedural matters</w:t>
      </w:r>
    </w:p>
    <w:p w14:paraId="5EDC2C83" w14:textId="77777777" w:rsidR="00F11F66" w:rsidRPr="002F0EDE" w:rsidRDefault="00F11F66" w:rsidP="00FC5074">
      <w:pPr>
        <w:keepNext/>
        <w:keepLines/>
        <w:widowControl/>
        <w:tabs>
          <w:tab w:val="clear" w:pos="1418"/>
        </w:tabs>
        <w:adjustRightInd/>
        <w:rPr>
          <w:rFonts w:cs="Arial"/>
          <w:lang w:val="en-US"/>
        </w:rPr>
      </w:pPr>
    </w:p>
    <w:p w14:paraId="3FA478EE" w14:textId="77777777" w:rsidR="002F0EDE" w:rsidRPr="00202346" w:rsidRDefault="00E451F1" w:rsidP="00FC5074">
      <w:pPr>
        <w:keepNext/>
        <w:keepLines/>
        <w:widowControl/>
        <w:tabs>
          <w:tab w:val="clear" w:pos="1418"/>
        </w:tabs>
        <w:adjustRightInd/>
        <w:rPr>
          <w:rFonts w:cs="Arial"/>
          <w:b/>
          <w:i/>
          <w:lang w:val="en-US"/>
        </w:rPr>
      </w:pPr>
      <w:r>
        <w:rPr>
          <w:rFonts w:cs="Arial"/>
          <w:b/>
          <w:i/>
          <w:lang w:val="en-US"/>
        </w:rPr>
        <w:t>M</w:t>
      </w:r>
      <w:r w:rsidR="00604C58">
        <w:rPr>
          <w:rFonts w:cs="Arial"/>
          <w:b/>
          <w:i/>
          <w:lang w:val="en-US"/>
        </w:rPr>
        <w:t>aximum penalties and venue for trial</w:t>
      </w:r>
    </w:p>
    <w:p w14:paraId="23C0060C" w14:textId="77777777" w:rsidR="002F0EDE" w:rsidRPr="002F0EDE" w:rsidRDefault="002F0EDE" w:rsidP="002F0EDE">
      <w:pPr>
        <w:widowControl/>
        <w:tabs>
          <w:tab w:val="clear" w:pos="1418"/>
        </w:tabs>
        <w:adjustRightInd/>
        <w:rPr>
          <w:rFonts w:cs="Arial"/>
          <w:b/>
          <w:lang w:val="en-US"/>
        </w:rPr>
      </w:pPr>
    </w:p>
    <w:p w14:paraId="18B4CE0F" w14:textId="77777777" w:rsidR="00C124E9" w:rsidRDefault="006F49DB" w:rsidP="001A56E4">
      <w:pPr>
        <w:widowControl/>
        <w:tabs>
          <w:tab w:val="clear" w:pos="1418"/>
        </w:tabs>
        <w:adjustRightInd/>
        <w:rPr>
          <w:rFonts w:cs="Arial"/>
          <w:lang w:val="en-US"/>
        </w:rPr>
      </w:pPr>
      <w:r>
        <w:rPr>
          <w:rFonts w:cs="Arial"/>
          <w:lang w:val="en-US"/>
        </w:rPr>
        <w:t>3</w:t>
      </w:r>
      <w:r w:rsidR="00B1197A">
        <w:rPr>
          <w:rFonts w:cs="Arial"/>
          <w:lang w:val="en-US"/>
        </w:rPr>
        <w:t>2</w:t>
      </w:r>
      <w:r>
        <w:rPr>
          <w:rFonts w:cs="Arial"/>
          <w:lang w:val="en-US"/>
        </w:rPr>
        <w:t>.</w:t>
      </w:r>
      <w:r>
        <w:rPr>
          <w:rFonts w:cs="Arial"/>
          <w:lang w:val="en-US"/>
        </w:rPr>
        <w:tab/>
      </w:r>
      <w:r w:rsidR="00C124E9">
        <w:rPr>
          <w:rFonts w:cs="Arial"/>
          <w:lang w:val="en-US"/>
        </w:rPr>
        <w:tab/>
      </w:r>
      <w:r w:rsidR="00B672DE">
        <w:rPr>
          <w:rFonts w:cs="Arial"/>
          <w:lang w:val="en-US"/>
        </w:rPr>
        <w:t xml:space="preserve">Recommendations 12 and 13 </w:t>
      </w:r>
      <w:r w:rsidR="00804F2C">
        <w:rPr>
          <w:rFonts w:cs="Arial"/>
          <w:lang w:val="en-US"/>
        </w:rPr>
        <w:t xml:space="preserve">in the CP </w:t>
      </w:r>
      <w:r w:rsidR="00B672DE">
        <w:rPr>
          <w:rFonts w:cs="Arial"/>
          <w:lang w:val="en-US"/>
        </w:rPr>
        <w:t>deal with the maximum penalties (</w:t>
      </w:r>
      <w:proofErr w:type="spellStart"/>
      <w:r w:rsidR="00B672DE">
        <w:rPr>
          <w:rFonts w:cs="Arial"/>
          <w:lang w:val="en-US"/>
        </w:rPr>
        <w:t>ie</w:t>
      </w:r>
      <w:proofErr w:type="spellEnd"/>
      <w:r w:rsidR="00B672DE">
        <w:rPr>
          <w:rFonts w:cs="Arial"/>
          <w:lang w:val="en-US"/>
        </w:rPr>
        <w:t xml:space="preserve"> 20 years if the victim dies and 15 years if the victim suffers serious harm) and Recommendation 14 </w:t>
      </w:r>
      <w:r w:rsidR="00804F2C">
        <w:rPr>
          <w:rFonts w:cs="Arial"/>
          <w:lang w:val="en-US"/>
        </w:rPr>
        <w:t xml:space="preserve">in the CP </w:t>
      </w:r>
      <w:r w:rsidR="00DC69CD">
        <w:rPr>
          <w:rFonts w:cs="Arial"/>
          <w:lang w:val="en-US"/>
        </w:rPr>
        <w:t xml:space="preserve">sets out </w:t>
      </w:r>
      <w:r w:rsidR="00B672DE">
        <w:rPr>
          <w:rFonts w:cs="Arial"/>
          <w:lang w:val="en-US"/>
        </w:rPr>
        <w:t xml:space="preserve">the venue for trial of the proposed offence.  All the </w:t>
      </w:r>
      <w:r w:rsidR="00783CE4">
        <w:rPr>
          <w:rFonts w:cs="Arial"/>
          <w:lang w:val="en-US"/>
        </w:rPr>
        <w:t>r</w:t>
      </w:r>
      <w:r w:rsidR="00B672DE">
        <w:rPr>
          <w:rFonts w:cs="Arial"/>
          <w:lang w:val="en-US"/>
        </w:rPr>
        <w:t>ecommendations</w:t>
      </w:r>
      <w:r w:rsidR="00C124E9">
        <w:t xml:space="preserve"> have overwhelming support from</w:t>
      </w:r>
      <w:r w:rsidR="007D132D">
        <w:t xml:space="preserve"> </w:t>
      </w:r>
      <w:r w:rsidR="00C124E9">
        <w:t>the Respondents</w:t>
      </w:r>
      <w:r w:rsidR="00C124E9" w:rsidRPr="00AD547D">
        <w:t xml:space="preserve"> who </w:t>
      </w:r>
      <w:r w:rsidR="00C124E9">
        <w:t>have expressly stated their stance.</w:t>
      </w:r>
    </w:p>
    <w:p w14:paraId="6B51C4CD" w14:textId="77777777" w:rsidR="00C124E9" w:rsidRDefault="00C124E9" w:rsidP="002F0EDE">
      <w:pPr>
        <w:widowControl/>
        <w:tabs>
          <w:tab w:val="clear" w:pos="1418"/>
        </w:tabs>
        <w:adjustRightInd/>
        <w:rPr>
          <w:rFonts w:cs="Arial"/>
          <w:lang w:val="en-US"/>
        </w:rPr>
      </w:pPr>
    </w:p>
    <w:p w14:paraId="3AF7E4E2" w14:textId="77777777" w:rsidR="00394BB0" w:rsidRDefault="000C75F8" w:rsidP="00394BB0">
      <w:pPr>
        <w:widowControl/>
        <w:autoSpaceDE w:val="0"/>
        <w:autoSpaceDN w:val="0"/>
        <w:ind w:right="85"/>
      </w:pPr>
      <w:r>
        <w:rPr>
          <w:rFonts w:cs="Arial"/>
          <w:lang w:val="en-US"/>
        </w:rPr>
        <w:t>3</w:t>
      </w:r>
      <w:r w:rsidR="00B1197A">
        <w:rPr>
          <w:rFonts w:cs="Arial"/>
          <w:lang w:val="en-US"/>
        </w:rPr>
        <w:t>3</w:t>
      </w:r>
      <w:r>
        <w:rPr>
          <w:rFonts w:cs="Arial"/>
          <w:lang w:val="en-US"/>
        </w:rPr>
        <w:t>.</w:t>
      </w:r>
      <w:r>
        <w:rPr>
          <w:rFonts w:cs="Arial"/>
          <w:lang w:val="en-US"/>
        </w:rPr>
        <w:tab/>
      </w:r>
      <w:r>
        <w:rPr>
          <w:rFonts w:cs="Arial"/>
          <w:lang w:val="en-US"/>
        </w:rPr>
        <w:tab/>
        <w:t>We are of the view that t</w:t>
      </w:r>
      <w:r>
        <w:t xml:space="preserve">he proposed maximum penalties </w:t>
      </w:r>
      <w:r w:rsidR="0091648F">
        <w:t xml:space="preserve">would </w:t>
      </w:r>
      <w:r>
        <w:t>allow the court to impose a sentence that reflects the gravity of the crime committed so as to seek retribution against the offender and also to deter and prevent abuses of children and vulnerable persons.</w:t>
      </w:r>
      <w:r w:rsidR="00356066">
        <w:t xml:space="preserve">  </w:t>
      </w:r>
      <w:r w:rsidR="00DC69CD">
        <w:t>I</w:t>
      </w:r>
      <w:r w:rsidR="00394BB0" w:rsidRPr="00394BB0">
        <w:t>n exceptional cases</w:t>
      </w:r>
      <w:r w:rsidR="00DC69CD">
        <w:t>,</w:t>
      </w:r>
      <w:r w:rsidR="00394BB0" w:rsidRPr="00394BB0">
        <w:t xml:space="preserve"> the court might give ameliorating effect to the fact that the sentence would deprive children of all parental care</w:t>
      </w:r>
      <w:r w:rsidR="00394BB0">
        <w:t>.</w:t>
      </w:r>
      <w:r w:rsidR="003F5A5B">
        <w:t xml:space="preserve">  </w:t>
      </w:r>
      <w:r w:rsidR="00394BB0" w:rsidRPr="00394BB0">
        <w:rPr>
          <w:lang w:val="en"/>
        </w:rPr>
        <w:t>In assessing the culpability of a defendant</w:t>
      </w:r>
      <w:r w:rsidR="00356066">
        <w:rPr>
          <w:lang w:val="en"/>
        </w:rPr>
        <w:t xml:space="preserve"> </w:t>
      </w:r>
      <w:r w:rsidR="00394BB0" w:rsidRPr="00394BB0">
        <w:rPr>
          <w:lang w:val="en"/>
        </w:rPr>
        <w:t>under the proposed offence, the court would likely</w:t>
      </w:r>
      <w:r w:rsidR="007D132D">
        <w:rPr>
          <w:lang w:val="en"/>
        </w:rPr>
        <w:t xml:space="preserve"> </w:t>
      </w:r>
      <w:r w:rsidR="00394BB0" w:rsidRPr="00394BB0">
        <w:rPr>
          <w:lang w:val="en"/>
        </w:rPr>
        <w:t>assess all the circumstances including the nature of the relationship between the offender and the victim, and the nature of the breach of duty towards the victim.</w:t>
      </w:r>
      <w:r w:rsidR="006C21C6">
        <w:rPr>
          <w:lang w:val="en"/>
        </w:rPr>
        <w:t xml:space="preserve">  </w:t>
      </w:r>
      <w:r w:rsidR="00394BB0">
        <w:rPr>
          <w:rFonts w:cs="Arial"/>
          <w:lang w:val="en"/>
        </w:rPr>
        <w:t xml:space="preserve">The combined effect of our recommended maximum penalties and </w:t>
      </w:r>
      <w:r w:rsidR="00B14BBC">
        <w:rPr>
          <w:rFonts w:cs="Arial"/>
          <w:lang w:val="en"/>
        </w:rPr>
        <w:t xml:space="preserve">existing </w:t>
      </w:r>
      <w:r w:rsidR="00394BB0">
        <w:rPr>
          <w:rFonts w:cs="Arial"/>
          <w:lang w:val="en"/>
        </w:rPr>
        <w:t>rehabilitation measures</w:t>
      </w:r>
      <w:r w:rsidR="00B14BBC">
        <w:rPr>
          <w:rFonts w:cs="Arial"/>
          <w:lang w:val="en"/>
        </w:rPr>
        <w:t xml:space="preserve"> provided by the Correctional Services Department</w:t>
      </w:r>
      <w:r w:rsidR="00394BB0">
        <w:rPr>
          <w:rFonts w:cs="Arial"/>
          <w:lang w:val="en"/>
        </w:rPr>
        <w:t xml:space="preserve"> would help achieve the purposes of </w:t>
      </w:r>
      <w:r w:rsidR="00394BB0" w:rsidRPr="00331E58">
        <w:t>r</w:t>
      </w:r>
      <w:r w:rsidR="00394BB0">
        <w:t>etribution, deterrence,</w:t>
      </w:r>
      <w:r w:rsidR="00394BB0" w:rsidRPr="00331E58">
        <w:t xml:space="preserve"> prevention </w:t>
      </w:r>
      <w:r w:rsidR="00394BB0">
        <w:t xml:space="preserve">and </w:t>
      </w:r>
      <w:r w:rsidR="00394BB0">
        <w:rPr>
          <w:rFonts w:cs="Arial"/>
          <w:lang w:val="en"/>
        </w:rPr>
        <w:t>rehabilitation.</w:t>
      </w:r>
    </w:p>
    <w:p w14:paraId="5314880B" w14:textId="77777777" w:rsidR="003F5A5B" w:rsidRDefault="003F5A5B" w:rsidP="002F0EDE">
      <w:pPr>
        <w:widowControl/>
        <w:tabs>
          <w:tab w:val="clear" w:pos="1418"/>
        </w:tabs>
        <w:adjustRightInd/>
        <w:rPr>
          <w:rFonts w:cs="Arial"/>
          <w:lang w:val="en-US"/>
        </w:rPr>
      </w:pPr>
    </w:p>
    <w:p w14:paraId="55B3F4F2" w14:textId="353F312C" w:rsidR="003F5A5B" w:rsidRDefault="003F5A5B" w:rsidP="003F5A5B">
      <w:pPr>
        <w:tabs>
          <w:tab w:val="left" w:pos="567"/>
        </w:tabs>
        <w:rPr>
          <w:lang w:val="en"/>
        </w:rPr>
      </w:pPr>
      <w:r>
        <w:rPr>
          <w:rFonts w:cs="Arial"/>
          <w:lang w:val="en-US"/>
        </w:rPr>
        <w:t>3</w:t>
      </w:r>
      <w:r w:rsidR="00B1197A">
        <w:rPr>
          <w:rFonts w:cs="Arial"/>
          <w:lang w:val="en-US"/>
        </w:rPr>
        <w:t>4</w:t>
      </w:r>
      <w:r>
        <w:rPr>
          <w:rFonts w:cs="Arial"/>
          <w:lang w:val="en-US"/>
        </w:rPr>
        <w:t>.</w:t>
      </w:r>
      <w:r>
        <w:rPr>
          <w:rFonts w:cs="Arial"/>
          <w:lang w:val="en-US"/>
        </w:rPr>
        <w:tab/>
      </w:r>
      <w:r>
        <w:rPr>
          <w:rFonts w:cs="Arial"/>
          <w:lang w:val="en-US"/>
        </w:rPr>
        <w:tab/>
      </w:r>
      <w:r w:rsidR="006F629D">
        <w:rPr>
          <w:rFonts w:cs="Arial"/>
          <w:lang w:val="en-US"/>
        </w:rPr>
        <w:t>Therefore</w:t>
      </w:r>
      <w:r w:rsidR="00E7136E">
        <w:rPr>
          <w:lang w:val="en"/>
        </w:rPr>
        <w:t>,</w:t>
      </w:r>
      <w:r>
        <w:rPr>
          <w:lang w:val="en"/>
        </w:rPr>
        <w:t xml:space="preserve"> we recommend retaining Recommendations 12</w:t>
      </w:r>
      <w:r w:rsidR="00E34F5F">
        <w:rPr>
          <w:lang w:val="en"/>
        </w:rPr>
        <w:t>, 13</w:t>
      </w:r>
      <w:r>
        <w:rPr>
          <w:lang w:val="en"/>
        </w:rPr>
        <w:t xml:space="preserve"> and 1</w:t>
      </w:r>
      <w:r w:rsidR="00E34F5F">
        <w:rPr>
          <w:lang w:val="en"/>
        </w:rPr>
        <w:t>4</w:t>
      </w:r>
      <w:r w:rsidR="00B672DE">
        <w:rPr>
          <w:lang w:val="en"/>
        </w:rPr>
        <w:t xml:space="preserve"> in the CP</w:t>
      </w:r>
      <w:r>
        <w:rPr>
          <w:lang w:val="en"/>
        </w:rPr>
        <w:t xml:space="preserve"> a</w:t>
      </w:r>
      <w:r w:rsidR="003A0EA8">
        <w:rPr>
          <w:lang w:val="en"/>
        </w:rPr>
        <w:t>s</w:t>
      </w:r>
      <w:r>
        <w:rPr>
          <w:lang w:val="en"/>
        </w:rPr>
        <w:t xml:space="preserve"> our Final Recommendations 12</w:t>
      </w:r>
      <w:r w:rsidR="004B5E21">
        <w:rPr>
          <w:lang w:val="en"/>
        </w:rPr>
        <w:t xml:space="preserve">, </w:t>
      </w:r>
      <w:r>
        <w:rPr>
          <w:lang w:val="en"/>
        </w:rPr>
        <w:t xml:space="preserve">13 </w:t>
      </w:r>
      <w:r w:rsidR="004B5E21">
        <w:rPr>
          <w:lang w:val="en"/>
        </w:rPr>
        <w:t xml:space="preserve">and </w:t>
      </w:r>
      <w:r w:rsidR="004B5E21" w:rsidRPr="000018AD">
        <w:rPr>
          <w:lang w:val="en"/>
        </w:rPr>
        <w:t>14</w:t>
      </w:r>
      <w:r w:rsidR="004348B4" w:rsidRPr="000018AD">
        <w:rPr>
          <w:lang w:val="en"/>
        </w:rPr>
        <w:t>, which</w:t>
      </w:r>
      <w:r w:rsidR="004B5E21" w:rsidRPr="000018AD">
        <w:rPr>
          <w:lang w:val="en"/>
        </w:rPr>
        <w:t xml:space="preserve"> </w:t>
      </w:r>
      <w:r w:rsidRPr="000018AD">
        <w:rPr>
          <w:lang w:val="en"/>
        </w:rPr>
        <w:t>are</w:t>
      </w:r>
      <w:r>
        <w:rPr>
          <w:lang w:val="en"/>
        </w:rPr>
        <w:t>:</w:t>
      </w:r>
    </w:p>
    <w:p w14:paraId="73C8D7C7" w14:textId="77777777" w:rsidR="0046127D" w:rsidRDefault="0046127D" w:rsidP="006269AE">
      <w:pPr>
        <w:tabs>
          <w:tab w:val="left" w:pos="567"/>
        </w:tabs>
        <w:spacing w:after="120"/>
        <w:rPr>
          <w:i/>
          <w:lang w:val="en"/>
        </w:rPr>
      </w:pPr>
    </w:p>
    <w:p w14:paraId="7B0AF4C3" w14:textId="77777777" w:rsidR="0046127D" w:rsidRPr="00202346" w:rsidRDefault="0046127D" w:rsidP="00696207">
      <w:pPr>
        <w:widowControl/>
        <w:tabs>
          <w:tab w:val="clear" w:pos="1418"/>
        </w:tabs>
        <w:adjustRightInd/>
        <w:spacing w:after="240"/>
        <w:rPr>
          <w:rFonts w:cs="Arial"/>
          <w:b/>
          <w:i/>
          <w:lang w:val="en-US"/>
        </w:rPr>
      </w:pPr>
      <w:r w:rsidRPr="00202346">
        <w:rPr>
          <w:rFonts w:cs="Arial"/>
          <w:b/>
          <w:i/>
          <w:lang w:val="en-US"/>
        </w:rPr>
        <w:t>Final Recommendation 12</w:t>
      </w:r>
    </w:p>
    <w:p w14:paraId="6E5CC643" w14:textId="77777777" w:rsidR="002F0EDE" w:rsidRPr="00FC5074" w:rsidRDefault="003F5A5B" w:rsidP="00FC5074">
      <w:pPr>
        <w:widowControl/>
        <w:tabs>
          <w:tab w:val="clear" w:pos="1418"/>
        </w:tabs>
        <w:adjustRightInd/>
        <w:ind w:left="720" w:right="720"/>
        <w:rPr>
          <w:rFonts w:cs="Arial"/>
          <w:i/>
          <w:lang w:val="en-US"/>
        </w:rPr>
      </w:pPr>
      <w:r w:rsidRPr="00FC5074">
        <w:rPr>
          <w:rFonts w:cs="Arial"/>
          <w:i/>
          <w:lang w:val="en-US"/>
        </w:rPr>
        <w:t>“</w:t>
      </w:r>
      <w:r w:rsidR="002F0EDE" w:rsidRPr="00FC5074">
        <w:rPr>
          <w:rFonts w:cs="Arial"/>
          <w:i/>
          <w:lang w:val="en-US"/>
        </w:rPr>
        <w:t>We recommend that where the victim dies as a result of the unlawful act or neglect, the maximum penalty for the proposed offence should be 20 years’ imprisonment.</w:t>
      </w:r>
      <w:r w:rsidR="003D72AE">
        <w:rPr>
          <w:rFonts w:cs="Arial"/>
          <w:i/>
          <w:lang w:val="en-US"/>
        </w:rPr>
        <w:t>”</w:t>
      </w:r>
      <w:r w:rsidR="006247D7" w:rsidRPr="00FC5074">
        <w:rPr>
          <w:rStyle w:val="FootnoteReference"/>
          <w:bCs/>
          <w:color w:val="000000"/>
          <w:sz w:val="24"/>
          <w:szCs w:val="24"/>
        </w:rPr>
        <w:footnoteReference w:id="15"/>
      </w:r>
    </w:p>
    <w:p w14:paraId="782EE80E" w14:textId="77777777" w:rsidR="002F0EDE" w:rsidRDefault="002F0EDE" w:rsidP="006269AE">
      <w:pPr>
        <w:widowControl/>
        <w:tabs>
          <w:tab w:val="clear" w:pos="1418"/>
        </w:tabs>
        <w:adjustRightInd/>
        <w:spacing w:after="120"/>
        <w:ind w:left="709" w:right="652"/>
        <w:rPr>
          <w:rFonts w:cs="Arial"/>
          <w:i/>
          <w:lang w:val="en-US"/>
        </w:rPr>
      </w:pPr>
    </w:p>
    <w:p w14:paraId="3A895AB2" w14:textId="77777777" w:rsidR="0046127D" w:rsidRPr="00202346" w:rsidRDefault="0046127D" w:rsidP="00696207">
      <w:pPr>
        <w:widowControl/>
        <w:tabs>
          <w:tab w:val="clear" w:pos="1418"/>
        </w:tabs>
        <w:adjustRightInd/>
        <w:spacing w:after="240"/>
        <w:rPr>
          <w:rFonts w:cs="Arial"/>
          <w:b/>
          <w:i/>
          <w:lang w:val="en-US"/>
        </w:rPr>
      </w:pPr>
      <w:r w:rsidRPr="00202346">
        <w:rPr>
          <w:rFonts w:cs="Arial"/>
          <w:b/>
          <w:i/>
          <w:lang w:val="en-US"/>
        </w:rPr>
        <w:t>Final Recommendation 13</w:t>
      </w:r>
    </w:p>
    <w:p w14:paraId="42693103" w14:textId="77777777" w:rsidR="002F0EDE" w:rsidRPr="00FC5074" w:rsidRDefault="002F0EDE" w:rsidP="00FC5074">
      <w:pPr>
        <w:widowControl/>
        <w:tabs>
          <w:tab w:val="clear" w:pos="1418"/>
        </w:tabs>
        <w:adjustRightInd/>
        <w:ind w:left="720" w:right="720"/>
        <w:rPr>
          <w:rFonts w:cs="Arial"/>
          <w:i/>
          <w:lang w:val="en-US"/>
        </w:rPr>
      </w:pPr>
      <w:r w:rsidRPr="00FC5074">
        <w:rPr>
          <w:rFonts w:cs="Arial"/>
          <w:i/>
          <w:lang w:val="en-US"/>
        </w:rPr>
        <w:t>We recommend that where the victim suffers serious harm as a result of the unlawful act or neglect, the maximum penalty for the proposed offence should be 15 years’ imprisonment.</w:t>
      </w:r>
      <w:r w:rsidR="003D72AE">
        <w:rPr>
          <w:rFonts w:cs="Arial"/>
          <w:i/>
          <w:lang w:val="en-US"/>
        </w:rPr>
        <w:t>”</w:t>
      </w:r>
      <w:r w:rsidR="006247D7" w:rsidRPr="00255F22">
        <w:rPr>
          <w:rStyle w:val="FootnoteReference"/>
          <w:rFonts w:cs="Arial"/>
          <w:sz w:val="24"/>
          <w:szCs w:val="24"/>
          <w:lang w:val="en-US"/>
        </w:rPr>
        <w:footnoteReference w:id="16"/>
      </w:r>
    </w:p>
    <w:p w14:paraId="588A0B77" w14:textId="77777777" w:rsidR="002F0EDE" w:rsidRPr="00202346" w:rsidRDefault="002F0EDE" w:rsidP="00503122">
      <w:pPr>
        <w:widowControl/>
        <w:tabs>
          <w:tab w:val="clear" w:pos="1418"/>
        </w:tabs>
        <w:adjustRightInd/>
        <w:spacing w:before="240" w:after="240"/>
        <w:rPr>
          <w:rFonts w:cs="Arial"/>
          <w:b/>
          <w:i/>
          <w:lang w:val="en-US"/>
        </w:rPr>
      </w:pPr>
      <w:r w:rsidRPr="00202346">
        <w:rPr>
          <w:rFonts w:cs="Arial"/>
          <w:b/>
          <w:i/>
          <w:lang w:val="en-US"/>
        </w:rPr>
        <w:lastRenderedPageBreak/>
        <w:t>Final Recommendation 14</w:t>
      </w:r>
    </w:p>
    <w:p w14:paraId="42E6CA18" w14:textId="77777777" w:rsidR="002F0EDE" w:rsidRPr="0046127D" w:rsidRDefault="0046127D" w:rsidP="00255F22">
      <w:pPr>
        <w:widowControl/>
        <w:tabs>
          <w:tab w:val="clear" w:pos="1418"/>
        </w:tabs>
        <w:adjustRightInd/>
        <w:ind w:left="1440" w:right="720" w:hanging="720"/>
        <w:rPr>
          <w:rFonts w:cs="Arial"/>
          <w:i/>
          <w:lang w:val="en-US"/>
        </w:rPr>
      </w:pPr>
      <w:r w:rsidRPr="0046127D">
        <w:rPr>
          <w:rFonts w:cs="Arial"/>
          <w:i/>
          <w:lang w:val="en-US"/>
        </w:rPr>
        <w:t>“</w:t>
      </w:r>
      <w:r w:rsidR="002F0EDE" w:rsidRPr="0046127D">
        <w:rPr>
          <w:rFonts w:cs="Arial"/>
          <w:i/>
          <w:lang w:val="en-US"/>
        </w:rPr>
        <w:t>We recommend that:</w:t>
      </w:r>
    </w:p>
    <w:p w14:paraId="2AE3C9D8" w14:textId="77777777" w:rsidR="0046127D" w:rsidRPr="0046127D" w:rsidRDefault="0046127D" w:rsidP="00255F22">
      <w:pPr>
        <w:widowControl/>
        <w:tabs>
          <w:tab w:val="clear" w:pos="1418"/>
        </w:tabs>
        <w:adjustRightInd/>
        <w:ind w:left="1440" w:right="720" w:hanging="720"/>
        <w:rPr>
          <w:rFonts w:cs="Arial"/>
          <w:i/>
          <w:lang w:val="en-US"/>
        </w:rPr>
      </w:pPr>
    </w:p>
    <w:p w14:paraId="7FC3361C" w14:textId="77777777" w:rsidR="002F0EDE" w:rsidRDefault="002F0EDE" w:rsidP="00255F22">
      <w:pPr>
        <w:widowControl/>
        <w:numPr>
          <w:ilvl w:val="0"/>
          <w:numId w:val="11"/>
        </w:numPr>
        <w:tabs>
          <w:tab w:val="clear" w:pos="1418"/>
        </w:tabs>
        <w:adjustRightInd/>
        <w:ind w:left="1440" w:right="720"/>
        <w:rPr>
          <w:rFonts w:cs="Arial"/>
          <w:i/>
          <w:lang w:val="en-US"/>
        </w:rPr>
      </w:pPr>
      <w:r w:rsidRPr="0046127D">
        <w:rPr>
          <w:rFonts w:cs="Arial"/>
          <w:i/>
          <w:lang w:val="en-US"/>
        </w:rPr>
        <w:t>the proposed offence should be an indictable offence;</w:t>
      </w:r>
    </w:p>
    <w:p w14:paraId="7EFFDDC8" w14:textId="77777777" w:rsidR="00067F2C" w:rsidRDefault="00067F2C" w:rsidP="00255F22">
      <w:pPr>
        <w:widowControl/>
        <w:tabs>
          <w:tab w:val="clear" w:pos="1418"/>
        </w:tabs>
        <w:adjustRightInd/>
        <w:ind w:left="1440" w:right="720" w:hanging="720"/>
        <w:rPr>
          <w:rFonts w:cs="Arial"/>
          <w:i/>
          <w:lang w:val="en-US"/>
        </w:rPr>
      </w:pPr>
    </w:p>
    <w:p w14:paraId="38EC4D8C" w14:textId="77777777" w:rsidR="002F0EDE" w:rsidRDefault="002F0EDE" w:rsidP="00255F22">
      <w:pPr>
        <w:widowControl/>
        <w:numPr>
          <w:ilvl w:val="0"/>
          <w:numId w:val="11"/>
        </w:numPr>
        <w:tabs>
          <w:tab w:val="clear" w:pos="1418"/>
        </w:tabs>
        <w:adjustRightInd/>
        <w:ind w:left="1440" w:right="720"/>
        <w:rPr>
          <w:rFonts w:cs="Arial"/>
          <w:i/>
          <w:lang w:val="en-US"/>
        </w:rPr>
      </w:pPr>
      <w:r w:rsidRPr="0046127D">
        <w:rPr>
          <w:rFonts w:cs="Arial"/>
          <w:i/>
          <w:lang w:val="en-US"/>
        </w:rPr>
        <w:t>cases involving the proposed offence should not be heard summarily in the Magistrates' court;</w:t>
      </w:r>
    </w:p>
    <w:p w14:paraId="5C67D27E" w14:textId="77777777" w:rsidR="0046127D" w:rsidRPr="0046127D" w:rsidRDefault="0046127D" w:rsidP="00255F22">
      <w:pPr>
        <w:widowControl/>
        <w:tabs>
          <w:tab w:val="clear" w:pos="1418"/>
        </w:tabs>
        <w:adjustRightInd/>
        <w:ind w:left="1440" w:right="720" w:hanging="720"/>
        <w:rPr>
          <w:rFonts w:cs="Arial"/>
          <w:i/>
          <w:lang w:val="en-US"/>
        </w:rPr>
      </w:pPr>
    </w:p>
    <w:p w14:paraId="1603156D" w14:textId="77777777" w:rsidR="002F0EDE" w:rsidRDefault="002F0EDE" w:rsidP="00255F22">
      <w:pPr>
        <w:widowControl/>
        <w:numPr>
          <w:ilvl w:val="0"/>
          <w:numId w:val="11"/>
        </w:numPr>
        <w:tabs>
          <w:tab w:val="clear" w:pos="1418"/>
        </w:tabs>
        <w:adjustRightInd/>
        <w:ind w:left="1440" w:right="720"/>
        <w:rPr>
          <w:rFonts w:cs="Arial"/>
          <w:i/>
          <w:lang w:val="en-US"/>
        </w:rPr>
      </w:pPr>
      <w:r w:rsidRPr="0046127D">
        <w:rPr>
          <w:rFonts w:cs="Arial"/>
          <w:i/>
          <w:lang w:val="en-US"/>
        </w:rPr>
        <w:t>cases involving the proposed offence resulting in serious harm to the victim should be triable in either the District Court or the High Court;</w:t>
      </w:r>
    </w:p>
    <w:p w14:paraId="0F59AE6C" w14:textId="77777777" w:rsidR="0046127D" w:rsidRDefault="0046127D" w:rsidP="00255F22">
      <w:pPr>
        <w:pStyle w:val="ListParagraph"/>
        <w:ind w:left="1440" w:right="720" w:hanging="720"/>
        <w:rPr>
          <w:rFonts w:cs="Arial"/>
          <w:i/>
          <w:lang w:val="en-US"/>
        </w:rPr>
      </w:pPr>
    </w:p>
    <w:p w14:paraId="7E852512" w14:textId="77777777" w:rsidR="002F0EDE" w:rsidRDefault="002F0EDE" w:rsidP="00255F22">
      <w:pPr>
        <w:widowControl/>
        <w:numPr>
          <w:ilvl w:val="0"/>
          <w:numId w:val="11"/>
        </w:numPr>
        <w:tabs>
          <w:tab w:val="clear" w:pos="1418"/>
        </w:tabs>
        <w:adjustRightInd/>
        <w:ind w:left="1440" w:right="720"/>
        <w:rPr>
          <w:rFonts w:cs="Arial"/>
          <w:i/>
          <w:lang w:val="en-US"/>
        </w:rPr>
      </w:pPr>
      <w:r w:rsidRPr="0046127D">
        <w:rPr>
          <w:rFonts w:cs="Arial"/>
          <w:i/>
          <w:lang w:val="en-US"/>
        </w:rPr>
        <w:t>cases involving the proposed offence resulting in the death of the victim should be triable in the High Court only; and</w:t>
      </w:r>
    </w:p>
    <w:p w14:paraId="54EC1A73" w14:textId="77777777" w:rsidR="0046127D" w:rsidRPr="0046127D" w:rsidRDefault="0046127D" w:rsidP="00255F22">
      <w:pPr>
        <w:widowControl/>
        <w:tabs>
          <w:tab w:val="clear" w:pos="1418"/>
        </w:tabs>
        <w:adjustRightInd/>
        <w:ind w:left="1440" w:right="720" w:hanging="720"/>
        <w:rPr>
          <w:rFonts w:cs="Arial"/>
          <w:i/>
          <w:lang w:val="en-US"/>
        </w:rPr>
      </w:pPr>
    </w:p>
    <w:p w14:paraId="00BF91D0" w14:textId="77777777" w:rsidR="002F0EDE" w:rsidRPr="0046127D" w:rsidRDefault="002F0EDE" w:rsidP="00255F22">
      <w:pPr>
        <w:widowControl/>
        <w:numPr>
          <w:ilvl w:val="0"/>
          <w:numId w:val="11"/>
        </w:numPr>
        <w:tabs>
          <w:tab w:val="clear" w:pos="1418"/>
        </w:tabs>
        <w:adjustRightInd/>
        <w:ind w:left="1440" w:right="720"/>
        <w:rPr>
          <w:rFonts w:cs="Arial"/>
          <w:i/>
          <w:lang w:val="en-US"/>
        </w:rPr>
      </w:pPr>
      <w:proofErr w:type="gramStart"/>
      <w:r w:rsidRPr="0046127D">
        <w:rPr>
          <w:rFonts w:cs="Arial"/>
          <w:i/>
          <w:lang w:val="en-US"/>
        </w:rPr>
        <w:t>appropriate</w:t>
      </w:r>
      <w:proofErr w:type="gramEnd"/>
      <w:r w:rsidRPr="0046127D">
        <w:rPr>
          <w:rFonts w:cs="Arial"/>
          <w:i/>
          <w:lang w:val="en-US"/>
        </w:rPr>
        <w:t xml:space="preserve"> consequential amendments should be made to Parts I and III of the Second Schedule to the Magistrates Ordinance (Cap 227) to give effect to this recommendation.</w:t>
      </w:r>
      <w:r w:rsidR="0046127D" w:rsidRPr="0046127D">
        <w:rPr>
          <w:rFonts w:cs="Arial"/>
          <w:i/>
          <w:lang w:val="en-US"/>
        </w:rPr>
        <w:t>”</w:t>
      </w:r>
    </w:p>
    <w:p w14:paraId="5049787B" w14:textId="77777777" w:rsidR="00C94A37" w:rsidRPr="00A2236A" w:rsidRDefault="00C94A37" w:rsidP="002F0EDE">
      <w:pPr>
        <w:widowControl/>
        <w:tabs>
          <w:tab w:val="clear" w:pos="1418"/>
        </w:tabs>
        <w:adjustRightInd/>
        <w:rPr>
          <w:b/>
          <w:lang w:val="en-US"/>
        </w:rPr>
      </w:pPr>
    </w:p>
    <w:p w14:paraId="2D9FEF10" w14:textId="77777777" w:rsidR="00255F22" w:rsidRPr="00A2236A" w:rsidRDefault="00255F22" w:rsidP="002F0EDE">
      <w:pPr>
        <w:widowControl/>
        <w:tabs>
          <w:tab w:val="clear" w:pos="1418"/>
        </w:tabs>
        <w:adjustRightInd/>
        <w:rPr>
          <w:b/>
          <w:lang w:val="en-US"/>
        </w:rPr>
      </w:pPr>
    </w:p>
    <w:p w14:paraId="6BA2F8B9" w14:textId="77777777" w:rsidR="002F0EDE" w:rsidRPr="00202346" w:rsidRDefault="00E03548" w:rsidP="002F0EDE">
      <w:pPr>
        <w:widowControl/>
        <w:tabs>
          <w:tab w:val="clear" w:pos="1418"/>
        </w:tabs>
        <w:adjustRightInd/>
        <w:rPr>
          <w:b/>
          <w:sz w:val="28"/>
          <w:szCs w:val="28"/>
          <w:lang w:val="en-US"/>
        </w:rPr>
      </w:pPr>
      <w:r w:rsidRPr="00202346">
        <w:rPr>
          <w:b/>
          <w:sz w:val="28"/>
          <w:szCs w:val="28"/>
          <w:lang w:val="en-US"/>
        </w:rPr>
        <w:t>Chapter 9: Collateral measures and Respondents’ other observations</w:t>
      </w:r>
    </w:p>
    <w:p w14:paraId="662CCF16" w14:textId="77777777" w:rsidR="00E03548" w:rsidRDefault="00E03548" w:rsidP="002F0EDE">
      <w:pPr>
        <w:widowControl/>
        <w:tabs>
          <w:tab w:val="clear" w:pos="1418"/>
        </w:tabs>
        <w:adjustRightInd/>
        <w:rPr>
          <w:rFonts w:cs="Arial"/>
          <w:b/>
          <w:lang w:val="en-US"/>
        </w:rPr>
      </w:pPr>
    </w:p>
    <w:p w14:paraId="7ED9B145" w14:textId="3C794DB8" w:rsidR="002F0EDE" w:rsidRPr="00567762" w:rsidRDefault="00E03548" w:rsidP="00567762">
      <w:pPr>
        <w:widowControl/>
        <w:tabs>
          <w:tab w:val="clear" w:pos="1418"/>
        </w:tabs>
        <w:adjustRightInd/>
        <w:ind w:right="84"/>
        <w:rPr>
          <w:rFonts w:cs="Arial"/>
          <w:lang w:val="en-US"/>
        </w:rPr>
      </w:pPr>
      <w:r>
        <w:rPr>
          <w:rFonts w:cs="Arial"/>
          <w:lang w:val="en-US"/>
        </w:rPr>
        <w:t>3</w:t>
      </w:r>
      <w:r w:rsidR="00B1197A">
        <w:rPr>
          <w:rFonts w:cs="Arial"/>
          <w:lang w:val="en-US"/>
        </w:rPr>
        <w:t>5</w:t>
      </w:r>
      <w:r>
        <w:rPr>
          <w:rFonts w:cs="Arial"/>
          <w:lang w:val="en-US"/>
        </w:rPr>
        <w:t>.</w:t>
      </w:r>
      <w:r>
        <w:rPr>
          <w:rFonts w:cs="Arial"/>
          <w:lang w:val="en-US"/>
        </w:rPr>
        <w:tab/>
      </w:r>
      <w:r w:rsidR="00450E0E">
        <w:rPr>
          <w:rFonts w:cs="Arial"/>
          <w:lang w:val="en-US"/>
        </w:rPr>
        <w:tab/>
      </w:r>
      <w:r w:rsidR="00691E7E">
        <w:rPr>
          <w:rFonts w:eastAsia="Arial"/>
        </w:rPr>
        <w:t>Many Respondents</w:t>
      </w:r>
      <w:r w:rsidR="00691E7E" w:rsidRPr="000E6E41">
        <w:rPr>
          <w:rFonts w:eastAsia="Arial"/>
        </w:rPr>
        <w:t xml:space="preserve"> </w:t>
      </w:r>
      <w:r w:rsidR="00691E7E">
        <w:rPr>
          <w:rFonts w:eastAsia="Arial"/>
        </w:rPr>
        <w:t xml:space="preserve">are concerned </w:t>
      </w:r>
      <w:r w:rsidR="00691E7E" w:rsidRPr="000E6E41">
        <w:rPr>
          <w:rFonts w:eastAsia="Arial"/>
        </w:rPr>
        <w:t>that mere</w:t>
      </w:r>
      <w:r w:rsidR="00691E7E">
        <w:rPr>
          <w:rFonts w:eastAsia="Arial"/>
        </w:rPr>
        <w:t xml:space="preserve">ly using legislative means to </w:t>
      </w:r>
      <w:r w:rsidR="00691E7E" w:rsidRPr="000E6E41">
        <w:rPr>
          <w:rFonts w:eastAsia="Arial"/>
        </w:rPr>
        <w:t xml:space="preserve">strengthen </w:t>
      </w:r>
      <w:r w:rsidR="00691E7E">
        <w:rPr>
          <w:rFonts w:eastAsia="Arial"/>
        </w:rPr>
        <w:t xml:space="preserve">the </w:t>
      </w:r>
      <w:r w:rsidR="00691E7E" w:rsidRPr="000E6E41">
        <w:rPr>
          <w:rFonts w:eastAsia="Arial"/>
        </w:rPr>
        <w:t xml:space="preserve">deterrence of abuses may not </w:t>
      </w:r>
      <w:r w:rsidR="00691E7E">
        <w:rPr>
          <w:rFonts w:eastAsia="Arial"/>
        </w:rPr>
        <w:t xml:space="preserve">necessarily </w:t>
      </w:r>
      <w:r w:rsidR="00691E7E" w:rsidRPr="000E6E41">
        <w:rPr>
          <w:rFonts w:eastAsia="Arial"/>
        </w:rPr>
        <w:t xml:space="preserve">reduce the risk of harm to children or vulnerable </w:t>
      </w:r>
      <w:r w:rsidR="00691E7E">
        <w:rPr>
          <w:rFonts w:eastAsia="Arial"/>
        </w:rPr>
        <w:t xml:space="preserve">persons; it </w:t>
      </w:r>
      <w:r w:rsidR="00691E7E" w:rsidRPr="000E6E41">
        <w:rPr>
          <w:rFonts w:eastAsia="Arial"/>
        </w:rPr>
        <w:t xml:space="preserve">may </w:t>
      </w:r>
      <w:r w:rsidR="00691E7E">
        <w:rPr>
          <w:rFonts w:eastAsia="Arial"/>
        </w:rPr>
        <w:t xml:space="preserve">instead </w:t>
      </w:r>
      <w:r w:rsidR="00691E7E" w:rsidRPr="000E6E41">
        <w:rPr>
          <w:rFonts w:eastAsia="Arial"/>
        </w:rPr>
        <w:t xml:space="preserve">increase the pressure on their </w:t>
      </w:r>
      <w:proofErr w:type="spellStart"/>
      <w:r w:rsidR="00691E7E" w:rsidRPr="000E6E41">
        <w:rPr>
          <w:rFonts w:eastAsia="Arial"/>
        </w:rPr>
        <w:t>carers</w:t>
      </w:r>
      <w:proofErr w:type="spellEnd"/>
      <w:r w:rsidR="00691E7E">
        <w:rPr>
          <w:rFonts w:eastAsia="Arial"/>
        </w:rPr>
        <w:t xml:space="preserve">.  </w:t>
      </w:r>
      <w:r w:rsidR="006B231C">
        <w:rPr>
          <w:rFonts w:eastAsia="Arial"/>
        </w:rPr>
        <w:t xml:space="preserve">The proposed offence aside, </w:t>
      </w:r>
      <w:r w:rsidR="006B231C">
        <w:rPr>
          <w:rFonts w:cs="Arial"/>
          <w:lang w:val="en-US"/>
        </w:rPr>
        <w:t>w</w:t>
      </w:r>
      <w:r w:rsidRPr="00E03548">
        <w:rPr>
          <w:rFonts w:cs="Arial"/>
          <w:lang w:val="en-US"/>
        </w:rPr>
        <w:t xml:space="preserve">e in general agree with </w:t>
      </w:r>
      <w:r w:rsidR="003D72AE">
        <w:rPr>
          <w:rFonts w:cs="Arial"/>
          <w:lang w:val="en-US"/>
        </w:rPr>
        <w:t xml:space="preserve">the </w:t>
      </w:r>
      <w:r w:rsidRPr="00E03548">
        <w:rPr>
          <w:rFonts w:cs="Arial"/>
          <w:lang w:val="en-US"/>
        </w:rPr>
        <w:t xml:space="preserve">Respondents’ suggestions that </w:t>
      </w:r>
      <w:r w:rsidR="006B231C">
        <w:rPr>
          <w:rFonts w:cs="Arial"/>
          <w:lang w:val="en-US"/>
        </w:rPr>
        <w:t xml:space="preserve">there should be in parallel </w:t>
      </w:r>
      <w:r w:rsidRPr="00E03548">
        <w:rPr>
          <w:rFonts w:cs="Arial"/>
          <w:lang w:val="en-US"/>
        </w:rPr>
        <w:t xml:space="preserve">sufficient resources and support, training and education, and promotion and publicity so as to enhance the protection for children and vulnerable persons.  </w:t>
      </w:r>
      <w:r w:rsidR="006B231C">
        <w:rPr>
          <w:rFonts w:cs="Arial"/>
          <w:lang w:val="en-US"/>
        </w:rPr>
        <w:t>W</w:t>
      </w:r>
      <w:r w:rsidR="00691E7E">
        <w:rPr>
          <w:rFonts w:cs="Arial"/>
          <w:lang w:val="en-US"/>
        </w:rPr>
        <w:t xml:space="preserve">e have </w:t>
      </w:r>
      <w:r w:rsidR="006B231C">
        <w:rPr>
          <w:rFonts w:cs="Arial"/>
          <w:lang w:val="en-US"/>
        </w:rPr>
        <w:t xml:space="preserve">hence </w:t>
      </w:r>
      <w:r w:rsidR="00891B23">
        <w:rPr>
          <w:rFonts w:cs="Arial"/>
          <w:lang w:val="en-US"/>
        </w:rPr>
        <w:t xml:space="preserve">set out our remarks </w:t>
      </w:r>
      <w:r>
        <w:rPr>
          <w:rFonts w:eastAsia="Arial"/>
        </w:rPr>
        <w:t xml:space="preserve">on </w:t>
      </w:r>
      <w:r w:rsidR="00186730">
        <w:rPr>
          <w:rFonts w:eastAsia="Arial"/>
        </w:rPr>
        <w:t xml:space="preserve">these </w:t>
      </w:r>
      <w:r>
        <w:rPr>
          <w:rFonts w:eastAsia="Arial"/>
        </w:rPr>
        <w:t>collateral measures</w:t>
      </w:r>
      <w:r w:rsidR="00186730">
        <w:t xml:space="preserve">, </w:t>
      </w:r>
      <w:proofErr w:type="spellStart"/>
      <w:r w:rsidR="00186730">
        <w:t>ie</w:t>
      </w:r>
      <w:proofErr w:type="spellEnd"/>
      <w:r w:rsidR="00450E0E">
        <w:rPr>
          <w:rFonts w:eastAsia="Arial"/>
        </w:rPr>
        <w:t xml:space="preserve"> </w:t>
      </w:r>
      <w:r w:rsidR="00891B23" w:rsidRPr="00567762">
        <w:rPr>
          <w:rFonts w:cs="Arial"/>
          <w:lang w:val="en-US"/>
        </w:rPr>
        <w:t>encourag</w:t>
      </w:r>
      <w:r w:rsidR="00FE6B03">
        <w:rPr>
          <w:rFonts w:cs="Arial"/>
          <w:lang w:val="en-US"/>
        </w:rPr>
        <w:t>ing</w:t>
      </w:r>
      <w:r w:rsidR="00891B23" w:rsidRPr="00567762">
        <w:rPr>
          <w:rFonts w:cs="Arial"/>
          <w:lang w:val="en-US"/>
        </w:rPr>
        <w:t xml:space="preserve"> </w:t>
      </w:r>
      <w:r w:rsidR="002F0EDE" w:rsidRPr="00567762">
        <w:rPr>
          <w:rFonts w:cs="Arial"/>
        </w:rPr>
        <w:t xml:space="preserve">the Government </w:t>
      </w:r>
      <w:r w:rsidR="00891B23" w:rsidRPr="00567762">
        <w:rPr>
          <w:rFonts w:cs="Arial"/>
        </w:rPr>
        <w:t>to</w:t>
      </w:r>
      <w:r w:rsidR="00891B23">
        <w:rPr>
          <w:rFonts w:cs="Arial"/>
        </w:rPr>
        <w:t xml:space="preserve"> </w:t>
      </w:r>
      <w:r w:rsidR="002F0EDE" w:rsidRPr="00567762">
        <w:rPr>
          <w:rFonts w:cs="Arial"/>
          <w:lang w:val="en-US"/>
        </w:rPr>
        <w:t xml:space="preserve">provide further training to </w:t>
      </w:r>
      <w:proofErr w:type="spellStart"/>
      <w:r w:rsidR="002F0EDE" w:rsidRPr="00567762">
        <w:rPr>
          <w:rFonts w:cs="Arial"/>
          <w:lang w:val="en-US"/>
        </w:rPr>
        <w:t>carers</w:t>
      </w:r>
      <w:proofErr w:type="spellEnd"/>
      <w:r w:rsidR="002F0EDE" w:rsidRPr="00567762">
        <w:rPr>
          <w:rFonts w:cs="Arial"/>
          <w:lang w:val="en-US"/>
        </w:rPr>
        <w:t>, care services sectors</w:t>
      </w:r>
      <w:r w:rsidR="002F0EDE" w:rsidRPr="00567762">
        <w:rPr>
          <w:rFonts w:cs="Arial"/>
        </w:rPr>
        <w:t>, relevant stakeholders and professionals</w:t>
      </w:r>
      <w:r w:rsidR="002F0EDE" w:rsidRPr="00567762">
        <w:rPr>
          <w:rFonts w:cs="Arial"/>
          <w:lang w:val="en-US"/>
        </w:rPr>
        <w:t>; and</w:t>
      </w:r>
      <w:r w:rsidR="00FE6B03">
        <w:rPr>
          <w:rFonts w:cs="Arial"/>
          <w:lang w:val="en-US"/>
        </w:rPr>
        <w:t xml:space="preserve"> to</w:t>
      </w:r>
      <w:r w:rsidR="00891B23" w:rsidRPr="00567762">
        <w:rPr>
          <w:rFonts w:cs="Arial"/>
          <w:lang w:val="en-US"/>
        </w:rPr>
        <w:t xml:space="preserve"> </w:t>
      </w:r>
      <w:r w:rsidR="002F0EDE" w:rsidRPr="00567762">
        <w:rPr>
          <w:rFonts w:cs="Arial"/>
          <w:lang w:val="en-US"/>
        </w:rPr>
        <w:t>educate the public to promote awareness and understanding of the proposed offence.</w:t>
      </w:r>
    </w:p>
    <w:p w14:paraId="0072A59F" w14:textId="77777777" w:rsidR="005E4008" w:rsidRPr="002F0EDE" w:rsidRDefault="005E4008" w:rsidP="00192FED">
      <w:pPr>
        <w:widowControl/>
        <w:tabs>
          <w:tab w:val="clear" w:pos="1418"/>
        </w:tabs>
        <w:adjustRightInd/>
        <w:rPr>
          <w:rFonts w:cs="Arial"/>
          <w:lang w:val="en-US"/>
        </w:rPr>
      </w:pPr>
    </w:p>
    <w:p w14:paraId="49487A7C" w14:textId="77777777" w:rsidR="002B0394" w:rsidRPr="002B0394" w:rsidRDefault="002B0394" w:rsidP="00192FED">
      <w:pPr>
        <w:keepNext/>
        <w:widowControl/>
        <w:snapToGrid/>
        <w:spacing w:line="0" w:lineRule="atLeast"/>
        <w:rPr>
          <w:rFonts w:eastAsia="Arial"/>
        </w:rPr>
      </w:pPr>
      <w:r w:rsidRPr="002B0394">
        <w:rPr>
          <w:rFonts w:eastAsia="Arial"/>
        </w:rPr>
        <w:t>3</w:t>
      </w:r>
      <w:r w:rsidR="00B1197A">
        <w:rPr>
          <w:rFonts w:eastAsia="Arial"/>
        </w:rPr>
        <w:t>6</w:t>
      </w:r>
      <w:r w:rsidRPr="002B0394">
        <w:rPr>
          <w:rFonts w:eastAsia="Arial"/>
        </w:rPr>
        <w:t>.</w:t>
      </w:r>
      <w:r>
        <w:rPr>
          <w:rFonts w:eastAsia="Arial"/>
        </w:rPr>
        <w:tab/>
      </w:r>
      <w:r w:rsidRPr="00264087">
        <w:rPr>
          <w:rFonts w:cs="Arial"/>
        </w:rPr>
        <w:t xml:space="preserve">Apart from responding to the </w:t>
      </w:r>
      <w:r w:rsidR="00057E40">
        <w:rPr>
          <w:rFonts w:cs="Arial"/>
        </w:rPr>
        <w:t>r</w:t>
      </w:r>
      <w:r w:rsidRPr="00264087">
        <w:rPr>
          <w:rFonts w:cs="Arial"/>
        </w:rPr>
        <w:t>ecommendations on the proposed offence, some Respondents have also comment</w:t>
      </w:r>
      <w:r>
        <w:rPr>
          <w:rFonts w:cs="Arial"/>
        </w:rPr>
        <w:t>ed</w:t>
      </w:r>
      <w:r w:rsidRPr="00264087">
        <w:rPr>
          <w:rFonts w:cs="Arial"/>
        </w:rPr>
        <w:t xml:space="preserve"> and </w:t>
      </w:r>
      <w:r>
        <w:rPr>
          <w:rFonts w:cs="Arial"/>
        </w:rPr>
        <w:t xml:space="preserve">put forward </w:t>
      </w:r>
      <w:r w:rsidRPr="00264087">
        <w:rPr>
          <w:rFonts w:cs="Arial"/>
        </w:rPr>
        <w:t xml:space="preserve">suggestions on other broader issues </w:t>
      </w:r>
      <w:r>
        <w:rPr>
          <w:rFonts w:cs="Arial"/>
        </w:rPr>
        <w:t>about</w:t>
      </w:r>
      <w:r w:rsidRPr="00264087">
        <w:rPr>
          <w:rFonts w:cs="Arial"/>
        </w:rPr>
        <w:t xml:space="preserve"> </w:t>
      </w:r>
      <w:r>
        <w:rPr>
          <w:rFonts w:cs="Arial"/>
        </w:rPr>
        <w:t xml:space="preserve">more </w:t>
      </w:r>
      <w:r w:rsidRPr="00264087">
        <w:rPr>
          <w:rFonts w:cs="Arial"/>
        </w:rPr>
        <w:t>comprehensively protect</w:t>
      </w:r>
      <w:r>
        <w:rPr>
          <w:rFonts w:cs="Arial"/>
        </w:rPr>
        <w:t>ing</w:t>
      </w:r>
      <w:r w:rsidRPr="00264087">
        <w:rPr>
          <w:rFonts w:cs="Arial"/>
        </w:rPr>
        <w:t xml:space="preserve"> children and vulnerable persons</w:t>
      </w:r>
      <w:r w:rsidR="00EC5722">
        <w:rPr>
          <w:rFonts w:cs="Arial"/>
        </w:rPr>
        <w:t xml:space="preserve">.  These issues </w:t>
      </w:r>
      <w:r w:rsidR="00A35A5F">
        <w:rPr>
          <w:rFonts w:cs="Arial"/>
        </w:rPr>
        <w:t>are</w:t>
      </w:r>
      <w:r w:rsidR="00EC5722">
        <w:rPr>
          <w:rFonts w:cs="Arial"/>
        </w:rPr>
        <w:t xml:space="preserve"> </w:t>
      </w:r>
      <w:r w:rsidR="006A5CF7">
        <w:rPr>
          <w:rFonts w:cs="Arial"/>
        </w:rPr>
        <w:t>reporting of abuse, reforming other areas of law and measures on protection of children and vulnerable persons</w:t>
      </w:r>
      <w:r>
        <w:rPr>
          <w:rFonts w:cs="Arial"/>
        </w:rPr>
        <w:t>.</w:t>
      </w:r>
      <w:r w:rsidRPr="00264087">
        <w:rPr>
          <w:rFonts w:cs="Arial"/>
        </w:rPr>
        <w:t xml:space="preserve">  While these</w:t>
      </w:r>
      <w:r>
        <w:rPr>
          <w:rFonts w:cs="Arial"/>
        </w:rPr>
        <w:t xml:space="preserve"> issues</w:t>
      </w:r>
      <w:r w:rsidRPr="00264087">
        <w:rPr>
          <w:rFonts w:cs="Arial"/>
        </w:rPr>
        <w:t xml:space="preserve"> are outside </w:t>
      </w:r>
      <w:r>
        <w:rPr>
          <w:rFonts w:cs="Arial"/>
        </w:rPr>
        <w:t xml:space="preserve">this project’s </w:t>
      </w:r>
      <w:r w:rsidRPr="00264087">
        <w:rPr>
          <w:rFonts w:cs="Arial"/>
        </w:rPr>
        <w:t>terms of reference,</w:t>
      </w:r>
      <w:r>
        <w:rPr>
          <w:rFonts w:cs="Arial"/>
        </w:rPr>
        <w:t xml:space="preserve"> </w:t>
      </w:r>
      <w:r w:rsidR="00A35A5F">
        <w:rPr>
          <w:rFonts w:cs="Arial"/>
        </w:rPr>
        <w:t xml:space="preserve">this chapter sets out </w:t>
      </w:r>
      <w:r>
        <w:rPr>
          <w:rFonts w:cs="Arial"/>
        </w:rPr>
        <w:t xml:space="preserve">their comments and suggestions </w:t>
      </w:r>
      <w:r w:rsidRPr="00264087">
        <w:rPr>
          <w:rFonts w:cs="Arial"/>
        </w:rPr>
        <w:t xml:space="preserve">for the information of the Government and other </w:t>
      </w:r>
      <w:r>
        <w:rPr>
          <w:rFonts w:cs="Arial"/>
        </w:rPr>
        <w:t xml:space="preserve">relevant </w:t>
      </w:r>
      <w:r w:rsidRPr="00264087">
        <w:rPr>
          <w:rFonts w:cs="Arial"/>
        </w:rPr>
        <w:t xml:space="preserve">organisations in considering how to further </w:t>
      </w:r>
      <w:r>
        <w:rPr>
          <w:rFonts w:cs="Arial"/>
        </w:rPr>
        <w:t>enhance the protection</w:t>
      </w:r>
      <w:r w:rsidRPr="00264087">
        <w:rPr>
          <w:rFonts w:cs="Arial"/>
        </w:rPr>
        <w:t>.</w:t>
      </w:r>
    </w:p>
    <w:p w14:paraId="7C8FC9F3" w14:textId="77777777" w:rsidR="002B0394" w:rsidRPr="00112E04" w:rsidRDefault="002B0394" w:rsidP="006269AE">
      <w:pPr>
        <w:snapToGrid/>
        <w:spacing w:line="0" w:lineRule="atLeast"/>
        <w:rPr>
          <w:lang w:val="en-US"/>
        </w:rPr>
      </w:pPr>
    </w:p>
    <w:p w14:paraId="334371F4" w14:textId="77777777" w:rsidR="00B1197A" w:rsidRPr="00112E04" w:rsidRDefault="00B1197A" w:rsidP="006269AE">
      <w:pPr>
        <w:snapToGrid/>
        <w:spacing w:after="480" w:line="0" w:lineRule="atLeast"/>
        <w:rPr>
          <w:lang w:val="en-US"/>
        </w:rPr>
      </w:pPr>
    </w:p>
    <w:p w14:paraId="3D776F17" w14:textId="77777777" w:rsidR="0086628E" w:rsidRPr="0056298E" w:rsidRDefault="0086628E" w:rsidP="0086628E">
      <w:pPr>
        <w:overflowPunct w:val="0"/>
        <w:autoSpaceDE w:val="0"/>
        <w:autoSpaceDN w:val="0"/>
        <w:spacing w:line="0" w:lineRule="atLeast"/>
        <w:textAlignment w:val="baseline"/>
        <w:rPr>
          <w:rFonts w:cs="Arial"/>
          <w:b/>
          <w:sz w:val="28"/>
          <w:szCs w:val="28"/>
        </w:rPr>
      </w:pPr>
      <w:r>
        <w:rPr>
          <w:rFonts w:cs="Arial"/>
          <w:b/>
          <w:sz w:val="28"/>
          <w:szCs w:val="28"/>
        </w:rPr>
        <w:lastRenderedPageBreak/>
        <w:t>Our remarks</w:t>
      </w:r>
    </w:p>
    <w:p w14:paraId="29ED89D7" w14:textId="77777777" w:rsidR="00B1197A" w:rsidRDefault="00B1197A" w:rsidP="0086628E">
      <w:pPr>
        <w:keepNext/>
        <w:widowControl/>
        <w:snapToGrid/>
        <w:spacing w:line="0" w:lineRule="atLeast"/>
        <w:rPr>
          <w:rFonts w:cs="Arial"/>
        </w:rPr>
      </w:pPr>
    </w:p>
    <w:p w14:paraId="18CDD7B2" w14:textId="77777777" w:rsidR="0086628E" w:rsidRDefault="00B1197A" w:rsidP="0086628E">
      <w:pPr>
        <w:keepNext/>
        <w:widowControl/>
        <w:snapToGrid/>
        <w:spacing w:line="0" w:lineRule="atLeast"/>
        <w:rPr>
          <w:sz w:val="20"/>
          <w:szCs w:val="20"/>
          <w:lang w:val="en-US"/>
        </w:rPr>
      </w:pPr>
      <w:r>
        <w:rPr>
          <w:rFonts w:cs="Arial"/>
        </w:rPr>
        <w:t>37.</w:t>
      </w:r>
      <w:r w:rsidR="0086628E">
        <w:rPr>
          <w:rFonts w:cs="Arial"/>
        </w:rPr>
        <w:tab/>
      </w:r>
      <w:r w:rsidR="0086628E">
        <w:rPr>
          <w:rFonts w:cs="Arial"/>
        </w:rPr>
        <w:tab/>
        <w:t xml:space="preserve">We agree with the Respondents that legislative means alone is not sufficient to prevent abuses and to protect children and vulnerable persons.  Indeed, joint efforts of all relevant authorities, carers and care institutions, stakeholders and the public are necessary to ensure that abuses are spotted and prevented.  Although the proposed offence is no panacea, it will send a clear </w:t>
      </w:r>
      <w:r w:rsidR="0086628E" w:rsidRPr="00ED5257">
        <w:rPr>
          <w:rFonts w:cs="Arial"/>
        </w:rPr>
        <w:t>and unequivocal message</w:t>
      </w:r>
      <w:r w:rsidR="0086628E">
        <w:rPr>
          <w:rFonts w:cs="Arial"/>
        </w:rPr>
        <w:t xml:space="preserve"> that there is zero tolerance </w:t>
      </w:r>
      <w:r w:rsidR="003D72AE">
        <w:rPr>
          <w:rFonts w:cs="Arial"/>
        </w:rPr>
        <w:t>f</w:t>
      </w:r>
      <w:r w:rsidR="0086628E">
        <w:rPr>
          <w:rFonts w:cs="Arial"/>
        </w:rPr>
        <w:t>o</w:t>
      </w:r>
      <w:r w:rsidR="003D72AE">
        <w:rPr>
          <w:rFonts w:cs="Arial"/>
        </w:rPr>
        <w:t>r</w:t>
      </w:r>
      <w:r w:rsidR="0086628E">
        <w:rPr>
          <w:rFonts w:cs="Arial"/>
        </w:rPr>
        <w:t xml:space="preserve"> abuses of children and vulnerable persons.  We hope that the publication of th</w:t>
      </w:r>
      <w:r w:rsidR="00057E40">
        <w:rPr>
          <w:rFonts w:cs="Arial"/>
        </w:rPr>
        <w:t>e</w:t>
      </w:r>
      <w:r w:rsidR="0086628E">
        <w:rPr>
          <w:rFonts w:cs="Arial"/>
        </w:rPr>
        <w:t xml:space="preserve"> Report will prompt society at large to realise that concerted efforts are needed to protect the most vulnerable, preferably by way of prevention or at least nipping abuses at the bud.  </w:t>
      </w:r>
    </w:p>
    <w:p w14:paraId="2BD8924B" w14:textId="77777777" w:rsidR="00B8789F" w:rsidRDefault="00B8789F" w:rsidP="00192FED">
      <w:pPr>
        <w:keepNext/>
        <w:widowControl/>
        <w:snapToGrid/>
        <w:spacing w:line="0" w:lineRule="atLeast"/>
        <w:rPr>
          <w:sz w:val="20"/>
          <w:szCs w:val="20"/>
          <w:lang w:val="en-US"/>
        </w:rPr>
      </w:pPr>
    </w:p>
    <w:p w14:paraId="2E711DCA" w14:textId="77777777" w:rsidR="00714690" w:rsidRDefault="00714690" w:rsidP="00192FED">
      <w:pPr>
        <w:keepNext/>
        <w:widowControl/>
        <w:snapToGrid/>
        <w:spacing w:line="0" w:lineRule="atLeast"/>
        <w:rPr>
          <w:sz w:val="20"/>
          <w:szCs w:val="20"/>
          <w:lang w:val="en-US"/>
        </w:rPr>
      </w:pPr>
    </w:p>
    <w:p w14:paraId="4490A05B" w14:textId="77777777" w:rsidR="00B8789F" w:rsidRDefault="00B8789F" w:rsidP="00192FED">
      <w:pPr>
        <w:keepNext/>
        <w:widowControl/>
        <w:snapToGrid/>
        <w:spacing w:line="0" w:lineRule="atLeast"/>
        <w:rPr>
          <w:sz w:val="20"/>
          <w:szCs w:val="20"/>
          <w:lang w:val="en-US"/>
        </w:rPr>
      </w:pPr>
    </w:p>
    <w:p w14:paraId="7B6491F4" w14:textId="77777777" w:rsidR="00B8789F" w:rsidRDefault="00B8789F" w:rsidP="00192FED">
      <w:pPr>
        <w:keepNext/>
        <w:widowControl/>
        <w:snapToGrid/>
        <w:spacing w:line="0" w:lineRule="atLeast"/>
        <w:rPr>
          <w:sz w:val="20"/>
          <w:szCs w:val="20"/>
          <w:lang w:val="en-US"/>
        </w:rPr>
      </w:pPr>
    </w:p>
    <w:sectPr w:rsidR="00B8789F" w:rsidSect="002C42FC">
      <w:footerReference w:type="even" r:id="rId9"/>
      <w:footerReference w:type="default" r:id="rId10"/>
      <w:footnotePr>
        <w:numRestart w:val="eachSect"/>
      </w:footnotePr>
      <w:type w:val="continuous"/>
      <w:pgSz w:w="11906" w:h="16838"/>
      <w:pgMar w:top="1440" w:right="1800" w:bottom="1440" w:left="1800" w:header="72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49C09" w14:textId="77777777" w:rsidR="00E34F5F" w:rsidRDefault="00E34F5F" w:rsidP="00BB567C">
      <w:r>
        <w:separator/>
      </w:r>
    </w:p>
  </w:endnote>
  <w:endnote w:type="continuationSeparator" w:id="0">
    <w:p w14:paraId="36A12B0E" w14:textId="77777777" w:rsidR="00E34F5F" w:rsidRDefault="00E34F5F" w:rsidP="00BB5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華康細明體">
    <w:altName w:val="微軟正黑體 Light"/>
    <w:charset w:val="88"/>
    <w:family w:val="modern"/>
    <w:pitch w:val="fixed"/>
    <w:sig w:usb0="A00002FF" w:usb1="3ACFFDFA" w:usb2="00000016" w:usb3="00000000" w:csb0="00160001"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5BE60" w14:textId="77777777" w:rsidR="00E34F5F" w:rsidRDefault="00E34F5F" w:rsidP="001A7C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D5293E" w14:textId="77777777" w:rsidR="00E34F5F" w:rsidRDefault="00E34F5F" w:rsidP="001A7C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B66BB" w14:textId="35E0F089" w:rsidR="00E34F5F" w:rsidRPr="007A7A47" w:rsidRDefault="00E34F5F" w:rsidP="001A7C8D">
    <w:pPr>
      <w:pStyle w:val="Footer"/>
      <w:jc w:val="center"/>
      <w:rPr>
        <w:sz w:val="22"/>
        <w:szCs w:val="22"/>
        <w:lang w:val="en-US"/>
      </w:rPr>
    </w:pPr>
    <w:r w:rsidRPr="007A7A47">
      <w:rPr>
        <w:sz w:val="22"/>
        <w:szCs w:val="22"/>
      </w:rPr>
      <w:fldChar w:fldCharType="begin"/>
    </w:r>
    <w:r w:rsidRPr="007A7A47">
      <w:rPr>
        <w:sz w:val="22"/>
        <w:szCs w:val="22"/>
      </w:rPr>
      <w:instrText xml:space="preserve"> PAGE   \* MERGEFORMAT </w:instrText>
    </w:r>
    <w:r w:rsidRPr="007A7A47">
      <w:rPr>
        <w:sz w:val="22"/>
        <w:szCs w:val="22"/>
      </w:rPr>
      <w:fldChar w:fldCharType="separate"/>
    </w:r>
    <w:r w:rsidR="00094699">
      <w:rPr>
        <w:noProof/>
        <w:sz w:val="22"/>
        <w:szCs w:val="22"/>
      </w:rPr>
      <w:t>9</w:t>
    </w:r>
    <w:r w:rsidRPr="007A7A47">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B677F" w14:textId="77777777" w:rsidR="00E34F5F" w:rsidRDefault="00E34F5F" w:rsidP="00BB567C">
      <w:r>
        <w:separator/>
      </w:r>
    </w:p>
  </w:footnote>
  <w:footnote w:type="continuationSeparator" w:id="0">
    <w:p w14:paraId="586EE3A5" w14:textId="77777777" w:rsidR="00E34F5F" w:rsidRDefault="00E34F5F" w:rsidP="00BB567C">
      <w:r>
        <w:continuationSeparator/>
      </w:r>
    </w:p>
  </w:footnote>
  <w:footnote w:id="1">
    <w:p w14:paraId="5D5A404E" w14:textId="77777777" w:rsidR="004D1779" w:rsidRPr="00BF1355" w:rsidRDefault="004D1779">
      <w:pPr>
        <w:pStyle w:val="FootnoteText"/>
        <w:rPr>
          <w:sz w:val="20"/>
          <w:szCs w:val="20"/>
        </w:rPr>
      </w:pPr>
      <w:r w:rsidRPr="00BF1355">
        <w:rPr>
          <w:rStyle w:val="FootnoteReference"/>
          <w:sz w:val="20"/>
          <w:szCs w:val="20"/>
        </w:rPr>
        <w:footnoteRef/>
      </w:r>
      <w:r w:rsidRPr="00BF1355">
        <w:rPr>
          <w:sz w:val="20"/>
          <w:szCs w:val="20"/>
        </w:rPr>
        <w:t xml:space="preserve"> </w:t>
      </w:r>
      <w:r w:rsidRPr="00BF1355">
        <w:rPr>
          <w:sz w:val="20"/>
          <w:szCs w:val="20"/>
        </w:rPr>
        <w:tab/>
        <w:t xml:space="preserve">These are social service </w:t>
      </w:r>
      <w:proofErr w:type="spellStart"/>
      <w:r w:rsidRPr="00BF1355">
        <w:rPr>
          <w:sz w:val="20"/>
          <w:szCs w:val="20"/>
        </w:rPr>
        <w:t>organisations</w:t>
      </w:r>
      <w:proofErr w:type="spellEnd"/>
      <w:r w:rsidRPr="00BF1355">
        <w:rPr>
          <w:sz w:val="20"/>
          <w:szCs w:val="20"/>
        </w:rPr>
        <w:t xml:space="preserve">; Government </w:t>
      </w:r>
      <w:proofErr w:type="spellStart"/>
      <w:r w:rsidRPr="00BF1355">
        <w:rPr>
          <w:sz w:val="20"/>
          <w:szCs w:val="20"/>
        </w:rPr>
        <w:t>bureaux</w:t>
      </w:r>
      <w:proofErr w:type="spellEnd"/>
      <w:r w:rsidRPr="00BF1355">
        <w:rPr>
          <w:sz w:val="20"/>
          <w:szCs w:val="20"/>
        </w:rPr>
        <w:t xml:space="preserve"> and departments, Government advisory bodies; tertiary institutions and educational bodies; legal professional bodies, lawyers and civic affairs bodies; medical </w:t>
      </w:r>
      <w:proofErr w:type="spellStart"/>
      <w:r w:rsidRPr="00BF1355">
        <w:rPr>
          <w:sz w:val="20"/>
          <w:szCs w:val="20"/>
        </w:rPr>
        <w:t>organisations</w:t>
      </w:r>
      <w:proofErr w:type="spellEnd"/>
      <w:r w:rsidRPr="00BF1355">
        <w:rPr>
          <w:sz w:val="20"/>
          <w:szCs w:val="20"/>
        </w:rPr>
        <w:t xml:space="preserve">; women’s groups; teachers’ and parents’ groups; elderly services </w:t>
      </w:r>
      <w:proofErr w:type="spellStart"/>
      <w:r w:rsidRPr="00BF1355">
        <w:rPr>
          <w:sz w:val="20"/>
          <w:szCs w:val="20"/>
        </w:rPr>
        <w:t>organisations</w:t>
      </w:r>
      <w:proofErr w:type="spellEnd"/>
      <w:r w:rsidRPr="00BF1355">
        <w:rPr>
          <w:sz w:val="20"/>
          <w:szCs w:val="20"/>
        </w:rPr>
        <w:t xml:space="preserve">; trade and business </w:t>
      </w:r>
      <w:proofErr w:type="spellStart"/>
      <w:r w:rsidRPr="00BF1355">
        <w:rPr>
          <w:sz w:val="20"/>
          <w:szCs w:val="20"/>
        </w:rPr>
        <w:t>organisations</w:t>
      </w:r>
      <w:proofErr w:type="spellEnd"/>
      <w:r w:rsidRPr="00BF1355">
        <w:rPr>
          <w:sz w:val="20"/>
          <w:szCs w:val="20"/>
        </w:rPr>
        <w:t xml:space="preserve">; political </w:t>
      </w:r>
      <w:proofErr w:type="spellStart"/>
      <w:r w:rsidRPr="00BF1355">
        <w:rPr>
          <w:sz w:val="20"/>
          <w:szCs w:val="20"/>
        </w:rPr>
        <w:t>organisation</w:t>
      </w:r>
      <w:proofErr w:type="spellEnd"/>
      <w:r w:rsidRPr="00BF1355">
        <w:rPr>
          <w:sz w:val="20"/>
          <w:szCs w:val="20"/>
        </w:rPr>
        <w:t xml:space="preserve">; consulate general and individuals.  </w:t>
      </w:r>
    </w:p>
  </w:footnote>
  <w:footnote w:id="2">
    <w:p w14:paraId="6A61E778" w14:textId="77777777" w:rsidR="00E517CD" w:rsidRPr="00BF1355" w:rsidRDefault="00E517CD" w:rsidP="00E517CD">
      <w:pPr>
        <w:pStyle w:val="FootnoteText"/>
        <w:rPr>
          <w:color w:val="000000"/>
          <w:sz w:val="20"/>
          <w:szCs w:val="20"/>
        </w:rPr>
      </w:pPr>
      <w:r w:rsidRPr="00BF1355">
        <w:rPr>
          <w:rStyle w:val="FootnoteReference"/>
          <w:sz w:val="20"/>
          <w:szCs w:val="20"/>
        </w:rPr>
        <w:footnoteRef/>
      </w:r>
      <w:r w:rsidRPr="00BF1355">
        <w:rPr>
          <w:sz w:val="20"/>
          <w:szCs w:val="20"/>
        </w:rPr>
        <w:t xml:space="preserve"> </w:t>
      </w:r>
      <w:r w:rsidRPr="00BF1355">
        <w:rPr>
          <w:sz w:val="20"/>
          <w:szCs w:val="20"/>
        </w:rPr>
        <w:tab/>
      </w:r>
      <w:r w:rsidRPr="00BF1355">
        <w:rPr>
          <w:color w:val="000000"/>
          <w:sz w:val="20"/>
          <w:szCs w:val="20"/>
        </w:rPr>
        <w:t>The proposed section 25A(1)(c) of the OAPO in the draft Bill (Annex 1 of the Report):</w:t>
      </w:r>
    </w:p>
    <w:p w14:paraId="48F9DF74" w14:textId="77777777" w:rsidR="00E517CD" w:rsidRPr="00BF1355" w:rsidRDefault="00E517CD" w:rsidP="00E517CD">
      <w:pPr>
        <w:pStyle w:val="FootnoteText"/>
        <w:tabs>
          <w:tab w:val="left" w:pos="1701"/>
          <w:tab w:val="left" w:pos="2127"/>
        </w:tabs>
        <w:spacing w:after="0"/>
        <w:ind w:left="709" w:firstLine="0"/>
        <w:rPr>
          <w:i/>
          <w:color w:val="000000"/>
          <w:sz w:val="20"/>
          <w:szCs w:val="20"/>
        </w:rPr>
      </w:pPr>
      <w:r w:rsidRPr="00BF1355">
        <w:rPr>
          <w:i/>
          <w:color w:val="000000"/>
          <w:sz w:val="20"/>
          <w:szCs w:val="20"/>
        </w:rPr>
        <w:t>“25A. (1)</w:t>
      </w:r>
      <w:r w:rsidRPr="00BF1355">
        <w:rPr>
          <w:i/>
          <w:color w:val="000000"/>
          <w:sz w:val="20"/>
          <w:szCs w:val="20"/>
        </w:rPr>
        <w:tab/>
        <w:t>A person (</w:t>
      </w:r>
      <w:r w:rsidRPr="00BF1355">
        <w:rPr>
          <w:b/>
          <w:i/>
          <w:color w:val="000000"/>
          <w:sz w:val="20"/>
          <w:szCs w:val="20"/>
        </w:rPr>
        <w:t>defendant</w:t>
      </w:r>
      <w:r w:rsidRPr="00BF1355">
        <w:rPr>
          <w:i/>
          <w:color w:val="000000"/>
          <w:sz w:val="20"/>
          <w:szCs w:val="20"/>
        </w:rPr>
        <w:t xml:space="preserve">) commits an offence if – </w:t>
      </w:r>
    </w:p>
    <w:p w14:paraId="34FE3E75" w14:textId="77777777" w:rsidR="00E517CD" w:rsidRPr="00BF1355" w:rsidRDefault="00E517CD" w:rsidP="00E517CD">
      <w:pPr>
        <w:pStyle w:val="FootnoteText"/>
        <w:tabs>
          <w:tab w:val="left" w:pos="1701"/>
        </w:tabs>
        <w:spacing w:after="0"/>
        <w:rPr>
          <w:i/>
          <w:color w:val="000000"/>
          <w:sz w:val="20"/>
          <w:szCs w:val="20"/>
        </w:rPr>
      </w:pPr>
      <w:r>
        <w:rPr>
          <w:i/>
          <w:color w:val="000000"/>
          <w:sz w:val="20"/>
          <w:szCs w:val="20"/>
        </w:rPr>
        <w:tab/>
      </w:r>
      <w:r w:rsidRPr="00BF1355">
        <w:rPr>
          <w:i/>
          <w:color w:val="000000"/>
          <w:sz w:val="20"/>
          <w:szCs w:val="20"/>
        </w:rPr>
        <w:t>…</w:t>
      </w:r>
    </w:p>
    <w:p w14:paraId="18AED5C3" w14:textId="77777777" w:rsidR="00E517CD" w:rsidRPr="00BF1355" w:rsidRDefault="00E517CD" w:rsidP="00E517CD">
      <w:pPr>
        <w:pStyle w:val="FootnoteText"/>
        <w:tabs>
          <w:tab w:val="left" w:pos="1701"/>
          <w:tab w:val="left" w:pos="2127"/>
        </w:tabs>
        <w:spacing w:after="20"/>
        <w:ind w:left="2126" w:hanging="1406"/>
        <w:rPr>
          <w:i/>
          <w:color w:val="000000"/>
          <w:sz w:val="20"/>
          <w:szCs w:val="20"/>
        </w:rPr>
      </w:pPr>
      <w:r w:rsidRPr="00BF1355">
        <w:rPr>
          <w:i/>
          <w:color w:val="000000"/>
          <w:sz w:val="20"/>
          <w:szCs w:val="20"/>
        </w:rPr>
        <w:tab/>
      </w:r>
      <w:r w:rsidRPr="00BF1355">
        <w:rPr>
          <w:i/>
          <w:color w:val="000000"/>
          <w:sz w:val="20"/>
          <w:szCs w:val="20"/>
        </w:rPr>
        <w:tab/>
        <w:t>(c)</w:t>
      </w:r>
      <w:r w:rsidRPr="00BF1355">
        <w:rPr>
          <w:i/>
          <w:color w:val="000000"/>
          <w:sz w:val="20"/>
          <w:szCs w:val="20"/>
        </w:rPr>
        <w:tab/>
      </w:r>
      <w:proofErr w:type="gramStart"/>
      <w:r w:rsidRPr="00BF1355">
        <w:rPr>
          <w:i/>
          <w:color w:val="000000"/>
          <w:sz w:val="20"/>
          <w:szCs w:val="20"/>
        </w:rPr>
        <w:t>the</w:t>
      </w:r>
      <w:proofErr w:type="gramEnd"/>
      <w:r w:rsidRPr="00BF1355">
        <w:rPr>
          <w:i/>
          <w:color w:val="000000"/>
          <w:sz w:val="20"/>
          <w:szCs w:val="20"/>
        </w:rPr>
        <w:t xml:space="preserve"> defendant knew, or had reasonable grounds to believe, that there was a risk that serious harm would be caused to the victim by the unlawful act or neglect;”.</w:t>
      </w:r>
    </w:p>
  </w:footnote>
  <w:footnote w:id="3">
    <w:p w14:paraId="064B69B8" w14:textId="77777777" w:rsidR="00440FFF" w:rsidRPr="00BF1355" w:rsidRDefault="00440FFF" w:rsidP="00440FFF">
      <w:pPr>
        <w:pStyle w:val="FootnoteText"/>
        <w:rPr>
          <w:color w:val="000000"/>
          <w:sz w:val="20"/>
          <w:szCs w:val="20"/>
        </w:rPr>
      </w:pPr>
      <w:r w:rsidRPr="00BF1355">
        <w:rPr>
          <w:color w:val="000000"/>
          <w:sz w:val="20"/>
          <w:szCs w:val="20"/>
          <w:vertAlign w:val="superscript"/>
        </w:rPr>
        <w:footnoteRef/>
      </w:r>
      <w:r w:rsidRPr="00BF1355">
        <w:rPr>
          <w:color w:val="000000"/>
          <w:sz w:val="20"/>
          <w:szCs w:val="20"/>
        </w:rPr>
        <w:t xml:space="preserve"> </w:t>
      </w:r>
      <w:r w:rsidRPr="00BF1355">
        <w:rPr>
          <w:color w:val="000000"/>
          <w:sz w:val="20"/>
          <w:szCs w:val="20"/>
        </w:rPr>
        <w:tab/>
      </w:r>
      <w:r w:rsidR="003029C1">
        <w:rPr>
          <w:color w:val="000000"/>
          <w:sz w:val="20"/>
          <w:szCs w:val="20"/>
        </w:rPr>
        <w:t>The p</w:t>
      </w:r>
      <w:r w:rsidRPr="00BF1355">
        <w:rPr>
          <w:color w:val="000000"/>
          <w:sz w:val="20"/>
          <w:szCs w:val="20"/>
        </w:rPr>
        <w:t>roposed section 25A(1)(a) and (6) of the OAPO in the draft Bill (Annex 1 of th</w:t>
      </w:r>
      <w:r w:rsidR="00AF7CBF" w:rsidRPr="00BF1355">
        <w:rPr>
          <w:color w:val="000000"/>
          <w:sz w:val="20"/>
          <w:szCs w:val="20"/>
        </w:rPr>
        <w:t>e</w:t>
      </w:r>
      <w:r w:rsidRPr="00BF1355">
        <w:rPr>
          <w:color w:val="000000"/>
          <w:sz w:val="20"/>
          <w:szCs w:val="20"/>
        </w:rPr>
        <w:t xml:space="preserve"> Report):</w:t>
      </w:r>
    </w:p>
    <w:p w14:paraId="16235D16" w14:textId="77777777" w:rsidR="00440FFF" w:rsidRPr="00BF1355" w:rsidRDefault="00440FFF" w:rsidP="00440FFF">
      <w:pPr>
        <w:pStyle w:val="FootnoteText"/>
        <w:tabs>
          <w:tab w:val="left" w:pos="1134"/>
          <w:tab w:val="left" w:pos="1701"/>
          <w:tab w:val="left" w:pos="2127"/>
          <w:tab w:val="left" w:pos="2552"/>
        </w:tabs>
        <w:ind w:hanging="11"/>
        <w:rPr>
          <w:i/>
          <w:color w:val="000000"/>
          <w:sz w:val="20"/>
          <w:szCs w:val="20"/>
        </w:rPr>
      </w:pPr>
      <w:r w:rsidRPr="00BF1355">
        <w:rPr>
          <w:i/>
          <w:color w:val="000000"/>
          <w:sz w:val="20"/>
          <w:szCs w:val="20"/>
        </w:rPr>
        <w:t>“25A. (1)</w:t>
      </w:r>
      <w:r w:rsidRPr="00BF1355">
        <w:rPr>
          <w:i/>
          <w:color w:val="000000"/>
          <w:sz w:val="20"/>
          <w:szCs w:val="20"/>
        </w:rPr>
        <w:tab/>
        <w:t>A person (</w:t>
      </w:r>
      <w:r w:rsidRPr="00BF1355">
        <w:rPr>
          <w:b/>
          <w:i/>
          <w:color w:val="000000"/>
          <w:sz w:val="20"/>
          <w:szCs w:val="20"/>
        </w:rPr>
        <w:t>defendant</w:t>
      </w:r>
      <w:r w:rsidRPr="00BF1355">
        <w:rPr>
          <w:i/>
          <w:color w:val="000000"/>
          <w:sz w:val="20"/>
          <w:szCs w:val="20"/>
        </w:rPr>
        <w:t>) commits an offence if —</w:t>
      </w:r>
    </w:p>
    <w:p w14:paraId="65B6D308" w14:textId="77777777" w:rsidR="00440FFF" w:rsidRPr="00BF1355" w:rsidRDefault="00440FFF" w:rsidP="00440FFF">
      <w:pPr>
        <w:pStyle w:val="FootnoteText"/>
        <w:numPr>
          <w:ilvl w:val="0"/>
          <w:numId w:val="31"/>
        </w:numPr>
        <w:tabs>
          <w:tab w:val="clear" w:pos="1440"/>
          <w:tab w:val="left" w:pos="1418"/>
          <w:tab w:val="left" w:pos="1701"/>
          <w:tab w:val="left" w:pos="2127"/>
          <w:tab w:val="left" w:pos="2552"/>
        </w:tabs>
        <w:overflowPunct/>
        <w:autoSpaceDE/>
        <w:autoSpaceDN/>
        <w:adjustRightInd/>
        <w:spacing w:after="0" w:line="240" w:lineRule="auto"/>
        <w:ind w:left="2127" w:hanging="426"/>
        <w:textAlignment w:val="auto"/>
        <w:rPr>
          <w:i/>
          <w:color w:val="000000"/>
          <w:sz w:val="20"/>
          <w:szCs w:val="20"/>
        </w:rPr>
      </w:pPr>
      <w:r w:rsidRPr="00BF1355">
        <w:rPr>
          <w:i/>
          <w:color w:val="000000"/>
          <w:sz w:val="20"/>
          <w:szCs w:val="20"/>
        </w:rPr>
        <w:t>a child or vulnerable person (</w:t>
      </w:r>
      <w:r w:rsidRPr="00BF1355">
        <w:rPr>
          <w:b/>
          <w:i/>
          <w:color w:val="000000"/>
          <w:sz w:val="20"/>
          <w:szCs w:val="20"/>
        </w:rPr>
        <w:t>victim</w:t>
      </w:r>
      <w:r w:rsidRPr="00BF1355">
        <w:rPr>
          <w:i/>
          <w:color w:val="000000"/>
          <w:sz w:val="20"/>
          <w:szCs w:val="20"/>
        </w:rPr>
        <w:t>) dies or suffers serious harm, as a result of an unlawful act or neglect;</w:t>
      </w:r>
    </w:p>
    <w:p w14:paraId="31CAC308" w14:textId="77777777" w:rsidR="00440FFF" w:rsidRPr="00BF1355" w:rsidRDefault="00EA182F" w:rsidP="00EA182F">
      <w:pPr>
        <w:pStyle w:val="FootnoteText"/>
        <w:tabs>
          <w:tab w:val="left" w:pos="1701"/>
          <w:tab w:val="left" w:pos="2127"/>
          <w:tab w:val="left" w:pos="2552"/>
        </w:tabs>
        <w:spacing w:after="0"/>
        <w:rPr>
          <w:i/>
          <w:color w:val="000000"/>
          <w:sz w:val="20"/>
          <w:szCs w:val="20"/>
        </w:rPr>
      </w:pPr>
      <w:r>
        <w:rPr>
          <w:i/>
          <w:color w:val="000000"/>
          <w:sz w:val="20"/>
          <w:szCs w:val="20"/>
        </w:rPr>
        <w:tab/>
      </w:r>
      <w:r w:rsidR="00440FFF" w:rsidRPr="00BF1355">
        <w:rPr>
          <w:i/>
          <w:color w:val="000000"/>
          <w:sz w:val="20"/>
          <w:szCs w:val="20"/>
        </w:rPr>
        <w:t>…</w:t>
      </w:r>
    </w:p>
    <w:p w14:paraId="4AA8DDAD" w14:textId="77777777" w:rsidR="00440FFF" w:rsidRPr="00BF1355" w:rsidRDefault="00440FFF" w:rsidP="00440FFF">
      <w:pPr>
        <w:pStyle w:val="FootnoteText"/>
        <w:tabs>
          <w:tab w:val="left" w:pos="1701"/>
          <w:tab w:val="left" w:pos="2127"/>
          <w:tab w:val="left" w:pos="2552"/>
        </w:tabs>
        <w:ind w:left="1134" w:firstLine="0"/>
        <w:rPr>
          <w:i/>
          <w:color w:val="000000"/>
          <w:sz w:val="20"/>
          <w:szCs w:val="20"/>
        </w:rPr>
      </w:pPr>
      <w:r w:rsidRPr="00BF1355">
        <w:rPr>
          <w:bCs/>
          <w:i/>
          <w:iCs/>
          <w:color w:val="000000"/>
          <w:sz w:val="20"/>
          <w:szCs w:val="20"/>
        </w:rPr>
        <w:t xml:space="preserve"> (6)</w:t>
      </w:r>
      <w:r w:rsidRPr="00BF1355">
        <w:rPr>
          <w:bCs/>
          <w:i/>
          <w:iCs/>
          <w:color w:val="000000"/>
          <w:sz w:val="20"/>
          <w:szCs w:val="20"/>
        </w:rPr>
        <w:tab/>
        <w:t xml:space="preserve">In this section </w:t>
      </w:r>
      <w:r w:rsidRPr="00BF1355">
        <w:rPr>
          <w:i/>
          <w:color w:val="000000"/>
          <w:sz w:val="20"/>
          <w:szCs w:val="20"/>
        </w:rPr>
        <w:t>—</w:t>
      </w:r>
    </w:p>
    <w:p w14:paraId="4B4D1289" w14:textId="77777777" w:rsidR="00440FFF" w:rsidRPr="00BF1355" w:rsidRDefault="00EA182F" w:rsidP="00EA182F">
      <w:pPr>
        <w:pStyle w:val="FootnoteText"/>
        <w:tabs>
          <w:tab w:val="left" w:pos="1843"/>
          <w:tab w:val="left" w:pos="2127"/>
          <w:tab w:val="left" w:pos="2552"/>
        </w:tabs>
        <w:spacing w:after="0"/>
        <w:rPr>
          <w:b/>
          <w:bCs/>
          <w:i/>
          <w:iCs/>
          <w:color w:val="000000"/>
          <w:sz w:val="20"/>
          <w:szCs w:val="20"/>
        </w:rPr>
      </w:pPr>
      <w:r>
        <w:rPr>
          <w:i/>
          <w:color w:val="000000"/>
          <w:sz w:val="20"/>
          <w:szCs w:val="20"/>
        </w:rPr>
        <w:tab/>
      </w:r>
      <w:r w:rsidR="00440FFF" w:rsidRPr="00BF1355">
        <w:rPr>
          <w:i/>
          <w:color w:val="000000"/>
          <w:sz w:val="20"/>
          <w:szCs w:val="20"/>
        </w:rPr>
        <w:t>…</w:t>
      </w:r>
      <w:r w:rsidR="00440FFF" w:rsidRPr="00BF1355">
        <w:rPr>
          <w:b/>
          <w:bCs/>
          <w:i/>
          <w:iCs/>
          <w:color w:val="000000"/>
          <w:sz w:val="20"/>
          <w:szCs w:val="20"/>
        </w:rPr>
        <w:t xml:space="preserve"> </w:t>
      </w:r>
    </w:p>
    <w:p w14:paraId="66CCDFB1" w14:textId="77777777" w:rsidR="00440FFF" w:rsidRPr="00BF1355" w:rsidRDefault="00440FFF" w:rsidP="005332B5">
      <w:pPr>
        <w:pStyle w:val="FootnoteText"/>
        <w:tabs>
          <w:tab w:val="clear" w:pos="1440"/>
          <w:tab w:val="left" w:pos="1701"/>
          <w:tab w:val="left" w:pos="1843"/>
          <w:tab w:val="left" w:pos="2552"/>
        </w:tabs>
        <w:ind w:left="1134" w:firstLine="0"/>
        <w:rPr>
          <w:bCs/>
          <w:i/>
          <w:iCs/>
          <w:color w:val="000000"/>
          <w:sz w:val="20"/>
          <w:szCs w:val="20"/>
        </w:rPr>
      </w:pPr>
      <w:r w:rsidRPr="00BF1355">
        <w:rPr>
          <w:b/>
          <w:bCs/>
          <w:i/>
          <w:iCs/>
          <w:color w:val="000000"/>
          <w:sz w:val="20"/>
          <w:szCs w:val="20"/>
        </w:rPr>
        <w:tab/>
      </w:r>
      <w:r w:rsidR="00EA182F">
        <w:rPr>
          <w:b/>
          <w:bCs/>
          <w:i/>
          <w:iCs/>
          <w:color w:val="000000"/>
          <w:sz w:val="20"/>
          <w:szCs w:val="20"/>
        </w:rPr>
        <w:tab/>
      </w:r>
      <w:r w:rsidRPr="00BF1355">
        <w:rPr>
          <w:b/>
          <w:bCs/>
          <w:i/>
          <w:iCs/>
          <w:color w:val="000000"/>
          <w:sz w:val="20"/>
          <w:szCs w:val="20"/>
        </w:rPr>
        <w:t xml:space="preserve">child </w:t>
      </w:r>
      <w:r w:rsidRPr="00BF1355">
        <w:rPr>
          <w:bCs/>
          <w:i/>
          <w:iCs/>
          <w:color w:val="000000"/>
          <w:sz w:val="20"/>
          <w:szCs w:val="20"/>
        </w:rPr>
        <w:t>means a person under 16 years of age;</w:t>
      </w:r>
    </w:p>
    <w:p w14:paraId="5CAE85E8" w14:textId="77777777" w:rsidR="00440FFF" w:rsidRPr="00BF1355" w:rsidRDefault="00EE0B51" w:rsidP="005332B5">
      <w:pPr>
        <w:pStyle w:val="FootnoteText"/>
        <w:tabs>
          <w:tab w:val="left" w:pos="1701"/>
          <w:tab w:val="left" w:pos="1843"/>
          <w:tab w:val="left" w:pos="2127"/>
          <w:tab w:val="left" w:pos="2552"/>
        </w:tabs>
        <w:spacing w:after="0"/>
        <w:ind w:left="709" w:hanging="709"/>
        <w:rPr>
          <w:b/>
          <w:bCs/>
          <w:i/>
          <w:iCs/>
          <w:color w:val="000000"/>
          <w:sz w:val="20"/>
          <w:szCs w:val="20"/>
        </w:rPr>
      </w:pPr>
      <w:r>
        <w:rPr>
          <w:i/>
          <w:color w:val="000000"/>
          <w:sz w:val="20"/>
          <w:szCs w:val="20"/>
        </w:rPr>
        <w:tab/>
      </w:r>
      <w:r w:rsidR="00440FFF" w:rsidRPr="00BF1355">
        <w:rPr>
          <w:i/>
          <w:color w:val="000000"/>
          <w:sz w:val="20"/>
          <w:szCs w:val="20"/>
        </w:rPr>
        <w:t>…</w:t>
      </w:r>
    </w:p>
    <w:p w14:paraId="2E53F1BF" w14:textId="77777777" w:rsidR="00440FFF" w:rsidRPr="00BF1355" w:rsidRDefault="00440FFF" w:rsidP="005332B5">
      <w:pPr>
        <w:pStyle w:val="FootnoteText"/>
        <w:tabs>
          <w:tab w:val="clear" w:pos="1440"/>
          <w:tab w:val="left" w:pos="1843"/>
          <w:tab w:val="left" w:pos="2552"/>
        </w:tabs>
        <w:spacing w:after="120"/>
        <w:ind w:left="1843" w:firstLine="0"/>
        <w:rPr>
          <w:i/>
          <w:color w:val="000000"/>
          <w:sz w:val="20"/>
          <w:szCs w:val="20"/>
        </w:rPr>
      </w:pPr>
      <w:proofErr w:type="gramStart"/>
      <w:r w:rsidRPr="00BF1355">
        <w:rPr>
          <w:b/>
          <w:bCs/>
          <w:i/>
          <w:iCs/>
          <w:color w:val="000000"/>
          <w:sz w:val="20"/>
          <w:szCs w:val="20"/>
        </w:rPr>
        <w:t>vulnerable</w:t>
      </w:r>
      <w:proofErr w:type="gramEnd"/>
      <w:r w:rsidRPr="00BF1355">
        <w:rPr>
          <w:b/>
          <w:bCs/>
          <w:i/>
          <w:iCs/>
          <w:color w:val="000000"/>
          <w:sz w:val="20"/>
          <w:szCs w:val="20"/>
        </w:rPr>
        <w:t xml:space="preserve"> person</w:t>
      </w:r>
      <w:r w:rsidRPr="00BF1355">
        <w:rPr>
          <w:i/>
          <w:color w:val="000000"/>
          <w:sz w:val="20"/>
          <w:szCs w:val="20"/>
        </w:rPr>
        <w:t xml:space="preserve"> means a person aged 16 years or above whose ability to protect himself or herself from an unlawful act or neglect is significantly impaired for any reason, including but not limited to, age, physical or mental disability, illness or infirmity.”.</w:t>
      </w:r>
    </w:p>
  </w:footnote>
  <w:footnote w:id="4">
    <w:p w14:paraId="656DE568" w14:textId="4DD52471" w:rsidR="00510288" w:rsidRPr="00BF1355" w:rsidRDefault="00510288" w:rsidP="00510288">
      <w:pPr>
        <w:pStyle w:val="FootnoteText"/>
        <w:rPr>
          <w:color w:val="000000"/>
          <w:sz w:val="20"/>
          <w:szCs w:val="20"/>
        </w:rPr>
      </w:pPr>
      <w:r w:rsidRPr="00BF1355">
        <w:rPr>
          <w:color w:val="000000"/>
          <w:sz w:val="20"/>
          <w:szCs w:val="20"/>
          <w:vertAlign w:val="superscript"/>
        </w:rPr>
        <w:footnoteRef/>
      </w:r>
      <w:r w:rsidRPr="00BF1355">
        <w:rPr>
          <w:color w:val="000000"/>
          <w:sz w:val="20"/>
          <w:szCs w:val="20"/>
        </w:rPr>
        <w:t xml:space="preserve"> </w:t>
      </w:r>
      <w:r w:rsidRPr="00BF1355">
        <w:rPr>
          <w:color w:val="000000"/>
          <w:sz w:val="20"/>
          <w:szCs w:val="20"/>
        </w:rPr>
        <w:tab/>
        <w:t>The proposed section 25A(1)(a) of the OAPO in the draft Bill (Annex 1 of th</w:t>
      </w:r>
      <w:r w:rsidR="007F2B93" w:rsidRPr="00BF1355">
        <w:rPr>
          <w:color w:val="000000"/>
          <w:sz w:val="20"/>
          <w:szCs w:val="20"/>
        </w:rPr>
        <w:t>e</w:t>
      </w:r>
      <w:r w:rsidRPr="00BF1355">
        <w:rPr>
          <w:color w:val="000000"/>
          <w:sz w:val="20"/>
          <w:szCs w:val="20"/>
        </w:rPr>
        <w:t xml:space="preserve"> Report):</w:t>
      </w:r>
    </w:p>
    <w:p w14:paraId="4406A963" w14:textId="77777777" w:rsidR="00510288" w:rsidRPr="00BF1355" w:rsidRDefault="00510288" w:rsidP="00510288">
      <w:pPr>
        <w:pStyle w:val="FootnoteText"/>
        <w:tabs>
          <w:tab w:val="left" w:pos="1134"/>
          <w:tab w:val="left" w:pos="1701"/>
          <w:tab w:val="left" w:pos="2127"/>
        </w:tabs>
        <w:ind w:hanging="11"/>
        <w:rPr>
          <w:i/>
          <w:color w:val="000000"/>
          <w:sz w:val="20"/>
          <w:szCs w:val="20"/>
        </w:rPr>
      </w:pPr>
      <w:r w:rsidRPr="00BF1355">
        <w:rPr>
          <w:color w:val="000000"/>
          <w:sz w:val="20"/>
          <w:szCs w:val="20"/>
        </w:rPr>
        <w:t>“</w:t>
      </w:r>
      <w:r w:rsidRPr="00BF1355">
        <w:rPr>
          <w:i/>
          <w:color w:val="000000"/>
          <w:sz w:val="20"/>
          <w:szCs w:val="20"/>
        </w:rPr>
        <w:t>25A.(1)</w:t>
      </w:r>
      <w:r w:rsidRPr="00BF1355">
        <w:rPr>
          <w:i/>
          <w:color w:val="000000"/>
          <w:sz w:val="20"/>
          <w:szCs w:val="20"/>
        </w:rPr>
        <w:tab/>
      </w:r>
      <w:r w:rsidR="009E0010" w:rsidRPr="00BF1355">
        <w:rPr>
          <w:i/>
          <w:color w:val="000000"/>
          <w:sz w:val="20"/>
          <w:szCs w:val="20"/>
        </w:rPr>
        <w:tab/>
      </w:r>
      <w:r w:rsidRPr="00BF1355">
        <w:rPr>
          <w:i/>
          <w:color w:val="000000"/>
          <w:sz w:val="20"/>
          <w:szCs w:val="20"/>
        </w:rPr>
        <w:t>A person (</w:t>
      </w:r>
      <w:r w:rsidRPr="00BF1355">
        <w:rPr>
          <w:b/>
          <w:i/>
          <w:color w:val="000000"/>
          <w:sz w:val="20"/>
          <w:szCs w:val="20"/>
        </w:rPr>
        <w:t>defendant</w:t>
      </w:r>
      <w:r w:rsidRPr="00BF1355">
        <w:rPr>
          <w:i/>
          <w:color w:val="000000"/>
          <w:sz w:val="20"/>
          <w:szCs w:val="20"/>
        </w:rPr>
        <w:t>) commits an offence if—</w:t>
      </w:r>
    </w:p>
    <w:p w14:paraId="4E9D164D" w14:textId="77777777" w:rsidR="00510288" w:rsidRPr="00BF1355" w:rsidRDefault="00510288" w:rsidP="00510288">
      <w:pPr>
        <w:pStyle w:val="FootnoteText"/>
        <w:tabs>
          <w:tab w:val="left" w:pos="2127"/>
        </w:tabs>
        <w:spacing w:after="120"/>
        <w:ind w:left="2127" w:hanging="426"/>
        <w:rPr>
          <w:i/>
          <w:color w:val="000000"/>
          <w:sz w:val="20"/>
          <w:szCs w:val="20"/>
        </w:rPr>
      </w:pPr>
      <w:r w:rsidRPr="00BF1355">
        <w:rPr>
          <w:i/>
          <w:color w:val="000000"/>
          <w:sz w:val="20"/>
          <w:szCs w:val="20"/>
        </w:rPr>
        <w:t>(</w:t>
      </w:r>
      <w:proofErr w:type="gramStart"/>
      <w:r w:rsidRPr="00BF1355">
        <w:rPr>
          <w:i/>
          <w:color w:val="000000"/>
          <w:sz w:val="20"/>
          <w:szCs w:val="20"/>
        </w:rPr>
        <w:t>a</w:t>
      </w:r>
      <w:proofErr w:type="gramEnd"/>
      <w:r w:rsidRPr="00BF1355">
        <w:rPr>
          <w:i/>
          <w:color w:val="000000"/>
          <w:sz w:val="20"/>
          <w:szCs w:val="20"/>
        </w:rPr>
        <w:t>)</w:t>
      </w:r>
      <w:r w:rsidRPr="00BF1355">
        <w:rPr>
          <w:i/>
          <w:color w:val="000000"/>
          <w:sz w:val="20"/>
          <w:szCs w:val="20"/>
        </w:rPr>
        <w:tab/>
        <w:t>a child or vulnerable person (</w:t>
      </w:r>
      <w:r w:rsidRPr="00BF1355">
        <w:rPr>
          <w:b/>
          <w:i/>
          <w:color w:val="000000"/>
          <w:sz w:val="20"/>
          <w:szCs w:val="20"/>
        </w:rPr>
        <w:t>victim</w:t>
      </w:r>
      <w:r w:rsidRPr="00BF1355">
        <w:rPr>
          <w:i/>
          <w:color w:val="000000"/>
          <w:sz w:val="20"/>
          <w:szCs w:val="20"/>
        </w:rPr>
        <w:t>) dies or suffers serious harm, as a result of an unlawful act or neglect;”.</w:t>
      </w:r>
    </w:p>
  </w:footnote>
  <w:footnote w:id="5">
    <w:p w14:paraId="7B6D71EB" w14:textId="77777777" w:rsidR="00946462" w:rsidRPr="00BF1355" w:rsidRDefault="00946462" w:rsidP="00946462">
      <w:pPr>
        <w:pStyle w:val="FootnoteText"/>
        <w:rPr>
          <w:i/>
          <w:color w:val="000000"/>
          <w:sz w:val="20"/>
          <w:szCs w:val="20"/>
        </w:rPr>
      </w:pPr>
      <w:r w:rsidRPr="00BF1355">
        <w:rPr>
          <w:color w:val="000000"/>
          <w:sz w:val="20"/>
          <w:szCs w:val="20"/>
          <w:vertAlign w:val="superscript"/>
        </w:rPr>
        <w:footnoteRef/>
      </w:r>
      <w:r w:rsidRPr="00BF1355">
        <w:rPr>
          <w:color w:val="000000"/>
          <w:sz w:val="20"/>
          <w:szCs w:val="20"/>
        </w:rPr>
        <w:t xml:space="preserve"> </w:t>
      </w:r>
      <w:r w:rsidRPr="00BF1355">
        <w:rPr>
          <w:sz w:val="20"/>
          <w:szCs w:val="20"/>
        </w:rPr>
        <w:tab/>
        <w:t xml:space="preserve">The proposed </w:t>
      </w:r>
      <w:r w:rsidRPr="00BF1355">
        <w:rPr>
          <w:color w:val="000000"/>
          <w:sz w:val="20"/>
          <w:szCs w:val="20"/>
        </w:rPr>
        <w:t>section 25A(6) of the OAPO in the draft Bill (Annex 1 of the Report):</w:t>
      </w:r>
    </w:p>
    <w:p w14:paraId="30B83E6E" w14:textId="77777777" w:rsidR="00946462" w:rsidRPr="00BF1355" w:rsidRDefault="00946462" w:rsidP="00946462">
      <w:pPr>
        <w:pStyle w:val="FootnoteText"/>
        <w:tabs>
          <w:tab w:val="left" w:pos="993"/>
          <w:tab w:val="left" w:pos="1276"/>
        </w:tabs>
        <w:ind w:firstLine="0"/>
        <w:rPr>
          <w:i/>
          <w:color w:val="000000"/>
          <w:sz w:val="20"/>
          <w:szCs w:val="20"/>
        </w:rPr>
      </w:pPr>
      <w:r w:rsidRPr="00BF1355">
        <w:rPr>
          <w:i/>
          <w:color w:val="000000"/>
          <w:sz w:val="20"/>
          <w:szCs w:val="20"/>
        </w:rPr>
        <w:t>“(6)</w:t>
      </w:r>
      <w:r w:rsidRPr="00BF1355">
        <w:rPr>
          <w:i/>
          <w:color w:val="000000"/>
          <w:sz w:val="20"/>
          <w:szCs w:val="20"/>
        </w:rPr>
        <w:tab/>
        <w:t xml:space="preserve">In this section – </w:t>
      </w:r>
    </w:p>
    <w:p w14:paraId="273FD7C1" w14:textId="77777777" w:rsidR="00946462" w:rsidRPr="00BF1355" w:rsidRDefault="00946462" w:rsidP="00946462">
      <w:pPr>
        <w:pStyle w:val="FootnoteText"/>
        <w:ind w:left="1418" w:firstLine="0"/>
        <w:rPr>
          <w:i/>
          <w:color w:val="000000"/>
          <w:sz w:val="20"/>
          <w:szCs w:val="20"/>
        </w:rPr>
      </w:pPr>
      <w:proofErr w:type="gramStart"/>
      <w:r w:rsidRPr="00BF1355">
        <w:rPr>
          <w:b/>
          <w:i/>
          <w:color w:val="000000"/>
          <w:sz w:val="20"/>
          <w:szCs w:val="20"/>
        </w:rPr>
        <w:t>harm</w:t>
      </w:r>
      <w:proofErr w:type="gramEnd"/>
      <w:r w:rsidRPr="00BF1355">
        <w:rPr>
          <w:i/>
          <w:color w:val="000000"/>
          <w:sz w:val="20"/>
          <w:szCs w:val="20"/>
        </w:rPr>
        <w:t xml:space="preserve"> includes psychological or psychiatric harm;”.</w:t>
      </w:r>
    </w:p>
  </w:footnote>
  <w:footnote w:id="6">
    <w:p w14:paraId="5744E021" w14:textId="77777777" w:rsidR="00717BA3" w:rsidRPr="00BF1355" w:rsidRDefault="00717BA3" w:rsidP="00E367A2">
      <w:pPr>
        <w:pStyle w:val="FootnoteText"/>
        <w:spacing w:after="0"/>
        <w:ind w:left="709" w:hanging="709"/>
        <w:rPr>
          <w:sz w:val="20"/>
          <w:szCs w:val="20"/>
        </w:rPr>
      </w:pPr>
      <w:r w:rsidRPr="00BF1355">
        <w:rPr>
          <w:rStyle w:val="FootnoteReference"/>
          <w:sz w:val="20"/>
          <w:szCs w:val="20"/>
        </w:rPr>
        <w:footnoteRef/>
      </w:r>
      <w:r w:rsidRPr="00BF1355">
        <w:rPr>
          <w:sz w:val="20"/>
          <w:szCs w:val="20"/>
        </w:rPr>
        <w:t xml:space="preserve"> </w:t>
      </w:r>
      <w:r w:rsidRPr="00BF1355">
        <w:rPr>
          <w:sz w:val="20"/>
          <w:szCs w:val="20"/>
        </w:rPr>
        <w:tab/>
        <w:t xml:space="preserve">The proposed section </w:t>
      </w:r>
      <w:proofErr w:type="gramStart"/>
      <w:r w:rsidRPr="00BF1355">
        <w:rPr>
          <w:sz w:val="20"/>
          <w:szCs w:val="20"/>
        </w:rPr>
        <w:t>25A(</w:t>
      </w:r>
      <w:proofErr w:type="gramEnd"/>
      <w:r w:rsidRPr="00BF1355">
        <w:rPr>
          <w:sz w:val="20"/>
          <w:szCs w:val="20"/>
        </w:rPr>
        <w:t>2) of the OAPO in the draft Bill (Annex 1 of th</w:t>
      </w:r>
      <w:r w:rsidR="00E16770" w:rsidRPr="00BF1355">
        <w:rPr>
          <w:sz w:val="20"/>
          <w:szCs w:val="20"/>
        </w:rPr>
        <w:t>e</w:t>
      </w:r>
      <w:r w:rsidRPr="00BF1355">
        <w:rPr>
          <w:sz w:val="20"/>
          <w:szCs w:val="20"/>
        </w:rPr>
        <w:t xml:space="preserve"> Report).</w:t>
      </w:r>
    </w:p>
  </w:footnote>
  <w:footnote w:id="7">
    <w:p w14:paraId="085723BD" w14:textId="77777777" w:rsidR="008731AE" w:rsidRPr="00BF1355" w:rsidRDefault="008731AE" w:rsidP="008731AE">
      <w:pPr>
        <w:pStyle w:val="FootnoteText"/>
        <w:ind w:left="709" w:hanging="709"/>
        <w:rPr>
          <w:color w:val="000000"/>
          <w:sz w:val="20"/>
          <w:szCs w:val="20"/>
        </w:rPr>
      </w:pPr>
      <w:r w:rsidRPr="00BF1355">
        <w:rPr>
          <w:color w:val="000000"/>
          <w:sz w:val="20"/>
          <w:szCs w:val="20"/>
          <w:vertAlign w:val="superscript"/>
        </w:rPr>
        <w:footnoteRef/>
      </w:r>
      <w:r w:rsidRPr="00BF1355">
        <w:rPr>
          <w:color w:val="000000"/>
          <w:sz w:val="20"/>
          <w:szCs w:val="20"/>
        </w:rPr>
        <w:t xml:space="preserve"> </w:t>
      </w:r>
      <w:r w:rsidRPr="00BF1355">
        <w:rPr>
          <w:color w:val="000000"/>
          <w:sz w:val="20"/>
          <w:szCs w:val="20"/>
        </w:rPr>
        <w:tab/>
        <w:t>The proposed section 25A(1)(b) of the OAPO in the draft Bill (Annex 1 of th</w:t>
      </w:r>
      <w:r w:rsidR="00A9461B" w:rsidRPr="00BF1355">
        <w:rPr>
          <w:color w:val="000000"/>
          <w:sz w:val="20"/>
          <w:szCs w:val="20"/>
        </w:rPr>
        <w:t>e</w:t>
      </w:r>
      <w:r w:rsidRPr="00BF1355">
        <w:rPr>
          <w:color w:val="000000"/>
          <w:sz w:val="20"/>
          <w:szCs w:val="20"/>
        </w:rPr>
        <w:t xml:space="preserve"> Report):</w:t>
      </w:r>
    </w:p>
    <w:p w14:paraId="1202C3A8" w14:textId="77777777" w:rsidR="008731AE" w:rsidRPr="00BF1355" w:rsidRDefault="008731AE" w:rsidP="008731AE">
      <w:pPr>
        <w:pStyle w:val="FootnoteText"/>
        <w:tabs>
          <w:tab w:val="left" w:pos="1701"/>
          <w:tab w:val="left" w:pos="2127"/>
          <w:tab w:val="left" w:pos="2552"/>
        </w:tabs>
        <w:ind w:left="1134" w:hanging="425"/>
        <w:rPr>
          <w:i/>
          <w:color w:val="000000"/>
          <w:sz w:val="20"/>
          <w:szCs w:val="20"/>
        </w:rPr>
      </w:pPr>
      <w:r w:rsidRPr="00BF1355">
        <w:rPr>
          <w:i/>
          <w:color w:val="000000"/>
          <w:sz w:val="20"/>
          <w:szCs w:val="20"/>
        </w:rPr>
        <w:t>“25A. (1)</w:t>
      </w:r>
      <w:r w:rsidRPr="00BF1355">
        <w:rPr>
          <w:i/>
          <w:color w:val="000000"/>
          <w:sz w:val="20"/>
          <w:szCs w:val="20"/>
        </w:rPr>
        <w:tab/>
        <w:t>A person (</w:t>
      </w:r>
      <w:r w:rsidRPr="00BF1355">
        <w:rPr>
          <w:b/>
          <w:bCs/>
          <w:i/>
          <w:iCs/>
          <w:color w:val="000000"/>
          <w:sz w:val="20"/>
          <w:szCs w:val="20"/>
        </w:rPr>
        <w:t>defendant</w:t>
      </w:r>
      <w:r w:rsidRPr="00BF1355">
        <w:rPr>
          <w:i/>
          <w:color w:val="000000"/>
          <w:sz w:val="20"/>
          <w:szCs w:val="20"/>
        </w:rPr>
        <w:t>) commits an offence if—</w:t>
      </w:r>
    </w:p>
    <w:p w14:paraId="0F18CE23" w14:textId="77777777" w:rsidR="008731AE" w:rsidRPr="00BF1355" w:rsidRDefault="008731AE" w:rsidP="008731AE">
      <w:pPr>
        <w:pStyle w:val="FootnoteText"/>
        <w:ind w:left="1134" w:hanging="425"/>
        <w:rPr>
          <w:i/>
          <w:color w:val="000000"/>
          <w:sz w:val="20"/>
          <w:szCs w:val="20"/>
        </w:rPr>
      </w:pPr>
      <w:r w:rsidRPr="00BF1355">
        <w:rPr>
          <w:i/>
          <w:color w:val="000000"/>
          <w:sz w:val="20"/>
          <w:szCs w:val="20"/>
        </w:rPr>
        <w:t>…</w:t>
      </w:r>
    </w:p>
    <w:p w14:paraId="45A8E0D8" w14:textId="77777777" w:rsidR="008731AE" w:rsidRPr="00BF1355" w:rsidRDefault="008731AE" w:rsidP="008731AE">
      <w:pPr>
        <w:pStyle w:val="FootnoteText"/>
        <w:tabs>
          <w:tab w:val="left" w:pos="2127"/>
          <w:tab w:val="left" w:pos="2552"/>
        </w:tabs>
        <w:ind w:left="1701" w:firstLine="0"/>
        <w:rPr>
          <w:i/>
          <w:color w:val="000000"/>
          <w:sz w:val="20"/>
          <w:szCs w:val="20"/>
        </w:rPr>
      </w:pPr>
      <w:r w:rsidRPr="00BF1355">
        <w:rPr>
          <w:i/>
          <w:color w:val="000000"/>
          <w:sz w:val="20"/>
          <w:szCs w:val="20"/>
        </w:rPr>
        <w:t>(b)</w:t>
      </w:r>
      <w:r w:rsidRPr="00BF1355">
        <w:rPr>
          <w:i/>
          <w:color w:val="000000"/>
          <w:sz w:val="20"/>
          <w:szCs w:val="20"/>
        </w:rPr>
        <w:tab/>
        <w:t>when the unlawful act or neglect occurred, the defendant—</w:t>
      </w:r>
    </w:p>
    <w:p w14:paraId="7AC686EC" w14:textId="77777777" w:rsidR="008731AE" w:rsidRPr="00BF1355" w:rsidRDefault="008731AE" w:rsidP="008731AE">
      <w:pPr>
        <w:pStyle w:val="FootnoteText"/>
        <w:tabs>
          <w:tab w:val="left" w:pos="2552"/>
        </w:tabs>
        <w:ind w:left="2552" w:hanging="425"/>
        <w:rPr>
          <w:i/>
          <w:color w:val="000000"/>
          <w:sz w:val="20"/>
          <w:szCs w:val="20"/>
        </w:rPr>
      </w:pPr>
      <w:r w:rsidRPr="00BF1355">
        <w:rPr>
          <w:i/>
          <w:color w:val="000000"/>
          <w:sz w:val="20"/>
          <w:szCs w:val="20"/>
        </w:rPr>
        <w:t>(</w:t>
      </w:r>
      <w:proofErr w:type="spellStart"/>
      <w:r w:rsidRPr="00BF1355">
        <w:rPr>
          <w:i/>
          <w:color w:val="000000"/>
          <w:sz w:val="20"/>
          <w:szCs w:val="20"/>
        </w:rPr>
        <w:t>i</w:t>
      </w:r>
      <w:proofErr w:type="spellEnd"/>
      <w:r w:rsidRPr="00BF1355">
        <w:rPr>
          <w:i/>
          <w:color w:val="000000"/>
          <w:sz w:val="20"/>
          <w:szCs w:val="20"/>
        </w:rPr>
        <w:t xml:space="preserve">) </w:t>
      </w:r>
      <w:r w:rsidRPr="00BF1355">
        <w:rPr>
          <w:i/>
          <w:color w:val="000000"/>
          <w:sz w:val="20"/>
          <w:szCs w:val="20"/>
        </w:rPr>
        <w:tab/>
        <w:t>had a duty of care to the victim; or</w:t>
      </w:r>
    </w:p>
    <w:p w14:paraId="2D32FE60" w14:textId="77777777" w:rsidR="008731AE" w:rsidRPr="00BF1355" w:rsidRDefault="008731AE" w:rsidP="008731AE">
      <w:pPr>
        <w:pStyle w:val="FootnoteText"/>
        <w:ind w:left="2551" w:hanging="425"/>
        <w:rPr>
          <w:i/>
          <w:color w:val="000000"/>
          <w:sz w:val="20"/>
          <w:szCs w:val="20"/>
        </w:rPr>
      </w:pPr>
      <w:r w:rsidRPr="00BF1355">
        <w:rPr>
          <w:i/>
          <w:color w:val="000000"/>
          <w:sz w:val="20"/>
          <w:szCs w:val="20"/>
        </w:rPr>
        <w:t>(</w:t>
      </w:r>
      <w:proofErr w:type="gramStart"/>
      <w:r w:rsidRPr="00BF1355">
        <w:rPr>
          <w:i/>
          <w:color w:val="000000"/>
          <w:sz w:val="20"/>
          <w:szCs w:val="20"/>
        </w:rPr>
        <w:t>ii</w:t>
      </w:r>
      <w:proofErr w:type="gramEnd"/>
      <w:r w:rsidRPr="00BF1355">
        <w:rPr>
          <w:i/>
          <w:color w:val="000000"/>
          <w:sz w:val="20"/>
          <w:szCs w:val="20"/>
        </w:rPr>
        <w:t>)</w:t>
      </w:r>
      <w:r w:rsidRPr="00BF1355">
        <w:rPr>
          <w:i/>
          <w:color w:val="000000"/>
          <w:sz w:val="20"/>
          <w:szCs w:val="20"/>
        </w:rPr>
        <w:tab/>
        <w:t>was a member of the same household as the victim and in frequent contact with the victim;”.</w:t>
      </w:r>
    </w:p>
  </w:footnote>
  <w:footnote w:id="8">
    <w:p w14:paraId="18557F6C" w14:textId="77777777" w:rsidR="008731AE" w:rsidRPr="00BF1355" w:rsidRDefault="008731AE" w:rsidP="008731AE">
      <w:pPr>
        <w:pStyle w:val="FootnoteText"/>
        <w:ind w:left="709" w:hanging="709"/>
        <w:rPr>
          <w:color w:val="000000"/>
          <w:sz w:val="20"/>
          <w:szCs w:val="20"/>
        </w:rPr>
      </w:pPr>
      <w:r w:rsidRPr="00BF1355">
        <w:rPr>
          <w:color w:val="000000"/>
          <w:sz w:val="20"/>
          <w:szCs w:val="20"/>
          <w:vertAlign w:val="superscript"/>
        </w:rPr>
        <w:footnoteRef/>
      </w:r>
      <w:r w:rsidRPr="00BF1355">
        <w:rPr>
          <w:sz w:val="20"/>
          <w:szCs w:val="20"/>
        </w:rPr>
        <w:t xml:space="preserve"> </w:t>
      </w:r>
      <w:r w:rsidRPr="00BF1355">
        <w:rPr>
          <w:sz w:val="20"/>
          <w:szCs w:val="20"/>
        </w:rPr>
        <w:tab/>
        <w:t>The proposed s</w:t>
      </w:r>
      <w:r w:rsidRPr="00BF1355">
        <w:rPr>
          <w:color w:val="000000"/>
          <w:sz w:val="20"/>
          <w:szCs w:val="20"/>
        </w:rPr>
        <w:t>ection 25A(7) of the OAPO in the draft Bill (Annex 1 of th</w:t>
      </w:r>
      <w:r w:rsidR="00195B07" w:rsidRPr="00BF1355">
        <w:rPr>
          <w:color w:val="000000"/>
          <w:sz w:val="20"/>
          <w:szCs w:val="20"/>
        </w:rPr>
        <w:t>e</w:t>
      </w:r>
      <w:r w:rsidRPr="00BF1355">
        <w:rPr>
          <w:color w:val="000000"/>
          <w:sz w:val="20"/>
          <w:szCs w:val="20"/>
        </w:rPr>
        <w:t xml:space="preserve"> Report): </w:t>
      </w:r>
    </w:p>
    <w:p w14:paraId="2305FDD8" w14:textId="77777777" w:rsidR="008731AE" w:rsidRPr="00BF1355" w:rsidRDefault="008731AE" w:rsidP="008731AE">
      <w:pPr>
        <w:pStyle w:val="FootnoteText"/>
        <w:tabs>
          <w:tab w:val="left" w:pos="1701"/>
          <w:tab w:val="left" w:pos="2127"/>
          <w:tab w:val="left" w:pos="2552"/>
        </w:tabs>
        <w:spacing w:after="120"/>
        <w:ind w:left="1701" w:hanging="992"/>
        <w:rPr>
          <w:i/>
          <w:sz w:val="20"/>
          <w:szCs w:val="20"/>
        </w:rPr>
      </w:pPr>
      <w:r w:rsidRPr="00BF1355">
        <w:rPr>
          <w:i/>
          <w:sz w:val="20"/>
          <w:szCs w:val="20"/>
        </w:rPr>
        <w:t>“25A. (7)</w:t>
      </w:r>
      <w:r w:rsidRPr="00BF1355">
        <w:rPr>
          <w:i/>
          <w:sz w:val="20"/>
          <w:szCs w:val="20"/>
        </w:rPr>
        <w:tab/>
        <w:t>A prosecution for an offence under subsection (1) may only be started by or with the consent of the Secretary for Justice.”</w:t>
      </w:r>
    </w:p>
  </w:footnote>
  <w:footnote w:id="9">
    <w:p w14:paraId="37E8165E" w14:textId="77777777" w:rsidR="006247D7" w:rsidRPr="00BF1355" w:rsidRDefault="006247D7" w:rsidP="006247D7">
      <w:pPr>
        <w:pStyle w:val="FootnoteText"/>
        <w:ind w:left="709" w:hanging="709"/>
        <w:rPr>
          <w:color w:val="000000"/>
          <w:sz w:val="20"/>
          <w:szCs w:val="20"/>
        </w:rPr>
      </w:pPr>
      <w:r w:rsidRPr="00BF1355">
        <w:rPr>
          <w:color w:val="000000"/>
          <w:sz w:val="20"/>
          <w:szCs w:val="20"/>
          <w:vertAlign w:val="superscript"/>
        </w:rPr>
        <w:footnoteRef/>
      </w:r>
      <w:r w:rsidRPr="00BF1355">
        <w:rPr>
          <w:color w:val="000000"/>
          <w:sz w:val="20"/>
          <w:szCs w:val="20"/>
        </w:rPr>
        <w:t xml:space="preserve"> </w:t>
      </w:r>
      <w:r w:rsidRPr="00BF1355">
        <w:rPr>
          <w:color w:val="000000"/>
          <w:sz w:val="20"/>
          <w:szCs w:val="20"/>
        </w:rPr>
        <w:tab/>
        <w:t>The proposed section 25A(1)(a) of the OAPO in the Bill (Annex 1 of th</w:t>
      </w:r>
      <w:r w:rsidR="000F4FF1" w:rsidRPr="00BF1355">
        <w:rPr>
          <w:color w:val="000000"/>
          <w:sz w:val="20"/>
          <w:szCs w:val="20"/>
        </w:rPr>
        <w:t>e</w:t>
      </w:r>
      <w:r w:rsidRPr="00BF1355">
        <w:rPr>
          <w:color w:val="000000"/>
          <w:sz w:val="20"/>
          <w:szCs w:val="20"/>
        </w:rPr>
        <w:t xml:space="preserve"> Report):</w:t>
      </w:r>
    </w:p>
    <w:p w14:paraId="5DAEF840" w14:textId="77777777" w:rsidR="006247D7" w:rsidRPr="00BF1355" w:rsidRDefault="006247D7" w:rsidP="006247D7">
      <w:pPr>
        <w:pStyle w:val="FootnoteText"/>
        <w:tabs>
          <w:tab w:val="left" w:pos="1701"/>
          <w:tab w:val="left" w:pos="2127"/>
          <w:tab w:val="left" w:pos="2552"/>
        </w:tabs>
        <w:ind w:left="1276" w:hanging="567"/>
        <w:rPr>
          <w:i/>
          <w:color w:val="000000"/>
          <w:sz w:val="20"/>
          <w:szCs w:val="20"/>
        </w:rPr>
      </w:pPr>
      <w:r w:rsidRPr="00BF1355">
        <w:rPr>
          <w:i/>
          <w:color w:val="000000"/>
          <w:sz w:val="20"/>
          <w:szCs w:val="20"/>
        </w:rPr>
        <w:t>“25A.</w:t>
      </w:r>
      <w:r w:rsidRPr="00BF1355">
        <w:rPr>
          <w:i/>
          <w:sz w:val="20"/>
          <w:szCs w:val="20"/>
        </w:rPr>
        <w:t xml:space="preserve"> </w:t>
      </w:r>
      <w:r w:rsidRPr="00BF1355">
        <w:rPr>
          <w:i/>
          <w:color w:val="000000"/>
          <w:sz w:val="20"/>
          <w:szCs w:val="20"/>
        </w:rPr>
        <w:t>(1)</w:t>
      </w:r>
      <w:r w:rsidRPr="00BF1355">
        <w:rPr>
          <w:i/>
          <w:color w:val="000000"/>
          <w:sz w:val="20"/>
          <w:szCs w:val="20"/>
        </w:rPr>
        <w:tab/>
        <w:t>A person (</w:t>
      </w:r>
      <w:r w:rsidRPr="00BF1355">
        <w:rPr>
          <w:b/>
          <w:i/>
          <w:color w:val="000000"/>
          <w:sz w:val="20"/>
          <w:szCs w:val="20"/>
        </w:rPr>
        <w:t>defendant</w:t>
      </w:r>
      <w:r w:rsidRPr="00BF1355">
        <w:rPr>
          <w:i/>
          <w:color w:val="000000"/>
          <w:sz w:val="20"/>
          <w:szCs w:val="20"/>
        </w:rPr>
        <w:t>) commits an offence if—</w:t>
      </w:r>
    </w:p>
    <w:p w14:paraId="1C76A2DE" w14:textId="77777777" w:rsidR="006247D7" w:rsidRPr="00BF1355" w:rsidRDefault="006247D7" w:rsidP="005332B5">
      <w:pPr>
        <w:pStyle w:val="FootnoteText"/>
        <w:numPr>
          <w:ilvl w:val="0"/>
          <w:numId w:val="34"/>
        </w:numPr>
        <w:tabs>
          <w:tab w:val="clear" w:pos="1440"/>
          <w:tab w:val="left" w:pos="1701"/>
          <w:tab w:val="left" w:pos="2127"/>
          <w:tab w:val="left" w:pos="2552"/>
        </w:tabs>
        <w:overflowPunct/>
        <w:autoSpaceDE/>
        <w:autoSpaceDN/>
        <w:adjustRightInd/>
        <w:spacing w:after="120" w:line="240" w:lineRule="auto"/>
        <w:ind w:left="2126" w:hanging="425"/>
        <w:textAlignment w:val="auto"/>
        <w:rPr>
          <w:i/>
          <w:color w:val="000000"/>
          <w:sz w:val="20"/>
          <w:szCs w:val="20"/>
        </w:rPr>
      </w:pPr>
      <w:proofErr w:type="gramStart"/>
      <w:r w:rsidRPr="00BF1355">
        <w:rPr>
          <w:i/>
          <w:color w:val="000000"/>
          <w:sz w:val="20"/>
          <w:szCs w:val="20"/>
        </w:rPr>
        <w:t>a</w:t>
      </w:r>
      <w:proofErr w:type="gramEnd"/>
      <w:r w:rsidRPr="00BF1355">
        <w:rPr>
          <w:i/>
          <w:color w:val="000000"/>
          <w:sz w:val="20"/>
          <w:szCs w:val="20"/>
        </w:rPr>
        <w:t xml:space="preserve"> child or vulnerable person </w:t>
      </w:r>
      <w:r w:rsidRPr="00BF1355">
        <w:rPr>
          <w:b/>
          <w:i/>
          <w:color w:val="000000"/>
          <w:sz w:val="20"/>
          <w:szCs w:val="20"/>
        </w:rPr>
        <w:t>(victim</w:t>
      </w:r>
      <w:r w:rsidRPr="00BF1355">
        <w:rPr>
          <w:i/>
          <w:color w:val="000000"/>
          <w:sz w:val="20"/>
          <w:szCs w:val="20"/>
        </w:rPr>
        <w:t xml:space="preserve">) dies or suffers serious harm as a result of an unlawful act or neglect;”. </w:t>
      </w:r>
    </w:p>
  </w:footnote>
  <w:footnote w:id="10">
    <w:p w14:paraId="0E52DC8B" w14:textId="77777777" w:rsidR="00E517CD" w:rsidRPr="00BF1355" w:rsidRDefault="00E517CD" w:rsidP="00E517CD">
      <w:pPr>
        <w:pStyle w:val="FootnoteText"/>
        <w:tabs>
          <w:tab w:val="left" w:pos="1701"/>
          <w:tab w:val="left" w:pos="2127"/>
          <w:tab w:val="left" w:pos="2552"/>
        </w:tabs>
        <w:ind w:left="709" w:hanging="709"/>
        <w:rPr>
          <w:color w:val="000000"/>
          <w:sz w:val="20"/>
          <w:szCs w:val="20"/>
        </w:rPr>
      </w:pPr>
      <w:r w:rsidRPr="00BF1355">
        <w:rPr>
          <w:color w:val="000000"/>
          <w:sz w:val="20"/>
          <w:szCs w:val="20"/>
          <w:vertAlign w:val="superscript"/>
        </w:rPr>
        <w:footnoteRef/>
      </w:r>
      <w:r w:rsidRPr="00BF1355">
        <w:rPr>
          <w:color w:val="000000"/>
          <w:sz w:val="20"/>
          <w:szCs w:val="20"/>
        </w:rPr>
        <w:t xml:space="preserve"> </w:t>
      </w:r>
      <w:r w:rsidRPr="00BF1355">
        <w:rPr>
          <w:color w:val="000000"/>
          <w:sz w:val="20"/>
          <w:szCs w:val="20"/>
        </w:rPr>
        <w:tab/>
        <w:t>The proposed section 25A(6) of the OAPO in the Bill (Annex 1 of the Report):</w:t>
      </w:r>
    </w:p>
    <w:p w14:paraId="1BE37553" w14:textId="53C89C13" w:rsidR="00E517CD" w:rsidRPr="00BF1355" w:rsidRDefault="00DD237B" w:rsidP="00E517CD">
      <w:pPr>
        <w:pStyle w:val="FootnoteText"/>
        <w:tabs>
          <w:tab w:val="left" w:pos="1276"/>
          <w:tab w:val="left" w:pos="1701"/>
          <w:tab w:val="left" w:pos="2127"/>
          <w:tab w:val="left" w:pos="2552"/>
        </w:tabs>
        <w:ind w:left="709" w:firstLine="0"/>
        <w:rPr>
          <w:i/>
          <w:color w:val="000000"/>
          <w:sz w:val="20"/>
          <w:szCs w:val="20"/>
        </w:rPr>
      </w:pPr>
      <w:r>
        <w:rPr>
          <w:i/>
          <w:color w:val="000000"/>
          <w:sz w:val="20"/>
          <w:szCs w:val="20"/>
        </w:rPr>
        <w:t>“25A. (6)</w:t>
      </w:r>
      <w:r>
        <w:rPr>
          <w:i/>
          <w:color w:val="000000"/>
          <w:sz w:val="20"/>
          <w:szCs w:val="20"/>
        </w:rPr>
        <w:tab/>
        <w:t>In this section</w:t>
      </w:r>
      <w:r w:rsidR="00E517CD" w:rsidRPr="00BF1355">
        <w:rPr>
          <w:i/>
          <w:color w:val="000000"/>
          <w:sz w:val="20"/>
          <w:szCs w:val="20"/>
        </w:rPr>
        <w:t>—</w:t>
      </w:r>
    </w:p>
    <w:p w14:paraId="0018A6CE" w14:textId="77777777" w:rsidR="00E517CD" w:rsidRPr="00BF1355" w:rsidRDefault="00E517CD" w:rsidP="00E517CD">
      <w:pPr>
        <w:pStyle w:val="FootnoteText"/>
        <w:tabs>
          <w:tab w:val="left" w:pos="1276"/>
          <w:tab w:val="left" w:pos="1701"/>
          <w:tab w:val="left" w:pos="2127"/>
          <w:tab w:val="left" w:pos="2552"/>
        </w:tabs>
        <w:spacing w:after="0"/>
        <w:rPr>
          <w:i/>
          <w:color w:val="000000"/>
          <w:sz w:val="20"/>
          <w:szCs w:val="20"/>
        </w:rPr>
      </w:pPr>
      <w:r>
        <w:rPr>
          <w:i/>
          <w:color w:val="000000"/>
          <w:sz w:val="20"/>
          <w:szCs w:val="20"/>
        </w:rPr>
        <w:tab/>
      </w:r>
      <w:r w:rsidRPr="00BF1355">
        <w:rPr>
          <w:i/>
          <w:color w:val="000000"/>
          <w:sz w:val="20"/>
          <w:szCs w:val="20"/>
        </w:rPr>
        <w:t>…</w:t>
      </w:r>
    </w:p>
    <w:p w14:paraId="4CC3E269" w14:textId="4F8D708F" w:rsidR="00E517CD" w:rsidRPr="00BF1355" w:rsidRDefault="00E517CD" w:rsidP="00E517CD">
      <w:pPr>
        <w:pStyle w:val="FootnoteText"/>
        <w:tabs>
          <w:tab w:val="clear" w:pos="1440"/>
          <w:tab w:val="left" w:pos="1701"/>
          <w:tab w:val="left" w:pos="2127"/>
          <w:tab w:val="left" w:pos="2552"/>
        </w:tabs>
        <w:ind w:left="1429" w:firstLine="414"/>
        <w:rPr>
          <w:i/>
          <w:color w:val="000000"/>
          <w:sz w:val="20"/>
          <w:szCs w:val="20"/>
        </w:rPr>
      </w:pPr>
      <w:r w:rsidRPr="00BF1355">
        <w:rPr>
          <w:b/>
          <w:i/>
          <w:color w:val="000000"/>
          <w:sz w:val="20"/>
          <w:szCs w:val="20"/>
        </w:rPr>
        <w:t>unlawful act</w:t>
      </w:r>
      <w:r w:rsidR="00DD237B">
        <w:rPr>
          <w:i/>
          <w:color w:val="000000"/>
          <w:sz w:val="20"/>
          <w:szCs w:val="20"/>
        </w:rPr>
        <w:t xml:space="preserve"> means an act that</w:t>
      </w:r>
      <w:r w:rsidRPr="00BF1355">
        <w:rPr>
          <w:i/>
          <w:color w:val="000000"/>
          <w:sz w:val="20"/>
          <w:szCs w:val="20"/>
        </w:rPr>
        <w:t>—</w:t>
      </w:r>
    </w:p>
    <w:p w14:paraId="11D1AB1E" w14:textId="77777777" w:rsidR="00E517CD" w:rsidRPr="00BF1355" w:rsidRDefault="00E517CD" w:rsidP="00E517CD">
      <w:pPr>
        <w:pStyle w:val="FootnoteText"/>
        <w:tabs>
          <w:tab w:val="clear" w:pos="1440"/>
          <w:tab w:val="left" w:pos="2410"/>
        </w:tabs>
        <w:ind w:left="1985" w:firstLine="0"/>
        <w:rPr>
          <w:i/>
          <w:color w:val="000000"/>
          <w:sz w:val="20"/>
          <w:szCs w:val="20"/>
        </w:rPr>
      </w:pPr>
      <w:r>
        <w:rPr>
          <w:i/>
          <w:color w:val="000000"/>
          <w:sz w:val="20"/>
          <w:szCs w:val="20"/>
        </w:rPr>
        <w:t xml:space="preserve">(a) </w:t>
      </w:r>
      <w:r>
        <w:rPr>
          <w:i/>
          <w:color w:val="000000"/>
          <w:sz w:val="20"/>
          <w:szCs w:val="20"/>
        </w:rPr>
        <w:tab/>
      </w:r>
      <w:r w:rsidRPr="00BF1355">
        <w:rPr>
          <w:i/>
          <w:color w:val="000000"/>
          <w:sz w:val="20"/>
          <w:szCs w:val="20"/>
        </w:rPr>
        <w:t>constitutes an offence; or</w:t>
      </w:r>
    </w:p>
    <w:p w14:paraId="339E5E43" w14:textId="77777777" w:rsidR="00E517CD" w:rsidRPr="00BF1355" w:rsidRDefault="00E517CD" w:rsidP="00E517CD">
      <w:pPr>
        <w:pStyle w:val="FootnoteText"/>
        <w:tabs>
          <w:tab w:val="clear" w:pos="1440"/>
          <w:tab w:val="left" w:pos="2410"/>
        </w:tabs>
        <w:spacing w:after="120"/>
        <w:ind w:left="2410" w:hanging="425"/>
        <w:rPr>
          <w:i/>
          <w:color w:val="000000"/>
          <w:sz w:val="20"/>
          <w:szCs w:val="20"/>
        </w:rPr>
      </w:pPr>
      <w:r w:rsidRPr="00BF1355">
        <w:rPr>
          <w:i/>
          <w:color w:val="000000"/>
          <w:sz w:val="20"/>
          <w:szCs w:val="20"/>
        </w:rPr>
        <w:t>(</w:t>
      </w:r>
      <w:proofErr w:type="gramStart"/>
      <w:r w:rsidRPr="00BF1355">
        <w:rPr>
          <w:i/>
          <w:color w:val="000000"/>
          <w:sz w:val="20"/>
          <w:szCs w:val="20"/>
        </w:rPr>
        <w:t>b</w:t>
      </w:r>
      <w:proofErr w:type="gramEnd"/>
      <w:r w:rsidRPr="00BF1355">
        <w:rPr>
          <w:i/>
          <w:color w:val="000000"/>
          <w:sz w:val="20"/>
          <w:szCs w:val="20"/>
        </w:rPr>
        <w:t>)</w:t>
      </w:r>
      <w:r>
        <w:rPr>
          <w:i/>
          <w:color w:val="000000"/>
          <w:sz w:val="20"/>
          <w:szCs w:val="20"/>
        </w:rPr>
        <w:tab/>
      </w:r>
      <w:r w:rsidRPr="005332B5">
        <w:rPr>
          <w:i/>
          <w:color w:val="000000"/>
          <w:spacing w:val="-2"/>
          <w:sz w:val="20"/>
          <w:szCs w:val="20"/>
        </w:rPr>
        <w:t>would constitute an offence if done by a person of full legal capacity;”.</w:t>
      </w:r>
    </w:p>
  </w:footnote>
  <w:footnote w:id="11">
    <w:p w14:paraId="5D930B4D" w14:textId="77777777" w:rsidR="006247D7" w:rsidRPr="00BF1355" w:rsidRDefault="006247D7" w:rsidP="006247D7">
      <w:pPr>
        <w:pStyle w:val="FootnoteText"/>
        <w:spacing w:after="120"/>
        <w:rPr>
          <w:color w:val="000000"/>
          <w:sz w:val="20"/>
          <w:szCs w:val="20"/>
        </w:rPr>
      </w:pPr>
      <w:r w:rsidRPr="00BF1355">
        <w:rPr>
          <w:color w:val="000000"/>
          <w:sz w:val="20"/>
          <w:szCs w:val="20"/>
          <w:vertAlign w:val="superscript"/>
        </w:rPr>
        <w:footnoteRef/>
      </w:r>
      <w:r w:rsidRPr="00BF1355">
        <w:rPr>
          <w:color w:val="000000"/>
          <w:sz w:val="20"/>
          <w:szCs w:val="20"/>
        </w:rPr>
        <w:t xml:space="preserve"> </w:t>
      </w:r>
      <w:r w:rsidRPr="00BF1355">
        <w:rPr>
          <w:color w:val="000000"/>
          <w:sz w:val="20"/>
          <w:szCs w:val="20"/>
        </w:rPr>
        <w:tab/>
        <w:t>The proposed section 25A(1)(c) of the OAPO in the draft Bill (Annex 1 of th</w:t>
      </w:r>
      <w:r w:rsidR="00AA0AC9" w:rsidRPr="00BF1355">
        <w:rPr>
          <w:color w:val="000000"/>
          <w:sz w:val="20"/>
          <w:szCs w:val="20"/>
        </w:rPr>
        <w:t>e</w:t>
      </w:r>
      <w:r w:rsidRPr="00BF1355">
        <w:rPr>
          <w:color w:val="000000"/>
          <w:sz w:val="20"/>
          <w:szCs w:val="20"/>
        </w:rPr>
        <w:t xml:space="preserve"> Report):</w:t>
      </w:r>
    </w:p>
    <w:p w14:paraId="6D257671" w14:textId="77777777" w:rsidR="006247D7" w:rsidRPr="00BF1355" w:rsidRDefault="006247D7" w:rsidP="006247D7">
      <w:pPr>
        <w:pStyle w:val="FootnoteText"/>
        <w:ind w:firstLine="0"/>
        <w:rPr>
          <w:i/>
          <w:color w:val="000000"/>
          <w:sz w:val="20"/>
          <w:szCs w:val="20"/>
        </w:rPr>
      </w:pPr>
      <w:r w:rsidRPr="00BF1355">
        <w:rPr>
          <w:i/>
          <w:color w:val="000000"/>
          <w:sz w:val="20"/>
          <w:szCs w:val="20"/>
        </w:rPr>
        <w:t>“25A. (1) A person (</w:t>
      </w:r>
      <w:r w:rsidRPr="00BF1355">
        <w:rPr>
          <w:b/>
          <w:i/>
          <w:color w:val="000000"/>
          <w:sz w:val="20"/>
          <w:szCs w:val="20"/>
        </w:rPr>
        <w:t>defendant</w:t>
      </w:r>
      <w:r w:rsidRPr="00BF1355">
        <w:rPr>
          <w:i/>
          <w:color w:val="000000"/>
          <w:sz w:val="20"/>
          <w:szCs w:val="20"/>
        </w:rPr>
        <w:t xml:space="preserve">) commits an offence if – </w:t>
      </w:r>
    </w:p>
    <w:p w14:paraId="513DB55A" w14:textId="77777777" w:rsidR="006247D7" w:rsidRPr="00BF1355" w:rsidRDefault="00112E04" w:rsidP="00112E04">
      <w:pPr>
        <w:pStyle w:val="FootnoteText"/>
        <w:spacing w:after="0"/>
        <w:rPr>
          <w:i/>
          <w:color w:val="000000"/>
          <w:sz w:val="20"/>
          <w:szCs w:val="20"/>
        </w:rPr>
      </w:pPr>
      <w:r>
        <w:rPr>
          <w:i/>
          <w:color w:val="000000"/>
          <w:sz w:val="20"/>
          <w:szCs w:val="20"/>
        </w:rPr>
        <w:tab/>
      </w:r>
      <w:r w:rsidR="006247D7" w:rsidRPr="00BF1355">
        <w:rPr>
          <w:i/>
          <w:color w:val="000000"/>
          <w:sz w:val="20"/>
          <w:szCs w:val="20"/>
        </w:rPr>
        <w:t>…</w:t>
      </w:r>
    </w:p>
    <w:p w14:paraId="4763118A" w14:textId="77777777" w:rsidR="006247D7" w:rsidRPr="00BF1355" w:rsidRDefault="006247D7" w:rsidP="00112E04">
      <w:pPr>
        <w:pStyle w:val="FootnoteText"/>
        <w:ind w:left="1985" w:hanging="425"/>
        <w:rPr>
          <w:color w:val="000000"/>
          <w:sz w:val="20"/>
          <w:szCs w:val="20"/>
        </w:rPr>
      </w:pPr>
      <w:r w:rsidRPr="00BF1355">
        <w:rPr>
          <w:i/>
          <w:color w:val="000000"/>
          <w:sz w:val="20"/>
          <w:szCs w:val="20"/>
        </w:rPr>
        <w:t xml:space="preserve">(c) </w:t>
      </w:r>
      <w:r w:rsidR="00112E04">
        <w:rPr>
          <w:i/>
          <w:color w:val="000000"/>
          <w:sz w:val="20"/>
          <w:szCs w:val="20"/>
        </w:rPr>
        <w:tab/>
      </w:r>
      <w:proofErr w:type="gramStart"/>
      <w:r w:rsidRPr="00BF1355">
        <w:rPr>
          <w:i/>
          <w:color w:val="000000"/>
          <w:sz w:val="20"/>
          <w:szCs w:val="20"/>
        </w:rPr>
        <w:t>the</w:t>
      </w:r>
      <w:proofErr w:type="gramEnd"/>
      <w:r w:rsidRPr="00BF1355">
        <w:rPr>
          <w:i/>
          <w:color w:val="000000"/>
          <w:sz w:val="20"/>
          <w:szCs w:val="20"/>
        </w:rPr>
        <w:t xml:space="preserve"> defendant knew, or had reasonable grounds to believe, that there was a risk that serious harm would be caused to the victim by the unlawful act or neglect;”.</w:t>
      </w:r>
    </w:p>
  </w:footnote>
  <w:footnote w:id="12">
    <w:p w14:paraId="3EA4BECA" w14:textId="768890AB" w:rsidR="00343E46" w:rsidRPr="008D6CA4" w:rsidRDefault="00343E46" w:rsidP="00343E46">
      <w:pPr>
        <w:pStyle w:val="FootnoteText"/>
        <w:tabs>
          <w:tab w:val="left" w:pos="1985"/>
        </w:tabs>
        <w:rPr>
          <w:color w:val="000000"/>
          <w:sz w:val="20"/>
        </w:rPr>
      </w:pPr>
      <w:r w:rsidRPr="00B37316">
        <w:rPr>
          <w:rStyle w:val="FootnoteReference"/>
          <w:sz w:val="20"/>
        </w:rPr>
        <w:footnoteRef/>
      </w:r>
      <w:r w:rsidRPr="00B37316">
        <w:rPr>
          <w:sz w:val="20"/>
        </w:rPr>
        <w:t xml:space="preserve"> </w:t>
      </w:r>
      <w:r w:rsidRPr="00B37316">
        <w:rPr>
          <w:sz w:val="20"/>
        </w:rPr>
        <w:tab/>
      </w:r>
      <w:r w:rsidRPr="008D6CA4">
        <w:rPr>
          <w:color w:val="000000"/>
          <w:sz w:val="20"/>
        </w:rPr>
        <w:t>The proposed section 25A(1)(d) and (e) of the OAPO in the draft Bill (Annex 1 of th</w:t>
      </w:r>
      <w:r w:rsidR="002B6200">
        <w:rPr>
          <w:color w:val="000000"/>
          <w:sz w:val="20"/>
        </w:rPr>
        <w:t>e</w:t>
      </w:r>
      <w:r w:rsidRPr="008D6CA4">
        <w:rPr>
          <w:color w:val="000000"/>
          <w:sz w:val="20"/>
        </w:rPr>
        <w:t xml:space="preserve"> Report):</w:t>
      </w:r>
    </w:p>
    <w:p w14:paraId="51381530" w14:textId="77777777" w:rsidR="00343E46" w:rsidRPr="008D6CA4" w:rsidRDefault="00343E46" w:rsidP="00343E46">
      <w:pPr>
        <w:widowControl/>
        <w:tabs>
          <w:tab w:val="left" w:pos="1701"/>
          <w:tab w:val="left" w:pos="2127"/>
          <w:tab w:val="left" w:pos="2552"/>
        </w:tabs>
        <w:ind w:left="720" w:hanging="11"/>
        <w:rPr>
          <w:rFonts w:cs="Arial"/>
          <w:i/>
          <w:color w:val="000000"/>
          <w:sz w:val="20"/>
          <w:szCs w:val="20"/>
          <w:lang w:val="en-AU"/>
        </w:rPr>
      </w:pPr>
      <w:r w:rsidRPr="008D6CA4">
        <w:rPr>
          <w:rFonts w:cs="Arial"/>
          <w:i/>
          <w:color w:val="000000"/>
          <w:sz w:val="20"/>
          <w:szCs w:val="20"/>
          <w:lang w:val="en-AU"/>
        </w:rPr>
        <w:t>“25A</w:t>
      </w:r>
      <w:r>
        <w:rPr>
          <w:rFonts w:cs="Arial"/>
          <w:i/>
          <w:color w:val="000000"/>
          <w:sz w:val="20"/>
          <w:szCs w:val="20"/>
          <w:lang w:val="en-AU"/>
        </w:rPr>
        <w:t xml:space="preserve">. </w:t>
      </w:r>
      <w:r w:rsidRPr="008D6CA4">
        <w:rPr>
          <w:rFonts w:cs="Arial"/>
          <w:i/>
          <w:color w:val="000000"/>
          <w:sz w:val="20"/>
          <w:szCs w:val="20"/>
          <w:lang w:val="en-AU"/>
        </w:rPr>
        <w:t>(1)</w:t>
      </w:r>
      <w:r w:rsidRPr="008D6CA4">
        <w:rPr>
          <w:rFonts w:cs="Arial"/>
          <w:i/>
          <w:color w:val="000000"/>
          <w:sz w:val="20"/>
          <w:szCs w:val="20"/>
          <w:lang w:val="en-AU"/>
        </w:rPr>
        <w:tab/>
        <w:t>A person (</w:t>
      </w:r>
      <w:r w:rsidRPr="008D6CA4">
        <w:rPr>
          <w:rFonts w:cs="Arial"/>
          <w:b/>
          <w:bCs/>
          <w:i/>
          <w:iCs/>
          <w:color w:val="000000"/>
          <w:sz w:val="20"/>
          <w:szCs w:val="20"/>
          <w:lang w:val="en-AU"/>
        </w:rPr>
        <w:t>defendant</w:t>
      </w:r>
      <w:r w:rsidRPr="008D6CA4">
        <w:rPr>
          <w:rFonts w:cs="Arial"/>
          <w:i/>
          <w:color w:val="000000"/>
          <w:sz w:val="20"/>
          <w:szCs w:val="20"/>
          <w:lang w:val="en-AU"/>
        </w:rPr>
        <w:t>) commits an offence if—</w:t>
      </w:r>
    </w:p>
    <w:p w14:paraId="6F91A90D" w14:textId="77777777" w:rsidR="00343E46" w:rsidRPr="008D6CA4" w:rsidRDefault="00343E46" w:rsidP="00343E46">
      <w:pPr>
        <w:widowControl/>
        <w:tabs>
          <w:tab w:val="left" w:pos="1701"/>
          <w:tab w:val="left" w:pos="2127"/>
          <w:tab w:val="left" w:pos="2552"/>
        </w:tabs>
        <w:ind w:left="720" w:hanging="11"/>
        <w:rPr>
          <w:rFonts w:cs="Arial"/>
          <w:i/>
          <w:color w:val="000000"/>
          <w:sz w:val="20"/>
          <w:szCs w:val="20"/>
          <w:lang w:val="en-AU"/>
        </w:rPr>
      </w:pPr>
      <w:r w:rsidRPr="008D6CA4">
        <w:rPr>
          <w:rFonts w:cs="Arial"/>
          <w:i/>
          <w:color w:val="000000"/>
          <w:sz w:val="20"/>
          <w:szCs w:val="20"/>
          <w:lang w:val="en-AU"/>
        </w:rPr>
        <w:t>…</w:t>
      </w:r>
    </w:p>
    <w:p w14:paraId="420F5707" w14:textId="77777777" w:rsidR="00343E46" w:rsidRPr="008D6CA4" w:rsidRDefault="00343E46" w:rsidP="00343E46">
      <w:pPr>
        <w:widowControl/>
        <w:tabs>
          <w:tab w:val="left" w:pos="1701"/>
          <w:tab w:val="left" w:pos="2127"/>
          <w:tab w:val="left" w:pos="2552"/>
        </w:tabs>
        <w:ind w:left="2126" w:hanging="425"/>
        <w:rPr>
          <w:rFonts w:cs="Arial"/>
          <w:i/>
          <w:color w:val="000000"/>
          <w:sz w:val="20"/>
          <w:szCs w:val="20"/>
          <w:lang w:val="en-AU"/>
        </w:rPr>
      </w:pPr>
      <w:r w:rsidRPr="008D6CA4">
        <w:rPr>
          <w:rFonts w:cs="Arial"/>
          <w:i/>
          <w:color w:val="000000"/>
          <w:sz w:val="20"/>
          <w:szCs w:val="20"/>
          <w:lang w:val="en-AU"/>
        </w:rPr>
        <w:t>(d)</w:t>
      </w:r>
      <w:r w:rsidRPr="008D6CA4">
        <w:rPr>
          <w:rFonts w:cs="Arial"/>
          <w:i/>
          <w:color w:val="000000"/>
          <w:sz w:val="20"/>
          <w:szCs w:val="20"/>
          <w:lang w:val="en-AU"/>
        </w:rPr>
        <w:tab/>
        <w:t>the defendant failed to take reasonable steps in the circumstances to protect the victim from such harm; and</w:t>
      </w:r>
    </w:p>
    <w:p w14:paraId="618A7265" w14:textId="77777777" w:rsidR="00343E46" w:rsidRPr="00B37316" w:rsidRDefault="00343E46" w:rsidP="00343E46">
      <w:pPr>
        <w:pStyle w:val="FootnoteText"/>
        <w:spacing w:after="120"/>
        <w:ind w:left="2126" w:hanging="425"/>
        <w:rPr>
          <w:sz w:val="20"/>
        </w:rPr>
      </w:pPr>
      <w:r w:rsidRPr="008D6CA4">
        <w:rPr>
          <w:rFonts w:eastAsia="Arial"/>
          <w:i/>
          <w:color w:val="000000"/>
          <w:kern w:val="2"/>
          <w:sz w:val="20"/>
        </w:rPr>
        <w:t xml:space="preserve">(e) </w:t>
      </w:r>
      <w:r w:rsidRPr="008D6CA4">
        <w:rPr>
          <w:rFonts w:eastAsia="Arial"/>
          <w:i/>
          <w:color w:val="000000"/>
          <w:kern w:val="2"/>
          <w:sz w:val="20"/>
        </w:rPr>
        <w:tab/>
      </w:r>
      <w:proofErr w:type="gramStart"/>
      <w:r w:rsidRPr="008D6CA4">
        <w:rPr>
          <w:rFonts w:eastAsia="Arial"/>
          <w:i/>
          <w:color w:val="000000"/>
          <w:kern w:val="2"/>
          <w:sz w:val="20"/>
        </w:rPr>
        <w:t>the</w:t>
      </w:r>
      <w:proofErr w:type="gramEnd"/>
      <w:r w:rsidRPr="008D6CA4">
        <w:rPr>
          <w:rFonts w:eastAsia="Arial"/>
          <w:i/>
          <w:color w:val="000000"/>
          <w:kern w:val="2"/>
          <w:sz w:val="20"/>
        </w:rPr>
        <w:t xml:space="preserve"> defendant’s failure mentioned in paragraph (d) was, in the circumstances, so serious that a criminal penalty is warranted.”</w:t>
      </w:r>
    </w:p>
  </w:footnote>
  <w:footnote w:id="13">
    <w:p w14:paraId="17537824" w14:textId="0C2187C5" w:rsidR="00343E46" w:rsidRPr="008D6CA4" w:rsidRDefault="00343E46" w:rsidP="00343E46">
      <w:pPr>
        <w:pStyle w:val="FootnoteText"/>
        <w:rPr>
          <w:sz w:val="20"/>
        </w:rPr>
      </w:pPr>
      <w:r w:rsidRPr="00B37316">
        <w:rPr>
          <w:rStyle w:val="FootnoteReference"/>
          <w:sz w:val="20"/>
        </w:rPr>
        <w:footnoteRef/>
      </w:r>
      <w:r w:rsidRPr="00B37316">
        <w:rPr>
          <w:sz w:val="20"/>
        </w:rPr>
        <w:t xml:space="preserve"> </w:t>
      </w:r>
      <w:r w:rsidRPr="008D6CA4">
        <w:rPr>
          <w:sz w:val="20"/>
        </w:rPr>
        <w:tab/>
      </w:r>
      <w:r w:rsidRPr="008D6CA4">
        <w:rPr>
          <w:color w:val="000000"/>
          <w:sz w:val="20"/>
        </w:rPr>
        <w:t>The proposed section 25A(3A) and (3B) of the OAPO in the draft Bill (Annex 1 of th</w:t>
      </w:r>
      <w:r w:rsidR="002B6200">
        <w:rPr>
          <w:color w:val="000000"/>
          <w:sz w:val="20"/>
        </w:rPr>
        <w:t>e</w:t>
      </w:r>
      <w:r w:rsidRPr="008D6CA4">
        <w:rPr>
          <w:color w:val="000000"/>
          <w:sz w:val="20"/>
        </w:rPr>
        <w:t xml:space="preserve"> Report):</w:t>
      </w:r>
      <w:r w:rsidRPr="008D6CA4">
        <w:rPr>
          <w:sz w:val="20"/>
        </w:rPr>
        <w:t xml:space="preserve"> </w:t>
      </w:r>
    </w:p>
    <w:p w14:paraId="7834C2AF" w14:textId="77777777" w:rsidR="00343E46" w:rsidRPr="00B37316" w:rsidRDefault="00343E46" w:rsidP="00343E46">
      <w:pPr>
        <w:pStyle w:val="FootnoteText"/>
        <w:ind w:left="1701" w:hanging="992"/>
        <w:rPr>
          <w:b/>
          <w:i/>
          <w:sz w:val="20"/>
        </w:rPr>
      </w:pPr>
      <w:r w:rsidRPr="00B37316">
        <w:rPr>
          <w:i/>
          <w:sz w:val="20"/>
        </w:rPr>
        <w:t>“(3A)</w:t>
      </w:r>
      <w:r w:rsidRPr="00B37316">
        <w:rPr>
          <w:i/>
          <w:sz w:val="20"/>
        </w:rPr>
        <w:tab/>
      </w:r>
      <w:r w:rsidR="00993500">
        <w:rPr>
          <w:i/>
          <w:sz w:val="20"/>
        </w:rPr>
        <w:tab/>
      </w:r>
      <w:r w:rsidRPr="00B37316">
        <w:rPr>
          <w:i/>
          <w:sz w:val="20"/>
        </w:rPr>
        <w:t>For subsection (1)(d), the factors for determining the reasonable steps in the circumstances include—</w:t>
      </w:r>
    </w:p>
    <w:p w14:paraId="1B1DA9F7" w14:textId="77777777" w:rsidR="00343E46" w:rsidRPr="00B37316" w:rsidRDefault="00343E46" w:rsidP="00343E46">
      <w:pPr>
        <w:pStyle w:val="FootnoteText"/>
        <w:spacing w:before="60"/>
        <w:ind w:left="2126" w:hanging="425"/>
        <w:rPr>
          <w:bCs/>
          <w:i/>
          <w:iCs/>
          <w:sz w:val="20"/>
        </w:rPr>
      </w:pPr>
      <w:r w:rsidRPr="00B37316">
        <w:rPr>
          <w:bCs/>
          <w:i/>
          <w:iCs/>
          <w:sz w:val="20"/>
        </w:rPr>
        <w:t>(a)</w:t>
      </w:r>
      <w:r w:rsidRPr="00B37316">
        <w:rPr>
          <w:bCs/>
          <w:i/>
          <w:iCs/>
          <w:sz w:val="20"/>
        </w:rPr>
        <w:tab/>
        <w:t>the circumstances of the case (including the defendant’s personal circumstances);</w:t>
      </w:r>
      <w:r>
        <w:rPr>
          <w:bCs/>
          <w:i/>
          <w:iCs/>
          <w:sz w:val="20"/>
        </w:rPr>
        <w:t xml:space="preserve"> and</w:t>
      </w:r>
    </w:p>
    <w:p w14:paraId="5C0E1BE8" w14:textId="77777777" w:rsidR="00343E46" w:rsidRPr="00B37316" w:rsidRDefault="00343E46" w:rsidP="00343E46">
      <w:pPr>
        <w:pStyle w:val="FootnoteText"/>
        <w:ind w:left="2126" w:hanging="425"/>
        <w:rPr>
          <w:bCs/>
          <w:i/>
          <w:iCs/>
          <w:sz w:val="20"/>
        </w:rPr>
      </w:pPr>
      <w:r w:rsidRPr="00B37316">
        <w:rPr>
          <w:bCs/>
          <w:i/>
          <w:iCs/>
          <w:sz w:val="20"/>
        </w:rPr>
        <w:t>(b)</w:t>
      </w:r>
      <w:r w:rsidRPr="00B37316">
        <w:rPr>
          <w:bCs/>
          <w:i/>
          <w:iCs/>
          <w:sz w:val="20"/>
        </w:rPr>
        <w:tab/>
      </w:r>
      <w:proofErr w:type="gramStart"/>
      <w:r w:rsidRPr="00B37316">
        <w:rPr>
          <w:bCs/>
          <w:i/>
          <w:iCs/>
          <w:sz w:val="20"/>
        </w:rPr>
        <w:t>the</w:t>
      </w:r>
      <w:proofErr w:type="gramEnd"/>
      <w:r w:rsidRPr="00B37316">
        <w:rPr>
          <w:bCs/>
          <w:i/>
          <w:iCs/>
          <w:sz w:val="20"/>
        </w:rPr>
        <w:t xml:space="preserve"> steps that a reasonable person sharing the defendant’s characteristics could be expected to have taken in the circumstances mentioned in paragraph (a)</w:t>
      </w:r>
      <w:r>
        <w:rPr>
          <w:bCs/>
          <w:i/>
          <w:iCs/>
          <w:sz w:val="20"/>
        </w:rPr>
        <w:t>.</w:t>
      </w:r>
    </w:p>
    <w:p w14:paraId="24516F72" w14:textId="77777777" w:rsidR="00343E46" w:rsidRPr="00B37316" w:rsidRDefault="00343E46" w:rsidP="00791CBD">
      <w:pPr>
        <w:pStyle w:val="FootnoteText"/>
        <w:ind w:left="1729" w:hanging="992"/>
        <w:rPr>
          <w:sz w:val="20"/>
        </w:rPr>
      </w:pPr>
      <w:r w:rsidRPr="00B37316">
        <w:rPr>
          <w:i/>
          <w:sz w:val="20"/>
        </w:rPr>
        <w:t>(3B)</w:t>
      </w:r>
      <w:r w:rsidRPr="00B37316">
        <w:rPr>
          <w:i/>
          <w:sz w:val="20"/>
        </w:rPr>
        <w:tab/>
      </w:r>
      <w:r w:rsidR="00993500">
        <w:rPr>
          <w:i/>
          <w:sz w:val="20"/>
        </w:rPr>
        <w:tab/>
      </w:r>
      <w:r w:rsidRPr="00B37316">
        <w:rPr>
          <w:i/>
          <w:sz w:val="20"/>
        </w:rPr>
        <w:t>For subsection (3A</w:t>
      </w:r>
      <w:proofErr w:type="gramStart"/>
      <w:r w:rsidRPr="00B37316">
        <w:rPr>
          <w:i/>
          <w:sz w:val="20"/>
        </w:rPr>
        <w:t>)(</w:t>
      </w:r>
      <w:proofErr w:type="gramEnd"/>
      <w:r w:rsidRPr="00B37316">
        <w:rPr>
          <w:i/>
          <w:sz w:val="20"/>
        </w:rPr>
        <w:t>b), only the characteristics of the defendant that</w:t>
      </w:r>
      <w:r w:rsidRPr="00B37316">
        <w:rPr>
          <w:bCs/>
          <w:i/>
          <w:iCs/>
          <w:sz w:val="20"/>
        </w:rPr>
        <w:t xml:space="preserve"> are relevant to defendant’s ability to take steps in relation to the risk mentioned in subsection (1)(c) are to be taken into account.</w:t>
      </w:r>
      <w:r w:rsidRPr="008D6CA4">
        <w:rPr>
          <w:bCs/>
          <w:i/>
          <w:iCs/>
          <w:sz w:val="20"/>
        </w:rPr>
        <w:t>”</w:t>
      </w:r>
    </w:p>
  </w:footnote>
  <w:footnote w:id="14">
    <w:p w14:paraId="632D2BEC" w14:textId="41ED4906" w:rsidR="00624BA7" w:rsidRDefault="00624BA7" w:rsidP="00624BA7">
      <w:pPr>
        <w:pStyle w:val="FootnoteText"/>
        <w:rPr>
          <w:color w:val="000000"/>
          <w:sz w:val="20"/>
        </w:rPr>
      </w:pPr>
      <w:r w:rsidRPr="004115F5">
        <w:rPr>
          <w:color w:val="000000"/>
          <w:sz w:val="20"/>
          <w:vertAlign w:val="superscript"/>
        </w:rPr>
        <w:footnoteRef/>
      </w:r>
      <w:r w:rsidRPr="004115F5">
        <w:rPr>
          <w:color w:val="000000"/>
          <w:sz w:val="20"/>
        </w:rPr>
        <w:t xml:space="preserve"> </w:t>
      </w:r>
      <w:r w:rsidRPr="004115F5">
        <w:rPr>
          <w:color w:val="000000"/>
          <w:sz w:val="20"/>
        </w:rPr>
        <w:tab/>
        <w:t>The proposed section 25A(4) of the OAPO in the draft Bill (Annex 1 of th</w:t>
      </w:r>
      <w:r w:rsidR="00F47665">
        <w:rPr>
          <w:color w:val="000000"/>
          <w:sz w:val="20"/>
        </w:rPr>
        <w:t>e</w:t>
      </w:r>
      <w:r w:rsidRPr="004115F5">
        <w:rPr>
          <w:color w:val="000000"/>
          <w:sz w:val="20"/>
        </w:rPr>
        <w:t xml:space="preserve"> Report)</w:t>
      </w:r>
      <w:r>
        <w:rPr>
          <w:color w:val="000000"/>
          <w:sz w:val="20"/>
        </w:rPr>
        <w:t>:</w:t>
      </w:r>
    </w:p>
    <w:p w14:paraId="56FAEFD3" w14:textId="77777777" w:rsidR="00624BA7" w:rsidRPr="00705608" w:rsidRDefault="00624BA7" w:rsidP="00624BA7">
      <w:pPr>
        <w:pStyle w:val="FootnoteText"/>
        <w:tabs>
          <w:tab w:val="left" w:pos="2127"/>
          <w:tab w:val="left" w:pos="2552"/>
        </w:tabs>
        <w:spacing w:line="240" w:lineRule="atLeast"/>
        <w:ind w:left="1701" w:hanging="981"/>
        <w:rPr>
          <w:rFonts w:ascii="Times New Roman" w:hAnsi="Times New Roman"/>
          <w:sz w:val="22"/>
        </w:rPr>
      </w:pPr>
      <w:r w:rsidRPr="005B7AD7">
        <w:rPr>
          <w:i/>
          <w:color w:val="000000"/>
          <w:sz w:val="20"/>
        </w:rPr>
        <w:t>“25A. (4)</w:t>
      </w:r>
      <w:r w:rsidRPr="005B7AD7">
        <w:rPr>
          <w:i/>
          <w:color w:val="000000"/>
          <w:sz w:val="20"/>
        </w:rPr>
        <w:tab/>
        <w:t>In proceedings for an offence under subsection (1</w:t>
      </w:r>
      <w:r w:rsidRPr="00705608">
        <w:rPr>
          <w:i/>
          <w:color w:val="000000"/>
          <w:sz w:val="20"/>
        </w:rPr>
        <w:t>)</w:t>
      </w:r>
      <w:r w:rsidRPr="00F64767">
        <w:rPr>
          <w:rFonts w:ascii="Times New Roman" w:hAnsi="Times New Roman"/>
          <w:sz w:val="22"/>
        </w:rPr>
        <w:t>—</w:t>
      </w:r>
    </w:p>
    <w:p w14:paraId="73CF4B7D" w14:textId="77777777" w:rsidR="00624BA7" w:rsidRPr="00F64767" w:rsidRDefault="00624BA7" w:rsidP="00624BA7">
      <w:pPr>
        <w:pStyle w:val="FootnoteText"/>
        <w:numPr>
          <w:ilvl w:val="0"/>
          <w:numId w:val="35"/>
        </w:numPr>
        <w:tabs>
          <w:tab w:val="clear" w:pos="1440"/>
          <w:tab w:val="left" w:pos="2127"/>
          <w:tab w:val="left" w:pos="2552"/>
        </w:tabs>
        <w:overflowPunct/>
        <w:autoSpaceDE/>
        <w:autoSpaceDN/>
        <w:adjustRightInd/>
        <w:ind w:hanging="357"/>
        <w:textAlignment w:val="auto"/>
        <w:rPr>
          <w:i/>
          <w:color w:val="000000"/>
          <w:sz w:val="20"/>
        </w:rPr>
      </w:pPr>
      <w:r w:rsidRPr="00705608">
        <w:rPr>
          <w:i/>
          <w:color w:val="000000"/>
          <w:sz w:val="20"/>
        </w:rPr>
        <w:t xml:space="preserve">it is not necessary for the prosecution to prove who did the unlawful act or neglect mentioned in subsection (1)(a); </w:t>
      </w:r>
      <w:r w:rsidRPr="00F64767">
        <w:rPr>
          <w:i/>
          <w:color w:val="000000"/>
          <w:sz w:val="20"/>
        </w:rPr>
        <w:t>and</w:t>
      </w:r>
    </w:p>
    <w:p w14:paraId="728FF271" w14:textId="77777777" w:rsidR="00624BA7" w:rsidRPr="00705608" w:rsidRDefault="00624BA7" w:rsidP="00624BA7">
      <w:pPr>
        <w:pStyle w:val="FootnoteText"/>
        <w:numPr>
          <w:ilvl w:val="0"/>
          <w:numId w:val="35"/>
        </w:numPr>
        <w:tabs>
          <w:tab w:val="clear" w:pos="1440"/>
          <w:tab w:val="left" w:pos="2127"/>
          <w:tab w:val="left" w:pos="2552"/>
        </w:tabs>
        <w:overflowPunct/>
        <w:autoSpaceDE/>
        <w:autoSpaceDN/>
        <w:adjustRightInd/>
        <w:spacing w:after="0" w:line="240" w:lineRule="atLeast"/>
        <w:ind w:hanging="357"/>
        <w:textAlignment w:val="auto"/>
        <w:rPr>
          <w:i/>
          <w:color w:val="000000"/>
          <w:sz w:val="20"/>
        </w:rPr>
      </w:pPr>
      <w:proofErr w:type="gramStart"/>
      <w:r w:rsidRPr="00F64767">
        <w:rPr>
          <w:i/>
          <w:color w:val="000000"/>
          <w:sz w:val="20"/>
        </w:rPr>
        <w:t>the</w:t>
      </w:r>
      <w:proofErr w:type="gramEnd"/>
      <w:r w:rsidRPr="00F64767">
        <w:rPr>
          <w:i/>
          <w:color w:val="000000"/>
          <w:sz w:val="20"/>
        </w:rPr>
        <w:t xml:space="preserve"> defendant may be convicted of the offence regardless of whether the defendant did or may have done the unlawful act or neglect</w:t>
      </w:r>
      <w:r w:rsidRPr="00705608">
        <w:rPr>
          <w:i/>
          <w:color w:val="000000"/>
          <w:sz w:val="20"/>
        </w:rPr>
        <w:t>.”</w:t>
      </w:r>
    </w:p>
  </w:footnote>
  <w:footnote w:id="15">
    <w:p w14:paraId="1754D8F5" w14:textId="77777777" w:rsidR="006247D7" w:rsidRPr="00BF1355" w:rsidRDefault="006247D7" w:rsidP="006247D7">
      <w:pPr>
        <w:pStyle w:val="FootnoteText"/>
        <w:tabs>
          <w:tab w:val="left" w:pos="709"/>
        </w:tabs>
        <w:ind w:left="709" w:hanging="709"/>
        <w:rPr>
          <w:color w:val="000000"/>
          <w:sz w:val="20"/>
          <w:szCs w:val="20"/>
        </w:rPr>
      </w:pPr>
      <w:r w:rsidRPr="00BF1355">
        <w:rPr>
          <w:color w:val="000000"/>
          <w:sz w:val="20"/>
          <w:szCs w:val="20"/>
          <w:vertAlign w:val="superscript"/>
        </w:rPr>
        <w:footnoteRef/>
      </w:r>
      <w:r w:rsidRPr="00BF1355">
        <w:rPr>
          <w:color w:val="000000"/>
          <w:sz w:val="20"/>
          <w:szCs w:val="20"/>
        </w:rPr>
        <w:t xml:space="preserve"> </w:t>
      </w:r>
      <w:r w:rsidRPr="00BF1355">
        <w:rPr>
          <w:color w:val="000000"/>
          <w:sz w:val="20"/>
          <w:szCs w:val="20"/>
        </w:rPr>
        <w:tab/>
        <w:t>The proposed section 25A(5)(a) of the OAPO in the draft Bill (Annex 1 of th</w:t>
      </w:r>
      <w:r w:rsidR="00783CE4" w:rsidRPr="00BF1355">
        <w:rPr>
          <w:color w:val="000000"/>
          <w:sz w:val="20"/>
          <w:szCs w:val="20"/>
        </w:rPr>
        <w:t>e</w:t>
      </w:r>
      <w:r w:rsidRPr="00BF1355">
        <w:rPr>
          <w:color w:val="000000"/>
          <w:sz w:val="20"/>
          <w:szCs w:val="20"/>
        </w:rPr>
        <w:t xml:space="preserve"> Report):</w:t>
      </w:r>
    </w:p>
    <w:p w14:paraId="2D13E4E1" w14:textId="77777777" w:rsidR="006247D7" w:rsidRPr="00BF1355" w:rsidRDefault="006247D7" w:rsidP="006247D7">
      <w:pPr>
        <w:pStyle w:val="FootnoteText"/>
        <w:tabs>
          <w:tab w:val="left" w:pos="2127"/>
          <w:tab w:val="left" w:pos="2552"/>
        </w:tabs>
        <w:ind w:left="1701" w:hanging="992"/>
        <w:rPr>
          <w:i/>
          <w:color w:val="000000"/>
          <w:sz w:val="20"/>
          <w:szCs w:val="20"/>
        </w:rPr>
      </w:pPr>
      <w:r w:rsidRPr="00BF1355">
        <w:rPr>
          <w:i/>
          <w:color w:val="000000"/>
          <w:sz w:val="20"/>
          <w:szCs w:val="20"/>
        </w:rPr>
        <w:t>“25A. (5)</w:t>
      </w:r>
      <w:r w:rsidRPr="00BF1355">
        <w:rPr>
          <w:i/>
          <w:color w:val="000000"/>
          <w:sz w:val="20"/>
          <w:szCs w:val="20"/>
        </w:rPr>
        <w:tab/>
        <w:t>A person convicted of an offence under subsection (1) is liable on conviction on indictment to —</w:t>
      </w:r>
    </w:p>
    <w:p w14:paraId="6F405637" w14:textId="77777777" w:rsidR="006247D7" w:rsidRPr="00BF1355" w:rsidRDefault="006247D7" w:rsidP="006247D7">
      <w:pPr>
        <w:pStyle w:val="FootnoteText"/>
        <w:tabs>
          <w:tab w:val="left" w:pos="1701"/>
          <w:tab w:val="left" w:pos="2127"/>
          <w:tab w:val="left" w:pos="2552"/>
        </w:tabs>
        <w:spacing w:after="120"/>
        <w:ind w:left="1701" w:hanging="992"/>
        <w:rPr>
          <w:color w:val="000000"/>
          <w:sz w:val="20"/>
          <w:szCs w:val="20"/>
        </w:rPr>
      </w:pPr>
      <w:r w:rsidRPr="00BF1355">
        <w:rPr>
          <w:i/>
          <w:color w:val="000000"/>
          <w:sz w:val="20"/>
          <w:szCs w:val="20"/>
        </w:rPr>
        <w:tab/>
      </w:r>
      <w:r w:rsidR="00783CE4" w:rsidRPr="00BF1355">
        <w:rPr>
          <w:i/>
          <w:color w:val="000000"/>
          <w:sz w:val="20"/>
          <w:szCs w:val="20"/>
        </w:rPr>
        <w:tab/>
      </w:r>
      <w:r w:rsidRPr="00BF1355">
        <w:rPr>
          <w:i/>
          <w:color w:val="000000"/>
          <w:sz w:val="20"/>
          <w:szCs w:val="20"/>
        </w:rPr>
        <w:t>(a)</w:t>
      </w:r>
      <w:r w:rsidRPr="00BF1355">
        <w:rPr>
          <w:i/>
          <w:color w:val="000000"/>
          <w:sz w:val="20"/>
          <w:szCs w:val="20"/>
        </w:rPr>
        <w:tab/>
        <w:t>if the victim dies — imprisonment for 20 years; or”</w:t>
      </w:r>
    </w:p>
  </w:footnote>
  <w:footnote w:id="16">
    <w:p w14:paraId="12386AF4" w14:textId="77777777" w:rsidR="006247D7" w:rsidRPr="00BF1355" w:rsidRDefault="006247D7" w:rsidP="006247D7">
      <w:pPr>
        <w:pStyle w:val="FootnoteText"/>
        <w:tabs>
          <w:tab w:val="left" w:pos="709"/>
          <w:tab w:val="left" w:pos="2127"/>
          <w:tab w:val="left" w:pos="2552"/>
        </w:tabs>
        <w:ind w:left="1701" w:hanging="1701"/>
        <w:rPr>
          <w:color w:val="000000"/>
          <w:sz w:val="20"/>
          <w:szCs w:val="20"/>
        </w:rPr>
      </w:pPr>
      <w:r w:rsidRPr="00BF1355">
        <w:rPr>
          <w:rStyle w:val="FootnoteReference"/>
          <w:sz w:val="20"/>
          <w:szCs w:val="20"/>
        </w:rPr>
        <w:footnoteRef/>
      </w:r>
      <w:r w:rsidRPr="00BF1355">
        <w:rPr>
          <w:sz w:val="20"/>
          <w:szCs w:val="20"/>
        </w:rPr>
        <w:t xml:space="preserve"> </w:t>
      </w:r>
      <w:r w:rsidRPr="00BF1355">
        <w:rPr>
          <w:sz w:val="20"/>
          <w:szCs w:val="20"/>
        </w:rPr>
        <w:tab/>
      </w:r>
      <w:r w:rsidRPr="00BF1355">
        <w:rPr>
          <w:color w:val="000000"/>
          <w:sz w:val="20"/>
          <w:szCs w:val="20"/>
        </w:rPr>
        <w:t>The proposed section 25A(5)(b) of the OAPO in the draft Bill (Annex 1 of th</w:t>
      </w:r>
      <w:r w:rsidR="00E700B2">
        <w:rPr>
          <w:color w:val="000000"/>
          <w:sz w:val="20"/>
          <w:szCs w:val="20"/>
        </w:rPr>
        <w:t>e</w:t>
      </w:r>
      <w:r w:rsidRPr="00BF1355">
        <w:rPr>
          <w:color w:val="000000"/>
          <w:sz w:val="20"/>
          <w:szCs w:val="20"/>
        </w:rPr>
        <w:t xml:space="preserve"> Report):</w:t>
      </w:r>
    </w:p>
    <w:p w14:paraId="196BC692" w14:textId="77777777" w:rsidR="006247D7" w:rsidRPr="00BF1355" w:rsidRDefault="006247D7" w:rsidP="00255F22">
      <w:pPr>
        <w:pStyle w:val="FootnoteText"/>
        <w:tabs>
          <w:tab w:val="left" w:pos="2127"/>
          <w:tab w:val="left" w:pos="2552"/>
        </w:tabs>
        <w:spacing w:after="0"/>
        <w:ind w:left="1701" w:hanging="992"/>
        <w:rPr>
          <w:i/>
          <w:color w:val="000000"/>
          <w:sz w:val="20"/>
          <w:szCs w:val="20"/>
        </w:rPr>
      </w:pPr>
      <w:r w:rsidRPr="00BF1355">
        <w:rPr>
          <w:i/>
          <w:color w:val="000000"/>
          <w:sz w:val="20"/>
          <w:szCs w:val="20"/>
        </w:rPr>
        <w:t>“25A. (5)</w:t>
      </w:r>
      <w:r w:rsidRPr="00BF1355">
        <w:rPr>
          <w:i/>
          <w:color w:val="000000"/>
          <w:sz w:val="20"/>
          <w:szCs w:val="20"/>
        </w:rPr>
        <w:tab/>
        <w:t>A person convicted of an offence under subsection (1) is liable on conviction on indictment to —</w:t>
      </w:r>
    </w:p>
    <w:p w14:paraId="56AD7DCB" w14:textId="77777777" w:rsidR="006247D7" w:rsidRPr="00BF1355" w:rsidRDefault="00255F22" w:rsidP="00255F22">
      <w:pPr>
        <w:pStyle w:val="FootnoteText"/>
        <w:tabs>
          <w:tab w:val="left" w:pos="1560"/>
        </w:tabs>
        <w:spacing w:after="0"/>
        <w:ind w:left="709" w:hanging="709"/>
        <w:rPr>
          <w:i/>
          <w:color w:val="000000"/>
          <w:sz w:val="20"/>
          <w:szCs w:val="20"/>
        </w:rPr>
      </w:pPr>
      <w:r>
        <w:rPr>
          <w:i/>
          <w:color w:val="000000"/>
          <w:sz w:val="20"/>
          <w:szCs w:val="20"/>
        </w:rPr>
        <w:tab/>
      </w:r>
      <w:r w:rsidR="006247D7" w:rsidRPr="00BF1355">
        <w:rPr>
          <w:i/>
          <w:color w:val="000000"/>
          <w:sz w:val="20"/>
          <w:szCs w:val="20"/>
        </w:rPr>
        <w:t>…</w:t>
      </w:r>
    </w:p>
    <w:p w14:paraId="58BFBBC5" w14:textId="77777777" w:rsidR="006247D7" w:rsidRPr="00BF1355" w:rsidRDefault="006247D7" w:rsidP="00255F22">
      <w:pPr>
        <w:pStyle w:val="FootnoteText"/>
        <w:tabs>
          <w:tab w:val="left" w:pos="709"/>
          <w:tab w:val="left" w:pos="1701"/>
          <w:tab w:val="left" w:pos="2127"/>
        </w:tabs>
        <w:ind w:left="1701" w:hanging="992"/>
        <w:rPr>
          <w:sz w:val="20"/>
          <w:szCs w:val="20"/>
        </w:rPr>
      </w:pPr>
      <w:r w:rsidRPr="00BF1355">
        <w:rPr>
          <w:i/>
          <w:color w:val="000000"/>
          <w:sz w:val="20"/>
          <w:szCs w:val="20"/>
        </w:rPr>
        <w:tab/>
      </w:r>
      <w:r w:rsidR="00783CE4" w:rsidRPr="00BF1355">
        <w:rPr>
          <w:i/>
          <w:color w:val="000000"/>
          <w:sz w:val="20"/>
          <w:szCs w:val="20"/>
        </w:rPr>
        <w:tab/>
      </w:r>
      <w:r w:rsidRPr="00BF1355">
        <w:rPr>
          <w:i/>
          <w:color w:val="000000"/>
          <w:sz w:val="20"/>
          <w:szCs w:val="20"/>
        </w:rPr>
        <w:t>(b)</w:t>
      </w:r>
      <w:r w:rsidRPr="00BF1355">
        <w:rPr>
          <w:i/>
          <w:color w:val="000000"/>
          <w:sz w:val="20"/>
          <w:szCs w:val="20"/>
        </w:rPr>
        <w:tab/>
      </w:r>
      <w:proofErr w:type="gramStart"/>
      <w:r w:rsidRPr="00BF1355">
        <w:rPr>
          <w:i/>
          <w:color w:val="000000"/>
          <w:sz w:val="20"/>
          <w:szCs w:val="20"/>
        </w:rPr>
        <w:t>if</w:t>
      </w:r>
      <w:proofErr w:type="gramEnd"/>
      <w:r w:rsidRPr="00BF1355">
        <w:rPr>
          <w:i/>
          <w:color w:val="000000"/>
          <w:sz w:val="20"/>
          <w:szCs w:val="20"/>
        </w:rPr>
        <w:t xml:space="preserve"> the victim suffers serious harm — imprisonment for 15 years.”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4B6C0B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AD66F2A"/>
    <w:lvl w:ilvl="0">
      <w:start w:val="1"/>
      <w:numFmt w:val="bullet"/>
      <w:pStyle w:val="ListBullet"/>
      <w:lvlText w:val=""/>
      <w:lvlJc w:val="left"/>
      <w:pPr>
        <w:tabs>
          <w:tab w:val="num" w:pos="1440"/>
        </w:tabs>
        <w:ind w:left="1440" w:hanging="720"/>
      </w:pPr>
      <w:rPr>
        <w:rFonts w:ascii="Symbol" w:hAnsi="Symbol" w:hint="default"/>
      </w:rPr>
    </w:lvl>
  </w:abstractNum>
  <w:abstractNum w:abstractNumId="2" w15:restartNumberingAfterBreak="0">
    <w:nsid w:val="004D38DB"/>
    <w:multiLevelType w:val="hybridMultilevel"/>
    <w:tmpl w:val="174E6412"/>
    <w:lvl w:ilvl="0" w:tplc="8BD872FE">
      <w:start w:val="1"/>
      <w:numFmt w:val="decimal"/>
      <w:pStyle w:val="Heading5"/>
      <w:lvlText w:val="(%1)"/>
      <w:lvlJc w:val="left"/>
      <w:pPr>
        <w:ind w:left="720" w:hanging="360"/>
      </w:pPr>
      <w:rPr>
        <w:rFonts w:hint="eastAsia"/>
        <w:b w:val="0"/>
        <w:i w:val="0"/>
        <w:caps w:val="0"/>
        <w:strike w:val="0"/>
        <w:dstrike w:val="0"/>
        <w:vanish w:val="0"/>
        <w:color w:val="00000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4278A5"/>
    <w:multiLevelType w:val="hybridMultilevel"/>
    <w:tmpl w:val="6F129EE0"/>
    <w:lvl w:ilvl="0" w:tplc="F2180EC2">
      <w:start w:val="1"/>
      <w:numFmt w:val="lowerLetter"/>
      <w:lvlText w:val="(%1)"/>
      <w:lvlJc w:val="left"/>
      <w:pPr>
        <w:ind w:left="2064" w:hanging="360"/>
      </w:pPr>
      <w:rPr>
        <w:rFonts w:hint="default"/>
      </w:rPr>
    </w:lvl>
    <w:lvl w:ilvl="1" w:tplc="04090019" w:tentative="1">
      <w:start w:val="1"/>
      <w:numFmt w:val="lowerLetter"/>
      <w:lvlText w:val="%2."/>
      <w:lvlJc w:val="left"/>
      <w:pPr>
        <w:ind w:left="2784" w:hanging="360"/>
      </w:pPr>
    </w:lvl>
    <w:lvl w:ilvl="2" w:tplc="0409001B" w:tentative="1">
      <w:start w:val="1"/>
      <w:numFmt w:val="lowerRoman"/>
      <w:lvlText w:val="%3."/>
      <w:lvlJc w:val="right"/>
      <w:pPr>
        <w:ind w:left="3504" w:hanging="180"/>
      </w:pPr>
    </w:lvl>
    <w:lvl w:ilvl="3" w:tplc="0409000F" w:tentative="1">
      <w:start w:val="1"/>
      <w:numFmt w:val="decimal"/>
      <w:lvlText w:val="%4."/>
      <w:lvlJc w:val="left"/>
      <w:pPr>
        <w:ind w:left="4224" w:hanging="360"/>
      </w:pPr>
    </w:lvl>
    <w:lvl w:ilvl="4" w:tplc="04090019" w:tentative="1">
      <w:start w:val="1"/>
      <w:numFmt w:val="lowerLetter"/>
      <w:lvlText w:val="%5."/>
      <w:lvlJc w:val="left"/>
      <w:pPr>
        <w:ind w:left="4944" w:hanging="360"/>
      </w:pPr>
    </w:lvl>
    <w:lvl w:ilvl="5" w:tplc="0409001B" w:tentative="1">
      <w:start w:val="1"/>
      <w:numFmt w:val="lowerRoman"/>
      <w:lvlText w:val="%6."/>
      <w:lvlJc w:val="right"/>
      <w:pPr>
        <w:ind w:left="5664" w:hanging="180"/>
      </w:pPr>
    </w:lvl>
    <w:lvl w:ilvl="6" w:tplc="0409000F" w:tentative="1">
      <w:start w:val="1"/>
      <w:numFmt w:val="decimal"/>
      <w:lvlText w:val="%7."/>
      <w:lvlJc w:val="left"/>
      <w:pPr>
        <w:ind w:left="6384" w:hanging="360"/>
      </w:pPr>
    </w:lvl>
    <w:lvl w:ilvl="7" w:tplc="04090019" w:tentative="1">
      <w:start w:val="1"/>
      <w:numFmt w:val="lowerLetter"/>
      <w:lvlText w:val="%8."/>
      <w:lvlJc w:val="left"/>
      <w:pPr>
        <w:ind w:left="7104" w:hanging="360"/>
      </w:pPr>
    </w:lvl>
    <w:lvl w:ilvl="8" w:tplc="0409001B" w:tentative="1">
      <w:start w:val="1"/>
      <w:numFmt w:val="lowerRoman"/>
      <w:lvlText w:val="%9."/>
      <w:lvlJc w:val="right"/>
      <w:pPr>
        <w:ind w:left="7824" w:hanging="180"/>
      </w:pPr>
    </w:lvl>
  </w:abstractNum>
  <w:abstractNum w:abstractNumId="4" w15:restartNumberingAfterBreak="0">
    <w:nsid w:val="01EB49DB"/>
    <w:multiLevelType w:val="hybridMultilevel"/>
    <w:tmpl w:val="37868ABC"/>
    <w:lvl w:ilvl="0" w:tplc="EA741608">
      <w:start w:val="1"/>
      <w:numFmt w:val="lowerLetter"/>
      <w:lvlText w:val="(%1)"/>
      <w:lvlJc w:val="left"/>
      <w:pPr>
        <w:ind w:left="1070" w:hanging="710"/>
      </w:pPr>
      <w:rPr>
        <w:rFonts w:ascii="Arial" w:eastAsia="Arial"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FB617D"/>
    <w:multiLevelType w:val="hybridMultilevel"/>
    <w:tmpl w:val="08F4F61A"/>
    <w:lvl w:ilvl="0" w:tplc="D752F21E">
      <w:start w:val="1"/>
      <w:numFmt w:val="lowerLetter"/>
      <w:lvlText w:val="(%1)"/>
      <w:lvlJc w:val="left"/>
      <w:pPr>
        <w:ind w:left="1080" w:hanging="360"/>
      </w:pPr>
      <w:rPr>
        <w:rFonts w:hint="default"/>
        <w:b w:val="0"/>
        <w:i/>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463BA5"/>
    <w:multiLevelType w:val="hybridMultilevel"/>
    <w:tmpl w:val="853A8876"/>
    <w:lvl w:ilvl="0" w:tplc="F65CAC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C611FF"/>
    <w:multiLevelType w:val="hybridMultilevel"/>
    <w:tmpl w:val="82962A5C"/>
    <w:lvl w:ilvl="0" w:tplc="487051FC">
      <w:start w:val="1"/>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8" w15:restartNumberingAfterBreak="0">
    <w:nsid w:val="266D686A"/>
    <w:multiLevelType w:val="hybridMultilevel"/>
    <w:tmpl w:val="7CE875C6"/>
    <w:lvl w:ilvl="0" w:tplc="9FE0CEA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477BCC"/>
    <w:multiLevelType w:val="hybridMultilevel"/>
    <w:tmpl w:val="5A8295A2"/>
    <w:lvl w:ilvl="0" w:tplc="FCF6EF60">
      <w:start w:val="1"/>
      <w:numFmt w:val="lowerLetter"/>
      <w:lvlText w:val="(%1)"/>
      <w:lvlJc w:val="left"/>
      <w:pPr>
        <w:ind w:left="1636" w:hanging="360"/>
      </w:pPr>
      <w:rPr>
        <w:rFonts w:hint="default"/>
        <w:i/>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15:restartNumberingAfterBreak="0">
    <w:nsid w:val="2FC1343D"/>
    <w:multiLevelType w:val="hybridMultilevel"/>
    <w:tmpl w:val="61964F30"/>
    <w:lvl w:ilvl="0" w:tplc="9E7C8ED0">
      <w:start w:val="1"/>
      <w:numFmt w:val="lowerLetter"/>
      <w:lvlText w:val="(%1)"/>
      <w:lvlJc w:val="left"/>
      <w:pPr>
        <w:ind w:left="1117" w:hanging="408"/>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30C36A49"/>
    <w:multiLevelType w:val="hybridMultilevel"/>
    <w:tmpl w:val="AC2A5B8C"/>
    <w:lvl w:ilvl="0" w:tplc="2DB03F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DE7CDE"/>
    <w:multiLevelType w:val="hybridMultilevel"/>
    <w:tmpl w:val="D438FB72"/>
    <w:lvl w:ilvl="0" w:tplc="B00E9F5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927C52"/>
    <w:multiLevelType w:val="hybridMultilevel"/>
    <w:tmpl w:val="6DF03200"/>
    <w:lvl w:ilvl="0" w:tplc="B29A3928">
      <w:start w:val="2"/>
      <w:numFmt w:val="bullet"/>
      <w:lvlText w:val="-"/>
      <w:lvlJc w:val="left"/>
      <w:pPr>
        <w:ind w:left="480" w:hanging="480"/>
      </w:pPr>
      <w:rPr>
        <w:rFonts w:ascii="Times New Roman" w:eastAsia="新細明體" w:hAnsi="Times New Roman" w:cs="Times New Roman" w:hint="default"/>
        <w:b w:val="0"/>
        <w:i w:val="0"/>
        <w:u w:val="none"/>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22748DD"/>
    <w:multiLevelType w:val="hybridMultilevel"/>
    <w:tmpl w:val="B9C07796"/>
    <w:lvl w:ilvl="0" w:tplc="16041E3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7F5DA2"/>
    <w:multiLevelType w:val="hybridMultilevel"/>
    <w:tmpl w:val="C7F6C2C0"/>
    <w:lvl w:ilvl="0" w:tplc="771CE7D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385BBC"/>
    <w:multiLevelType w:val="singleLevel"/>
    <w:tmpl w:val="F4A2B454"/>
    <w:lvl w:ilvl="0">
      <w:start w:val="1"/>
      <w:numFmt w:val="decimal"/>
      <w:pStyle w:val="a"/>
      <w:lvlText w:val="“(%1)"/>
      <w:lvlJc w:val="left"/>
      <w:pPr>
        <w:tabs>
          <w:tab w:val="num" w:pos="1644"/>
        </w:tabs>
        <w:ind w:left="1644" w:hanging="805"/>
      </w:pPr>
      <w:rPr>
        <w:rFonts w:ascii="Times New Roman" w:hAnsi="Times New Roman" w:hint="default"/>
        <w:b/>
        <w:i w:val="0"/>
        <w:spacing w:val="0"/>
        <w:sz w:val="22"/>
      </w:rPr>
    </w:lvl>
  </w:abstractNum>
  <w:abstractNum w:abstractNumId="17" w15:restartNumberingAfterBreak="0">
    <w:nsid w:val="39E53D2D"/>
    <w:multiLevelType w:val="hybridMultilevel"/>
    <w:tmpl w:val="3842917E"/>
    <w:lvl w:ilvl="0" w:tplc="839A4B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5F7B9D"/>
    <w:multiLevelType w:val="hybridMultilevel"/>
    <w:tmpl w:val="FC52907E"/>
    <w:lvl w:ilvl="0" w:tplc="8AD2466C">
      <w:start w:val="1"/>
      <w:numFmt w:val="lowerLetter"/>
      <w:lvlText w:val="(%1)"/>
      <w:lvlJc w:val="left"/>
      <w:pPr>
        <w:ind w:left="2009" w:hanging="732"/>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9" w15:restartNumberingAfterBreak="0">
    <w:nsid w:val="3EB42DAD"/>
    <w:multiLevelType w:val="hybridMultilevel"/>
    <w:tmpl w:val="A81841D6"/>
    <w:lvl w:ilvl="0" w:tplc="6802AAE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6F1157"/>
    <w:multiLevelType w:val="singleLevel"/>
    <w:tmpl w:val="9214A48E"/>
    <w:lvl w:ilvl="0">
      <w:start w:val="1"/>
      <w:numFmt w:val="decimal"/>
      <w:pStyle w:val="List"/>
      <w:lvlText w:val="%1."/>
      <w:lvlJc w:val="left"/>
      <w:pPr>
        <w:tabs>
          <w:tab w:val="num" w:pos="1440"/>
        </w:tabs>
        <w:ind w:left="1440" w:hanging="720"/>
      </w:pPr>
      <w:rPr>
        <w:rFonts w:ascii="Arial" w:hAnsi="Arial" w:hint="default"/>
        <w:sz w:val="24"/>
      </w:rPr>
    </w:lvl>
  </w:abstractNum>
  <w:abstractNum w:abstractNumId="21" w15:restartNumberingAfterBreak="0">
    <w:nsid w:val="4485667B"/>
    <w:multiLevelType w:val="hybridMultilevel"/>
    <w:tmpl w:val="237835CA"/>
    <w:lvl w:ilvl="0" w:tplc="470C2EB4">
      <w:start w:val="1"/>
      <w:numFmt w:val="lowerLetter"/>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2F7CF1"/>
    <w:multiLevelType w:val="hybridMultilevel"/>
    <w:tmpl w:val="CBEE1BC2"/>
    <w:lvl w:ilvl="0" w:tplc="7D7ECB82">
      <w:start w:val="1"/>
      <w:numFmt w:val="lowerLetter"/>
      <w:lvlText w:val="(%1)"/>
      <w:lvlJc w:val="left"/>
      <w:pPr>
        <w:ind w:left="1070" w:hanging="7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04054E"/>
    <w:multiLevelType w:val="hybridMultilevel"/>
    <w:tmpl w:val="893E944A"/>
    <w:lvl w:ilvl="0" w:tplc="844839BE">
      <w:start w:val="1"/>
      <w:numFmt w:val="lowerLetter"/>
      <w:lvlText w:val="(%1)"/>
      <w:lvlJc w:val="left"/>
      <w:pPr>
        <w:ind w:left="2520" w:hanging="360"/>
      </w:pPr>
      <w:rPr>
        <w:rFonts w:hint="default"/>
        <w:i/>
        <w:color w:val="000000"/>
        <w:sz w:val="2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3A53198"/>
    <w:multiLevelType w:val="hybridMultilevel"/>
    <w:tmpl w:val="92B25442"/>
    <w:lvl w:ilvl="0" w:tplc="0FDE26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4C2551"/>
    <w:multiLevelType w:val="hybridMultilevel"/>
    <w:tmpl w:val="F86CE108"/>
    <w:lvl w:ilvl="0" w:tplc="DDA0FD3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9974E2"/>
    <w:multiLevelType w:val="hybridMultilevel"/>
    <w:tmpl w:val="1A466B8E"/>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6A7813"/>
    <w:multiLevelType w:val="hybridMultilevel"/>
    <w:tmpl w:val="1CA8DE96"/>
    <w:lvl w:ilvl="0" w:tplc="3B98CA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DB4907"/>
    <w:multiLevelType w:val="hybridMultilevel"/>
    <w:tmpl w:val="7C4E61C4"/>
    <w:lvl w:ilvl="0" w:tplc="EF74FEFA">
      <w:start w:val="1"/>
      <w:numFmt w:val="lowerLetter"/>
      <w:lvlText w:val="(%1)"/>
      <w:lvlJc w:val="left"/>
      <w:pPr>
        <w:ind w:left="1273" w:hanging="564"/>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633B1D92"/>
    <w:multiLevelType w:val="hybridMultilevel"/>
    <w:tmpl w:val="097417A8"/>
    <w:lvl w:ilvl="0" w:tplc="CA76B21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F95C5D"/>
    <w:multiLevelType w:val="hybridMultilevel"/>
    <w:tmpl w:val="168AF564"/>
    <w:lvl w:ilvl="0" w:tplc="366EA074">
      <w:start w:val="1"/>
      <w:numFmt w:val="lowerLetter"/>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E526F8"/>
    <w:multiLevelType w:val="hybridMultilevel"/>
    <w:tmpl w:val="A62670A2"/>
    <w:lvl w:ilvl="0" w:tplc="C146239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DA725E"/>
    <w:multiLevelType w:val="hybridMultilevel"/>
    <w:tmpl w:val="FCF631D8"/>
    <w:lvl w:ilvl="0" w:tplc="9A10C9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87502E"/>
    <w:multiLevelType w:val="hybridMultilevel"/>
    <w:tmpl w:val="F28C9766"/>
    <w:lvl w:ilvl="0" w:tplc="BE6607EE">
      <w:start w:val="1"/>
      <w:numFmt w:val="lowerLetter"/>
      <w:lvlText w:val="(%1)"/>
      <w:lvlJc w:val="left"/>
      <w:pPr>
        <w:ind w:left="720" w:hanging="360"/>
      </w:pPr>
      <w:rPr>
        <w:rFonts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C04ADB"/>
    <w:multiLevelType w:val="hybridMultilevel"/>
    <w:tmpl w:val="3FC8271A"/>
    <w:lvl w:ilvl="0" w:tplc="9D52FB50">
      <w:start w:val="1"/>
      <w:numFmt w:val="lowerLetter"/>
      <w:lvlText w:val="(%1)"/>
      <w:lvlJc w:val="left"/>
      <w:pPr>
        <w:ind w:left="1080" w:hanging="360"/>
      </w:pPr>
      <w:rPr>
        <w:rFonts w:ascii="Arial" w:eastAsia="新細明體"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C593164"/>
    <w:multiLevelType w:val="hybridMultilevel"/>
    <w:tmpl w:val="A65A4944"/>
    <w:lvl w:ilvl="0" w:tplc="94EA768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
  </w:num>
  <w:num w:numId="3">
    <w:abstractNumId w:val="2"/>
  </w:num>
  <w:num w:numId="4">
    <w:abstractNumId w:val="16"/>
  </w:num>
  <w:num w:numId="5">
    <w:abstractNumId w:val="13"/>
  </w:num>
  <w:num w:numId="6">
    <w:abstractNumId w:val="4"/>
  </w:num>
  <w:num w:numId="7">
    <w:abstractNumId w:val="22"/>
  </w:num>
  <w:num w:numId="8">
    <w:abstractNumId w:val="19"/>
  </w:num>
  <w:num w:numId="9">
    <w:abstractNumId w:val="8"/>
  </w:num>
  <w:num w:numId="10">
    <w:abstractNumId w:val="15"/>
  </w:num>
  <w:num w:numId="11">
    <w:abstractNumId w:val="31"/>
  </w:num>
  <w:num w:numId="12">
    <w:abstractNumId w:val="24"/>
  </w:num>
  <w:num w:numId="13">
    <w:abstractNumId w:val="25"/>
  </w:num>
  <w:num w:numId="14">
    <w:abstractNumId w:val="35"/>
  </w:num>
  <w:num w:numId="15">
    <w:abstractNumId w:val="30"/>
  </w:num>
  <w:num w:numId="16">
    <w:abstractNumId w:val="33"/>
  </w:num>
  <w:num w:numId="17">
    <w:abstractNumId w:val="28"/>
  </w:num>
  <w:num w:numId="18">
    <w:abstractNumId w:val="14"/>
  </w:num>
  <w:num w:numId="19">
    <w:abstractNumId w:val="11"/>
  </w:num>
  <w:num w:numId="20">
    <w:abstractNumId w:val="29"/>
  </w:num>
  <w:num w:numId="21">
    <w:abstractNumId w:val="34"/>
  </w:num>
  <w:num w:numId="22">
    <w:abstractNumId w:val="17"/>
  </w:num>
  <w:num w:numId="23">
    <w:abstractNumId w:val="10"/>
  </w:num>
  <w:num w:numId="24">
    <w:abstractNumId w:val="21"/>
  </w:num>
  <w:num w:numId="25">
    <w:abstractNumId w:val="27"/>
  </w:num>
  <w:num w:numId="26">
    <w:abstractNumId w:val="6"/>
  </w:num>
  <w:num w:numId="27">
    <w:abstractNumId w:val="12"/>
  </w:num>
  <w:num w:numId="28">
    <w:abstractNumId w:val="7"/>
  </w:num>
  <w:num w:numId="29">
    <w:abstractNumId w:val="26"/>
  </w:num>
  <w:num w:numId="30">
    <w:abstractNumId w:val="32"/>
  </w:num>
  <w:num w:numId="31">
    <w:abstractNumId w:val="18"/>
  </w:num>
  <w:num w:numId="32">
    <w:abstractNumId w:val="0"/>
  </w:num>
  <w:num w:numId="33">
    <w:abstractNumId w:val="23"/>
  </w:num>
  <w:num w:numId="34">
    <w:abstractNumId w:val="9"/>
  </w:num>
  <w:num w:numId="35">
    <w:abstractNumId w:val="3"/>
  </w:num>
  <w:num w:numId="36">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attachedTemplate r:id="rId1"/>
  <w:defaultTabStop w:val="720"/>
  <w:drawingGridHorizontalSpacing w:val="120"/>
  <w:displayHorizontalDrawingGridEvery w:val="0"/>
  <w:displayVerticalDrawingGridEvery w:val="2"/>
  <w:characterSpacingControl w:val="compressPunctuation"/>
  <w:hdrShapeDefaults>
    <o:shapedefaults v:ext="edit" spidmax="278529">
      <o:colormenu v:ext="edit" fillcolor="none [3212]"/>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DB4E99E-35F7-4A05-BC1E-FAC63ED4A035}"/>
    <w:docVar w:name="dgnword-eventsink" w:val="311031560"/>
  </w:docVars>
  <w:rsids>
    <w:rsidRoot w:val="00EC28E7"/>
    <w:rsid w:val="00001427"/>
    <w:rsid w:val="0000160F"/>
    <w:rsid w:val="000018AD"/>
    <w:rsid w:val="00004AA6"/>
    <w:rsid w:val="00005F29"/>
    <w:rsid w:val="00007ECE"/>
    <w:rsid w:val="000103FB"/>
    <w:rsid w:val="00010823"/>
    <w:rsid w:val="0002154E"/>
    <w:rsid w:val="000236CB"/>
    <w:rsid w:val="00023F6D"/>
    <w:rsid w:val="00025518"/>
    <w:rsid w:val="00025B05"/>
    <w:rsid w:val="00026B25"/>
    <w:rsid w:val="00031420"/>
    <w:rsid w:val="00032428"/>
    <w:rsid w:val="000327AC"/>
    <w:rsid w:val="00033265"/>
    <w:rsid w:val="00035127"/>
    <w:rsid w:val="000354B1"/>
    <w:rsid w:val="00036F44"/>
    <w:rsid w:val="0003798D"/>
    <w:rsid w:val="0004017B"/>
    <w:rsid w:val="00042183"/>
    <w:rsid w:val="0004226C"/>
    <w:rsid w:val="00042B8E"/>
    <w:rsid w:val="000445D4"/>
    <w:rsid w:val="00044AF6"/>
    <w:rsid w:val="000454A7"/>
    <w:rsid w:val="0004695F"/>
    <w:rsid w:val="00047F38"/>
    <w:rsid w:val="000517AA"/>
    <w:rsid w:val="00053BFC"/>
    <w:rsid w:val="00054AA6"/>
    <w:rsid w:val="00056F13"/>
    <w:rsid w:val="0005778D"/>
    <w:rsid w:val="00057D2D"/>
    <w:rsid w:val="00057E40"/>
    <w:rsid w:val="000604C9"/>
    <w:rsid w:val="00060A3A"/>
    <w:rsid w:val="00062665"/>
    <w:rsid w:val="000635A3"/>
    <w:rsid w:val="00065D63"/>
    <w:rsid w:val="00066D12"/>
    <w:rsid w:val="00067F2C"/>
    <w:rsid w:val="00072FA4"/>
    <w:rsid w:val="00075460"/>
    <w:rsid w:val="00077B8B"/>
    <w:rsid w:val="0008081A"/>
    <w:rsid w:val="00081454"/>
    <w:rsid w:val="00083706"/>
    <w:rsid w:val="000845C7"/>
    <w:rsid w:val="00085C8A"/>
    <w:rsid w:val="00086FF5"/>
    <w:rsid w:val="00091035"/>
    <w:rsid w:val="000921D3"/>
    <w:rsid w:val="000938D6"/>
    <w:rsid w:val="00094699"/>
    <w:rsid w:val="00095E87"/>
    <w:rsid w:val="00096369"/>
    <w:rsid w:val="000970D8"/>
    <w:rsid w:val="0009769A"/>
    <w:rsid w:val="00097C6C"/>
    <w:rsid w:val="000A0F0A"/>
    <w:rsid w:val="000A2A65"/>
    <w:rsid w:val="000A3030"/>
    <w:rsid w:val="000A3659"/>
    <w:rsid w:val="000A45E5"/>
    <w:rsid w:val="000B0C65"/>
    <w:rsid w:val="000B1122"/>
    <w:rsid w:val="000B3FE2"/>
    <w:rsid w:val="000B612A"/>
    <w:rsid w:val="000B63A3"/>
    <w:rsid w:val="000C13C8"/>
    <w:rsid w:val="000C2C56"/>
    <w:rsid w:val="000C6BD7"/>
    <w:rsid w:val="000C73C8"/>
    <w:rsid w:val="000C75F8"/>
    <w:rsid w:val="000C7C57"/>
    <w:rsid w:val="000D183F"/>
    <w:rsid w:val="000D1FDE"/>
    <w:rsid w:val="000D2CCF"/>
    <w:rsid w:val="000D370B"/>
    <w:rsid w:val="000D4A16"/>
    <w:rsid w:val="000D56C1"/>
    <w:rsid w:val="000D5E96"/>
    <w:rsid w:val="000E0260"/>
    <w:rsid w:val="000E0A40"/>
    <w:rsid w:val="000E104C"/>
    <w:rsid w:val="000E155D"/>
    <w:rsid w:val="000E1C1E"/>
    <w:rsid w:val="000E1E7F"/>
    <w:rsid w:val="000E22C1"/>
    <w:rsid w:val="000E34F2"/>
    <w:rsid w:val="000E3DA3"/>
    <w:rsid w:val="000E48A7"/>
    <w:rsid w:val="000E544D"/>
    <w:rsid w:val="000E73BC"/>
    <w:rsid w:val="000F1714"/>
    <w:rsid w:val="000F243F"/>
    <w:rsid w:val="000F2EBA"/>
    <w:rsid w:val="000F3132"/>
    <w:rsid w:val="000F38AC"/>
    <w:rsid w:val="000F4FF1"/>
    <w:rsid w:val="000F5057"/>
    <w:rsid w:val="000F7C4E"/>
    <w:rsid w:val="00102475"/>
    <w:rsid w:val="00102EFC"/>
    <w:rsid w:val="00103A3D"/>
    <w:rsid w:val="00104BD2"/>
    <w:rsid w:val="001052CE"/>
    <w:rsid w:val="0010610F"/>
    <w:rsid w:val="0010614A"/>
    <w:rsid w:val="00106212"/>
    <w:rsid w:val="0010643E"/>
    <w:rsid w:val="001064C2"/>
    <w:rsid w:val="001066BB"/>
    <w:rsid w:val="001070A4"/>
    <w:rsid w:val="00112E04"/>
    <w:rsid w:val="00114800"/>
    <w:rsid w:val="0012099F"/>
    <w:rsid w:val="00122A20"/>
    <w:rsid w:val="0012401C"/>
    <w:rsid w:val="00124320"/>
    <w:rsid w:val="00125CAB"/>
    <w:rsid w:val="00126C9C"/>
    <w:rsid w:val="00132C7C"/>
    <w:rsid w:val="00133DAB"/>
    <w:rsid w:val="001342A7"/>
    <w:rsid w:val="0013473B"/>
    <w:rsid w:val="001366DF"/>
    <w:rsid w:val="00136CD4"/>
    <w:rsid w:val="0014038B"/>
    <w:rsid w:val="00142C77"/>
    <w:rsid w:val="0014374F"/>
    <w:rsid w:val="0014468C"/>
    <w:rsid w:val="00144837"/>
    <w:rsid w:val="00147EC0"/>
    <w:rsid w:val="001518FA"/>
    <w:rsid w:val="001532D3"/>
    <w:rsid w:val="00153AAD"/>
    <w:rsid w:val="00154DD7"/>
    <w:rsid w:val="00155602"/>
    <w:rsid w:val="00162B0C"/>
    <w:rsid w:val="00163684"/>
    <w:rsid w:val="00164E49"/>
    <w:rsid w:val="00170021"/>
    <w:rsid w:val="001731EB"/>
    <w:rsid w:val="00174348"/>
    <w:rsid w:val="00176F99"/>
    <w:rsid w:val="00176FB1"/>
    <w:rsid w:val="001775D5"/>
    <w:rsid w:val="001800BD"/>
    <w:rsid w:val="00180471"/>
    <w:rsid w:val="00180A60"/>
    <w:rsid w:val="00180AED"/>
    <w:rsid w:val="0018320A"/>
    <w:rsid w:val="00185053"/>
    <w:rsid w:val="00186730"/>
    <w:rsid w:val="00186831"/>
    <w:rsid w:val="00191688"/>
    <w:rsid w:val="00191BB2"/>
    <w:rsid w:val="00192FED"/>
    <w:rsid w:val="001934C5"/>
    <w:rsid w:val="001937BD"/>
    <w:rsid w:val="00195B07"/>
    <w:rsid w:val="001A06D0"/>
    <w:rsid w:val="001A2AAA"/>
    <w:rsid w:val="001A3FAD"/>
    <w:rsid w:val="001A56E4"/>
    <w:rsid w:val="001A5883"/>
    <w:rsid w:val="001A61BB"/>
    <w:rsid w:val="001A7C8D"/>
    <w:rsid w:val="001A7FCD"/>
    <w:rsid w:val="001B06A2"/>
    <w:rsid w:val="001B18FB"/>
    <w:rsid w:val="001B2D52"/>
    <w:rsid w:val="001B5420"/>
    <w:rsid w:val="001B6889"/>
    <w:rsid w:val="001B79E3"/>
    <w:rsid w:val="001C09BA"/>
    <w:rsid w:val="001C3553"/>
    <w:rsid w:val="001C4672"/>
    <w:rsid w:val="001C58A8"/>
    <w:rsid w:val="001C6A74"/>
    <w:rsid w:val="001D0D76"/>
    <w:rsid w:val="001D0FF9"/>
    <w:rsid w:val="001D24FD"/>
    <w:rsid w:val="001D47F9"/>
    <w:rsid w:val="001D485C"/>
    <w:rsid w:val="001D6176"/>
    <w:rsid w:val="001D660B"/>
    <w:rsid w:val="001D7122"/>
    <w:rsid w:val="001E101A"/>
    <w:rsid w:val="001E1D21"/>
    <w:rsid w:val="001E260A"/>
    <w:rsid w:val="001E4060"/>
    <w:rsid w:val="001E6EB2"/>
    <w:rsid w:val="001E6FF0"/>
    <w:rsid w:val="001E7440"/>
    <w:rsid w:val="001E78FC"/>
    <w:rsid w:val="001E7C0F"/>
    <w:rsid w:val="001F3FEE"/>
    <w:rsid w:val="001F4022"/>
    <w:rsid w:val="001F5269"/>
    <w:rsid w:val="001F601F"/>
    <w:rsid w:val="00201916"/>
    <w:rsid w:val="00201F93"/>
    <w:rsid w:val="00202346"/>
    <w:rsid w:val="00203E8C"/>
    <w:rsid w:val="002048B7"/>
    <w:rsid w:val="00205A3F"/>
    <w:rsid w:val="00207E96"/>
    <w:rsid w:val="0021059E"/>
    <w:rsid w:val="00211CDE"/>
    <w:rsid w:val="0021223C"/>
    <w:rsid w:val="002127B5"/>
    <w:rsid w:val="00212AA9"/>
    <w:rsid w:val="00212C19"/>
    <w:rsid w:val="00214E58"/>
    <w:rsid w:val="002156DC"/>
    <w:rsid w:val="002166D0"/>
    <w:rsid w:val="00220A55"/>
    <w:rsid w:val="002260A6"/>
    <w:rsid w:val="00231C61"/>
    <w:rsid w:val="00232369"/>
    <w:rsid w:val="0023314F"/>
    <w:rsid w:val="0023324B"/>
    <w:rsid w:val="0023494C"/>
    <w:rsid w:val="00235B46"/>
    <w:rsid w:val="00236942"/>
    <w:rsid w:val="00236A12"/>
    <w:rsid w:val="00237537"/>
    <w:rsid w:val="0024192A"/>
    <w:rsid w:val="00243F1F"/>
    <w:rsid w:val="0024620D"/>
    <w:rsid w:val="00251BBF"/>
    <w:rsid w:val="002532AD"/>
    <w:rsid w:val="00255F22"/>
    <w:rsid w:val="002574CD"/>
    <w:rsid w:val="002579C9"/>
    <w:rsid w:val="00257ED6"/>
    <w:rsid w:val="00262809"/>
    <w:rsid w:val="00262850"/>
    <w:rsid w:val="00263F7F"/>
    <w:rsid w:val="00265658"/>
    <w:rsid w:val="00272DBD"/>
    <w:rsid w:val="00273767"/>
    <w:rsid w:val="00273FCC"/>
    <w:rsid w:val="00275453"/>
    <w:rsid w:val="002760D4"/>
    <w:rsid w:val="00276BC8"/>
    <w:rsid w:val="002775BB"/>
    <w:rsid w:val="002800F0"/>
    <w:rsid w:val="0028142E"/>
    <w:rsid w:val="00284C0C"/>
    <w:rsid w:val="00284E5F"/>
    <w:rsid w:val="00285CB8"/>
    <w:rsid w:val="00285FF0"/>
    <w:rsid w:val="002862F2"/>
    <w:rsid w:val="00286C7C"/>
    <w:rsid w:val="002905ED"/>
    <w:rsid w:val="002922BE"/>
    <w:rsid w:val="0029315B"/>
    <w:rsid w:val="00293D28"/>
    <w:rsid w:val="0029597C"/>
    <w:rsid w:val="00296174"/>
    <w:rsid w:val="00297CBA"/>
    <w:rsid w:val="002A0B8C"/>
    <w:rsid w:val="002A2506"/>
    <w:rsid w:val="002A2952"/>
    <w:rsid w:val="002A57F5"/>
    <w:rsid w:val="002A6339"/>
    <w:rsid w:val="002A68AC"/>
    <w:rsid w:val="002B0394"/>
    <w:rsid w:val="002B3A3C"/>
    <w:rsid w:val="002B4E70"/>
    <w:rsid w:val="002B51F4"/>
    <w:rsid w:val="002B5AD4"/>
    <w:rsid w:val="002B6200"/>
    <w:rsid w:val="002C42FC"/>
    <w:rsid w:val="002C5255"/>
    <w:rsid w:val="002C5337"/>
    <w:rsid w:val="002C6ABA"/>
    <w:rsid w:val="002C758D"/>
    <w:rsid w:val="002C7E39"/>
    <w:rsid w:val="002D042C"/>
    <w:rsid w:val="002D178B"/>
    <w:rsid w:val="002D263C"/>
    <w:rsid w:val="002D5A41"/>
    <w:rsid w:val="002D7408"/>
    <w:rsid w:val="002D7880"/>
    <w:rsid w:val="002D7E2E"/>
    <w:rsid w:val="002E0D29"/>
    <w:rsid w:val="002E4B43"/>
    <w:rsid w:val="002E5D25"/>
    <w:rsid w:val="002F0EDE"/>
    <w:rsid w:val="002F1030"/>
    <w:rsid w:val="002F415B"/>
    <w:rsid w:val="002F4DB0"/>
    <w:rsid w:val="002F5FAB"/>
    <w:rsid w:val="002F73A2"/>
    <w:rsid w:val="0030164A"/>
    <w:rsid w:val="00301831"/>
    <w:rsid w:val="003029C1"/>
    <w:rsid w:val="003043A3"/>
    <w:rsid w:val="00310410"/>
    <w:rsid w:val="00310E50"/>
    <w:rsid w:val="00313865"/>
    <w:rsid w:val="00313ED2"/>
    <w:rsid w:val="00315908"/>
    <w:rsid w:val="003176D1"/>
    <w:rsid w:val="00317D23"/>
    <w:rsid w:val="00320609"/>
    <w:rsid w:val="00323BA1"/>
    <w:rsid w:val="00323FAA"/>
    <w:rsid w:val="00325381"/>
    <w:rsid w:val="00330B5C"/>
    <w:rsid w:val="00330C29"/>
    <w:rsid w:val="0033108F"/>
    <w:rsid w:val="0033347A"/>
    <w:rsid w:val="0033366E"/>
    <w:rsid w:val="003347D4"/>
    <w:rsid w:val="00334BF9"/>
    <w:rsid w:val="003371A8"/>
    <w:rsid w:val="00341981"/>
    <w:rsid w:val="00341A0D"/>
    <w:rsid w:val="00341FAC"/>
    <w:rsid w:val="00343A4F"/>
    <w:rsid w:val="00343E2C"/>
    <w:rsid w:val="00343E46"/>
    <w:rsid w:val="00345244"/>
    <w:rsid w:val="00346A3A"/>
    <w:rsid w:val="00346CA0"/>
    <w:rsid w:val="00353E30"/>
    <w:rsid w:val="00353EFC"/>
    <w:rsid w:val="0035448B"/>
    <w:rsid w:val="003547A7"/>
    <w:rsid w:val="00355340"/>
    <w:rsid w:val="00356066"/>
    <w:rsid w:val="00356DF8"/>
    <w:rsid w:val="003611C8"/>
    <w:rsid w:val="00367D10"/>
    <w:rsid w:val="00367F25"/>
    <w:rsid w:val="0037619F"/>
    <w:rsid w:val="003764BE"/>
    <w:rsid w:val="00376E06"/>
    <w:rsid w:val="00380064"/>
    <w:rsid w:val="00382F9F"/>
    <w:rsid w:val="00387A71"/>
    <w:rsid w:val="003909EC"/>
    <w:rsid w:val="0039485A"/>
    <w:rsid w:val="00394BB0"/>
    <w:rsid w:val="00394EA4"/>
    <w:rsid w:val="003962BA"/>
    <w:rsid w:val="003A0BDA"/>
    <w:rsid w:val="003A0E9A"/>
    <w:rsid w:val="003A0EA8"/>
    <w:rsid w:val="003A2076"/>
    <w:rsid w:val="003A4673"/>
    <w:rsid w:val="003A5527"/>
    <w:rsid w:val="003A591C"/>
    <w:rsid w:val="003A5B20"/>
    <w:rsid w:val="003A671E"/>
    <w:rsid w:val="003A7972"/>
    <w:rsid w:val="003B12FD"/>
    <w:rsid w:val="003B4CD1"/>
    <w:rsid w:val="003B5BF1"/>
    <w:rsid w:val="003C3639"/>
    <w:rsid w:val="003C596D"/>
    <w:rsid w:val="003C77E0"/>
    <w:rsid w:val="003C7BA0"/>
    <w:rsid w:val="003D0D82"/>
    <w:rsid w:val="003D146E"/>
    <w:rsid w:val="003D1791"/>
    <w:rsid w:val="003D24E2"/>
    <w:rsid w:val="003D291F"/>
    <w:rsid w:val="003D45DC"/>
    <w:rsid w:val="003D5CEF"/>
    <w:rsid w:val="003D6523"/>
    <w:rsid w:val="003D72AE"/>
    <w:rsid w:val="003E0B77"/>
    <w:rsid w:val="003E1DBD"/>
    <w:rsid w:val="003E1F09"/>
    <w:rsid w:val="003E31A8"/>
    <w:rsid w:val="003E4678"/>
    <w:rsid w:val="003F060D"/>
    <w:rsid w:val="003F0A03"/>
    <w:rsid w:val="003F580E"/>
    <w:rsid w:val="003F5A5B"/>
    <w:rsid w:val="00403373"/>
    <w:rsid w:val="00403D4C"/>
    <w:rsid w:val="00407501"/>
    <w:rsid w:val="00407B1F"/>
    <w:rsid w:val="00411EA1"/>
    <w:rsid w:val="00412FD7"/>
    <w:rsid w:val="00414587"/>
    <w:rsid w:val="00414FF1"/>
    <w:rsid w:val="004158A8"/>
    <w:rsid w:val="00416218"/>
    <w:rsid w:val="00422064"/>
    <w:rsid w:val="0042542D"/>
    <w:rsid w:val="00433D44"/>
    <w:rsid w:val="004343CC"/>
    <w:rsid w:val="00434594"/>
    <w:rsid w:val="004348B4"/>
    <w:rsid w:val="004376C9"/>
    <w:rsid w:val="00437E0D"/>
    <w:rsid w:val="0044064D"/>
    <w:rsid w:val="00440FFF"/>
    <w:rsid w:val="00441149"/>
    <w:rsid w:val="0044225F"/>
    <w:rsid w:val="004424FA"/>
    <w:rsid w:val="0044374E"/>
    <w:rsid w:val="00445BCA"/>
    <w:rsid w:val="0044729B"/>
    <w:rsid w:val="00450E0E"/>
    <w:rsid w:val="004518E9"/>
    <w:rsid w:val="00451F43"/>
    <w:rsid w:val="00452787"/>
    <w:rsid w:val="0045517E"/>
    <w:rsid w:val="00455A9F"/>
    <w:rsid w:val="00456611"/>
    <w:rsid w:val="0045795A"/>
    <w:rsid w:val="00460069"/>
    <w:rsid w:val="00460D6F"/>
    <w:rsid w:val="0046127D"/>
    <w:rsid w:val="00461839"/>
    <w:rsid w:val="0046191F"/>
    <w:rsid w:val="00466C65"/>
    <w:rsid w:val="00467118"/>
    <w:rsid w:val="0047004E"/>
    <w:rsid w:val="00471556"/>
    <w:rsid w:val="00474797"/>
    <w:rsid w:val="00475AB0"/>
    <w:rsid w:val="00476FF4"/>
    <w:rsid w:val="0048012D"/>
    <w:rsid w:val="00480183"/>
    <w:rsid w:val="00480197"/>
    <w:rsid w:val="00480689"/>
    <w:rsid w:val="00482C93"/>
    <w:rsid w:val="00484B06"/>
    <w:rsid w:val="00485F49"/>
    <w:rsid w:val="00487A7B"/>
    <w:rsid w:val="00491B41"/>
    <w:rsid w:val="0049211C"/>
    <w:rsid w:val="004923F6"/>
    <w:rsid w:val="00492B28"/>
    <w:rsid w:val="004933EF"/>
    <w:rsid w:val="004942A1"/>
    <w:rsid w:val="00495189"/>
    <w:rsid w:val="0049569F"/>
    <w:rsid w:val="004964D5"/>
    <w:rsid w:val="004A1F0E"/>
    <w:rsid w:val="004A2171"/>
    <w:rsid w:val="004A3B47"/>
    <w:rsid w:val="004A47A1"/>
    <w:rsid w:val="004A6666"/>
    <w:rsid w:val="004A7A01"/>
    <w:rsid w:val="004B069D"/>
    <w:rsid w:val="004B5A24"/>
    <w:rsid w:val="004B5E21"/>
    <w:rsid w:val="004C2E69"/>
    <w:rsid w:val="004C5C70"/>
    <w:rsid w:val="004C7AC7"/>
    <w:rsid w:val="004D1779"/>
    <w:rsid w:val="004D1C99"/>
    <w:rsid w:val="004D6377"/>
    <w:rsid w:val="004D6423"/>
    <w:rsid w:val="004E2BD0"/>
    <w:rsid w:val="004E3D10"/>
    <w:rsid w:val="004E508A"/>
    <w:rsid w:val="004E5EA3"/>
    <w:rsid w:val="004E7255"/>
    <w:rsid w:val="004F149B"/>
    <w:rsid w:val="004F345A"/>
    <w:rsid w:val="004F4BD4"/>
    <w:rsid w:val="004F4D87"/>
    <w:rsid w:val="004F584D"/>
    <w:rsid w:val="0050108A"/>
    <w:rsid w:val="00502362"/>
    <w:rsid w:val="00502C45"/>
    <w:rsid w:val="00503122"/>
    <w:rsid w:val="00507FA1"/>
    <w:rsid w:val="00510092"/>
    <w:rsid w:val="00510288"/>
    <w:rsid w:val="0051438D"/>
    <w:rsid w:val="00514791"/>
    <w:rsid w:val="00516B89"/>
    <w:rsid w:val="005170E1"/>
    <w:rsid w:val="00517464"/>
    <w:rsid w:val="00521A6A"/>
    <w:rsid w:val="00524162"/>
    <w:rsid w:val="005332B5"/>
    <w:rsid w:val="00534954"/>
    <w:rsid w:val="00534BE4"/>
    <w:rsid w:val="005351B4"/>
    <w:rsid w:val="00535222"/>
    <w:rsid w:val="00542178"/>
    <w:rsid w:val="005422AF"/>
    <w:rsid w:val="005432AB"/>
    <w:rsid w:val="005435F3"/>
    <w:rsid w:val="00544E8E"/>
    <w:rsid w:val="00546C31"/>
    <w:rsid w:val="00547FEC"/>
    <w:rsid w:val="00555572"/>
    <w:rsid w:val="00567546"/>
    <w:rsid w:val="00567762"/>
    <w:rsid w:val="0056789B"/>
    <w:rsid w:val="00567914"/>
    <w:rsid w:val="00571688"/>
    <w:rsid w:val="005720E3"/>
    <w:rsid w:val="00573745"/>
    <w:rsid w:val="005766D3"/>
    <w:rsid w:val="0058005D"/>
    <w:rsid w:val="00580222"/>
    <w:rsid w:val="00585E8B"/>
    <w:rsid w:val="00586DED"/>
    <w:rsid w:val="00587A67"/>
    <w:rsid w:val="00590597"/>
    <w:rsid w:val="00590E0D"/>
    <w:rsid w:val="00591602"/>
    <w:rsid w:val="00592E9C"/>
    <w:rsid w:val="00596136"/>
    <w:rsid w:val="005966AF"/>
    <w:rsid w:val="005A1CED"/>
    <w:rsid w:val="005A271C"/>
    <w:rsid w:val="005A3263"/>
    <w:rsid w:val="005A3FF0"/>
    <w:rsid w:val="005A40FF"/>
    <w:rsid w:val="005A4A1B"/>
    <w:rsid w:val="005B0F3D"/>
    <w:rsid w:val="005B6500"/>
    <w:rsid w:val="005C22DE"/>
    <w:rsid w:val="005C3A1C"/>
    <w:rsid w:val="005C3FD1"/>
    <w:rsid w:val="005C462D"/>
    <w:rsid w:val="005C4ED0"/>
    <w:rsid w:val="005C5536"/>
    <w:rsid w:val="005C78D2"/>
    <w:rsid w:val="005D3427"/>
    <w:rsid w:val="005E2834"/>
    <w:rsid w:val="005E2CA1"/>
    <w:rsid w:val="005E330A"/>
    <w:rsid w:val="005E349D"/>
    <w:rsid w:val="005E4008"/>
    <w:rsid w:val="005E725B"/>
    <w:rsid w:val="005F0F93"/>
    <w:rsid w:val="005F21BE"/>
    <w:rsid w:val="005F7626"/>
    <w:rsid w:val="006011CD"/>
    <w:rsid w:val="00601765"/>
    <w:rsid w:val="00602D86"/>
    <w:rsid w:val="00603858"/>
    <w:rsid w:val="00604C58"/>
    <w:rsid w:val="00605783"/>
    <w:rsid w:val="0060785B"/>
    <w:rsid w:val="00607DB3"/>
    <w:rsid w:val="006100D1"/>
    <w:rsid w:val="006109E3"/>
    <w:rsid w:val="00610AB5"/>
    <w:rsid w:val="00613949"/>
    <w:rsid w:val="00613B19"/>
    <w:rsid w:val="0061611E"/>
    <w:rsid w:val="0062033F"/>
    <w:rsid w:val="006220B3"/>
    <w:rsid w:val="00622BFD"/>
    <w:rsid w:val="00622CC2"/>
    <w:rsid w:val="00624516"/>
    <w:rsid w:val="006247D7"/>
    <w:rsid w:val="00624BA7"/>
    <w:rsid w:val="006269AE"/>
    <w:rsid w:val="00626F08"/>
    <w:rsid w:val="006270D3"/>
    <w:rsid w:val="00627790"/>
    <w:rsid w:val="0063062A"/>
    <w:rsid w:val="0063110D"/>
    <w:rsid w:val="006320AE"/>
    <w:rsid w:val="00634295"/>
    <w:rsid w:val="00634857"/>
    <w:rsid w:val="00637B40"/>
    <w:rsid w:val="006409D4"/>
    <w:rsid w:val="00641917"/>
    <w:rsid w:val="006432CF"/>
    <w:rsid w:val="00644F37"/>
    <w:rsid w:val="00645565"/>
    <w:rsid w:val="00645DD4"/>
    <w:rsid w:val="006477D4"/>
    <w:rsid w:val="00647F83"/>
    <w:rsid w:val="0065036F"/>
    <w:rsid w:val="00650847"/>
    <w:rsid w:val="00650E94"/>
    <w:rsid w:val="00654E08"/>
    <w:rsid w:val="00660367"/>
    <w:rsid w:val="00660370"/>
    <w:rsid w:val="00661C1C"/>
    <w:rsid w:val="0066263E"/>
    <w:rsid w:val="0066550A"/>
    <w:rsid w:val="00665686"/>
    <w:rsid w:val="00665FDA"/>
    <w:rsid w:val="006677F3"/>
    <w:rsid w:val="00670BF6"/>
    <w:rsid w:val="00671D7A"/>
    <w:rsid w:val="006738EE"/>
    <w:rsid w:val="00673DAF"/>
    <w:rsid w:val="00674B89"/>
    <w:rsid w:val="0067542A"/>
    <w:rsid w:val="00677F5C"/>
    <w:rsid w:val="00680BC8"/>
    <w:rsid w:val="00682C29"/>
    <w:rsid w:val="00685653"/>
    <w:rsid w:val="006856A9"/>
    <w:rsid w:val="00686069"/>
    <w:rsid w:val="00687228"/>
    <w:rsid w:val="006875D1"/>
    <w:rsid w:val="006901AE"/>
    <w:rsid w:val="00691E7E"/>
    <w:rsid w:val="00694CD0"/>
    <w:rsid w:val="00696207"/>
    <w:rsid w:val="00696769"/>
    <w:rsid w:val="0069775A"/>
    <w:rsid w:val="006A1457"/>
    <w:rsid w:val="006A3490"/>
    <w:rsid w:val="006A3B88"/>
    <w:rsid w:val="006A4E42"/>
    <w:rsid w:val="006A5CF7"/>
    <w:rsid w:val="006B0268"/>
    <w:rsid w:val="006B231C"/>
    <w:rsid w:val="006B2A12"/>
    <w:rsid w:val="006B3215"/>
    <w:rsid w:val="006B5DCD"/>
    <w:rsid w:val="006B747F"/>
    <w:rsid w:val="006B7EBF"/>
    <w:rsid w:val="006B7F1B"/>
    <w:rsid w:val="006C1E1F"/>
    <w:rsid w:val="006C21C6"/>
    <w:rsid w:val="006C7001"/>
    <w:rsid w:val="006C71FF"/>
    <w:rsid w:val="006D2832"/>
    <w:rsid w:val="006D4784"/>
    <w:rsid w:val="006D49B6"/>
    <w:rsid w:val="006D64BA"/>
    <w:rsid w:val="006D681E"/>
    <w:rsid w:val="006D7F2B"/>
    <w:rsid w:val="006E077A"/>
    <w:rsid w:val="006E184F"/>
    <w:rsid w:val="006E3240"/>
    <w:rsid w:val="006E3396"/>
    <w:rsid w:val="006E4A36"/>
    <w:rsid w:val="006E51FD"/>
    <w:rsid w:val="006E57E7"/>
    <w:rsid w:val="006E5F8D"/>
    <w:rsid w:val="006E5FCD"/>
    <w:rsid w:val="006E6143"/>
    <w:rsid w:val="006E626B"/>
    <w:rsid w:val="006E6F8A"/>
    <w:rsid w:val="006F03C1"/>
    <w:rsid w:val="006F0DBF"/>
    <w:rsid w:val="006F2658"/>
    <w:rsid w:val="006F2D92"/>
    <w:rsid w:val="006F3A1F"/>
    <w:rsid w:val="006F3B16"/>
    <w:rsid w:val="006F49DB"/>
    <w:rsid w:val="006F629D"/>
    <w:rsid w:val="006F7AA0"/>
    <w:rsid w:val="007002E2"/>
    <w:rsid w:val="00701232"/>
    <w:rsid w:val="00701AF6"/>
    <w:rsid w:val="00703FE2"/>
    <w:rsid w:val="00706EA4"/>
    <w:rsid w:val="007108FC"/>
    <w:rsid w:val="00711DE6"/>
    <w:rsid w:val="007135A1"/>
    <w:rsid w:val="00713A20"/>
    <w:rsid w:val="0071416E"/>
    <w:rsid w:val="00714690"/>
    <w:rsid w:val="00714C69"/>
    <w:rsid w:val="00715C01"/>
    <w:rsid w:val="00715C2B"/>
    <w:rsid w:val="007160A2"/>
    <w:rsid w:val="00717B2B"/>
    <w:rsid w:val="00717BA3"/>
    <w:rsid w:val="00717C82"/>
    <w:rsid w:val="00720561"/>
    <w:rsid w:val="00720D84"/>
    <w:rsid w:val="007220C1"/>
    <w:rsid w:val="00725623"/>
    <w:rsid w:val="00725FC0"/>
    <w:rsid w:val="00726EE5"/>
    <w:rsid w:val="007324DB"/>
    <w:rsid w:val="00732551"/>
    <w:rsid w:val="00734BE5"/>
    <w:rsid w:val="00735E74"/>
    <w:rsid w:val="00737145"/>
    <w:rsid w:val="00741DEA"/>
    <w:rsid w:val="00741E3E"/>
    <w:rsid w:val="00742AAF"/>
    <w:rsid w:val="00743906"/>
    <w:rsid w:val="00743F36"/>
    <w:rsid w:val="00744E0F"/>
    <w:rsid w:val="00745450"/>
    <w:rsid w:val="00746093"/>
    <w:rsid w:val="007473DC"/>
    <w:rsid w:val="007514C7"/>
    <w:rsid w:val="00752213"/>
    <w:rsid w:val="00752BAF"/>
    <w:rsid w:val="007533F2"/>
    <w:rsid w:val="00756CB4"/>
    <w:rsid w:val="007622AB"/>
    <w:rsid w:val="00762D70"/>
    <w:rsid w:val="0076680B"/>
    <w:rsid w:val="00767BAE"/>
    <w:rsid w:val="007702F8"/>
    <w:rsid w:val="00771077"/>
    <w:rsid w:val="00773F25"/>
    <w:rsid w:val="00774CAD"/>
    <w:rsid w:val="007768DB"/>
    <w:rsid w:val="00776CFE"/>
    <w:rsid w:val="007813E3"/>
    <w:rsid w:val="00781600"/>
    <w:rsid w:val="00783CE4"/>
    <w:rsid w:val="007851C0"/>
    <w:rsid w:val="00787E75"/>
    <w:rsid w:val="00791CBD"/>
    <w:rsid w:val="00793625"/>
    <w:rsid w:val="00793CC6"/>
    <w:rsid w:val="0079421B"/>
    <w:rsid w:val="007947A9"/>
    <w:rsid w:val="007951E6"/>
    <w:rsid w:val="007A4308"/>
    <w:rsid w:val="007B0C62"/>
    <w:rsid w:val="007B2453"/>
    <w:rsid w:val="007B2F15"/>
    <w:rsid w:val="007B3D08"/>
    <w:rsid w:val="007B4769"/>
    <w:rsid w:val="007B5B7F"/>
    <w:rsid w:val="007B6C33"/>
    <w:rsid w:val="007C0529"/>
    <w:rsid w:val="007C119E"/>
    <w:rsid w:val="007C1F98"/>
    <w:rsid w:val="007C1FDF"/>
    <w:rsid w:val="007C2CDF"/>
    <w:rsid w:val="007C2CEA"/>
    <w:rsid w:val="007C2E3C"/>
    <w:rsid w:val="007C7296"/>
    <w:rsid w:val="007D0BDB"/>
    <w:rsid w:val="007D132D"/>
    <w:rsid w:val="007D1483"/>
    <w:rsid w:val="007D153A"/>
    <w:rsid w:val="007D1654"/>
    <w:rsid w:val="007D1C47"/>
    <w:rsid w:val="007D20D8"/>
    <w:rsid w:val="007D3737"/>
    <w:rsid w:val="007D3A68"/>
    <w:rsid w:val="007D4F03"/>
    <w:rsid w:val="007D7E84"/>
    <w:rsid w:val="007E1A90"/>
    <w:rsid w:val="007E2803"/>
    <w:rsid w:val="007E68EC"/>
    <w:rsid w:val="007E6D78"/>
    <w:rsid w:val="007F004F"/>
    <w:rsid w:val="007F268B"/>
    <w:rsid w:val="007F2B93"/>
    <w:rsid w:val="007F3052"/>
    <w:rsid w:val="007F3E7A"/>
    <w:rsid w:val="007F4322"/>
    <w:rsid w:val="007F4637"/>
    <w:rsid w:val="007F464B"/>
    <w:rsid w:val="007F665E"/>
    <w:rsid w:val="007F7515"/>
    <w:rsid w:val="0080081C"/>
    <w:rsid w:val="00804F2C"/>
    <w:rsid w:val="00805E9C"/>
    <w:rsid w:val="008062D7"/>
    <w:rsid w:val="0080642B"/>
    <w:rsid w:val="00806BD2"/>
    <w:rsid w:val="008079D5"/>
    <w:rsid w:val="008110F9"/>
    <w:rsid w:val="0081219B"/>
    <w:rsid w:val="0081320E"/>
    <w:rsid w:val="00813F2E"/>
    <w:rsid w:val="00814EC6"/>
    <w:rsid w:val="00815164"/>
    <w:rsid w:val="0081609B"/>
    <w:rsid w:val="00820778"/>
    <w:rsid w:val="008211AE"/>
    <w:rsid w:val="008218C8"/>
    <w:rsid w:val="00822104"/>
    <w:rsid w:val="00825260"/>
    <w:rsid w:val="00826F3D"/>
    <w:rsid w:val="0083005F"/>
    <w:rsid w:val="00832E72"/>
    <w:rsid w:val="0083344C"/>
    <w:rsid w:val="0084009F"/>
    <w:rsid w:val="00841199"/>
    <w:rsid w:val="008435FD"/>
    <w:rsid w:val="00844BB2"/>
    <w:rsid w:val="00850FC1"/>
    <w:rsid w:val="00851238"/>
    <w:rsid w:val="00852BE5"/>
    <w:rsid w:val="00852C7D"/>
    <w:rsid w:val="00852FBF"/>
    <w:rsid w:val="008539F4"/>
    <w:rsid w:val="00853A0B"/>
    <w:rsid w:val="008548E5"/>
    <w:rsid w:val="00854AF3"/>
    <w:rsid w:val="008620BC"/>
    <w:rsid w:val="00863E83"/>
    <w:rsid w:val="00864B02"/>
    <w:rsid w:val="0086628E"/>
    <w:rsid w:val="008671D7"/>
    <w:rsid w:val="00867F73"/>
    <w:rsid w:val="00871872"/>
    <w:rsid w:val="008731AE"/>
    <w:rsid w:val="00873887"/>
    <w:rsid w:val="00873A64"/>
    <w:rsid w:val="00874C38"/>
    <w:rsid w:val="00876AB1"/>
    <w:rsid w:val="00876F20"/>
    <w:rsid w:val="00877470"/>
    <w:rsid w:val="00877920"/>
    <w:rsid w:val="00880F26"/>
    <w:rsid w:val="00882E77"/>
    <w:rsid w:val="008844F1"/>
    <w:rsid w:val="008852D9"/>
    <w:rsid w:val="0088596D"/>
    <w:rsid w:val="008874CE"/>
    <w:rsid w:val="00891B23"/>
    <w:rsid w:val="008920E1"/>
    <w:rsid w:val="0089235E"/>
    <w:rsid w:val="00894210"/>
    <w:rsid w:val="00894606"/>
    <w:rsid w:val="00895403"/>
    <w:rsid w:val="008979CD"/>
    <w:rsid w:val="008A015D"/>
    <w:rsid w:val="008A21DA"/>
    <w:rsid w:val="008A2ECA"/>
    <w:rsid w:val="008A5A15"/>
    <w:rsid w:val="008A67B7"/>
    <w:rsid w:val="008A6F18"/>
    <w:rsid w:val="008B390E"/>
    <w:rsid w:val="008C3171"/>
    <w:rsid w:val="008C3F67"/>
    <w:rsid w:val="008C5344"/>
    <w:rsid w:val="008C5D1D"/>
    <w:rsid w:val="008C5E84"/>
    <w:rsid w:val="008D1E0A"/>
    <w:rsid w:val="008D25E6"/>
    <w:rsid w:val="008D268D"/>
    <w:rsid w:val="008D2F3A"/>
    <w:rsid w:val="008D36E1"/>
    <w:rsid w:val="008D4CAE"/>
    <w:rsid w:val="008D6082"/>
    <w:rsid w:val="008D6665"/>
    <w:rsid w:val="008E10AA"/>
    <w:rsid w:val="008E19FD"/>
    <w:rsid w:val="008E263F"/>
    <w:rsid w:val="008E316C"/>
    <w:rsid w:val="008E5041"/>
    <w:rsid w:val="008E5071"/>
    <w:rsid w:val="008E567A"/>
    <w:rsid w:val="008E5EC6"/>
    <w:rsid w:val="008E7261"/>
    <w:rsid w:val="008E7502"/>
    <w:rsid w:val="008E75EA"/>
    <w:rsid w:val="008F1930"/>
    <w:rsid w:val="008F2B87"/>
    <w:rsid w:val="008F36CA"/>
    <w:rsid w:val="008F43B1"/>
    <w:rsid w:val="00901689"/>
    <w:rsid w:val="009039EF"/>
    <w:rsid w:val="009058F5"/>
    <w:rsid w:val="00912B12"/>
    <w:rsid w:val="00913347"/>
    <w:rsid w:val="0091344A"/>
    <w:rsid w:val="0091648F"/>
    <w:rsid w:val="009204A1"/>
    <w:rsid w:val="00920B7C"/>
    <w:rsid w:val="00922206"/>
    <w:rsid w:val="0092748B"/>
    <w:rsid w:val="009274DD"/>
    <w:rsid w:val="00931948"/>
    <w:rsid w:val="00931B59"/>
    <w:rsid w:val="00933E54"/>
    <w:rsid w:val="00935AD6"/>
    <w:rsid w:val="00936C8C"/>
    <w:rsid w:val="00937478"/>
    <w:rsid w:val="00937603"/>
    <w:rsid w:val="009377FE"/>
    <w:rsid w:val="00937851"/>
    <w:rsid w:val="00942826"/>
    <w:rsid w:val="00944434"/>
    <w:rsid w:val="00945F47"/>
    <w:rsid w:val="00946370"/>
    <w:rsid w:val="00946462"/>
    <w:rsid w:val="009509C3"/>
    <w:rsid w:val="00950EC5"/>
    <w:rsid w:val="009511A7"/>
    <w:rsid w:val="00951C16"/>
    <w:rsid w:val="00955ADB"/>
    <w:rsid w:val="009614BC"/>
    <w:rsid w:val="00962ED9"/>
    <w:rsid w:val="009638AE"/>
    <w:rsid w:val="00964729"/>
    <w:rsid w:val="009652FE"/>
    <w:rsid w:val="0096584F"/>
    <w:rsid w:val="009664E5"/>
    <w:rsid w:val="00966EA6"/>
    <w:rsid w:val="00967411"/>
    <w:rsid w:val="00967713"/>
    <w:rsid w:val="00970F2B"/>
    <w:rsid w:val="00971954"/>
    <w:rsid w:val="00971C57"/>
    <w:rsid w:val="0097346F"/>
    <w:rsid w:val="00975C90"/>
    <w:rsid w:val="00982D78"/>
    <w:rsid w:val="00983500"/>
    <w:rsid w:val="0098388C"/>
    <w:rsid w:val="00985525"/>
    <w:rsid w:val="00990219"/>
    <w:rsid w:val="00992764"/>
    <w:rsid w:val="00992766"/>
    <w:rsid w:val="00993500"/>
    <w:rsid w:val="00993992"/>
    <w:rsid w:val="009943DC"/>
    <w:rsid w:val="00994652"/>
    <w:rsid w:val="009950CF"/>
    <w:rsid w:val="00995FDC"/>
    <w:rsid w:val="009A0C57"/>
    <w:rsid w:val="009A0F78"/>
    <w:rsid w:val="009A12FC"/>
    <w:rsid w:val="009A1747"/>
    <w:rsid w:val="009A3086"/>
    <w:rsid w:val="009A4161"/>
    <w:rsid w:val="009A7F61"/>
    <w:rsid w:val="009B0DBE"/>
    <w:rsid w:val="009B3072"/>
    <w:rsid w:val="009B4D6E"/>
    <w:rsid w:val="009B5912"/>
    <w:rsid w:val="009B6258"/>
    <w:rsid w:val="009B6680"/>
    <w:rsid w:val="009B6B86"/>
    <w:rsid w:val="009B7CAC"/>
    <w:rsid w:val="009C570C"/>
    <w:rsid w:val="009C6274"/>
    <w:rsid w:val="009C72B3"/>
    <w:rsid w:val="009D0F64"/>
    <w:rsid w:val="009D14D5"/>
    <w:rsid w:val="009D24AE"/>
    <w:rsid w:val="009D2A4A"/>
    <w:rsid w:val="009D350B"/>
    <w:rsid w:val="009D36FD"/>
    <w:rsid w:val="009D69D8"/>
    <w:rsid w:val="009D7A9E"/>
    <w:rsid w:val="009E0010"/>
    <w:rsid w:val="009E1F19"/>
    <w:rsid w:val="009E2F5A"/>
    <w:rsid w:val="009E6673"/>
    <w:rsid w:val="009E7261"/>
    <w:rsid w:val="009E7329"/>
    <w:rsid w:val="009F0E0C"/>
    <w:rsid w:val="009F2871"/>
    <w:rsid w:val="009F5267"/>
    <w:rsid w:val="00A03B69"/>
    <w:rsid w:val="00A05201"/>
    <w:rsid w:val="00A058E7"/>
    <w:rsid w:val="00A126E1"/>
    <w:rsid w:val="00A15E6A"/>
    <w:rsid w:val="00A17B84"/>
    <w:rsid w:val="00A203FA"/>
    <w:rsid w:val="00A2128D"/>
    <w:rsid w:val="00A2236A"/>
    <w:rsid w:val="00A22B41"/>
    <w:rsid w:val="00A2597F"/>
    <w:rsid w:val="00A259FD"/>
    <w:rsid w:val="00A26A5F"/>
    <w:rsid w:val="00A2752D"/>
    <w:rsid w:val="00A27FF9"/>
    <w:rsid w:val="00A30992"/>
    <w:rsid w:val="00A30A79"/>
    <w:rsid w:val="00A3162E"/>
    <w:rsid w:val="00A323B5"/>
    <w:rsid w:val="00A340A3"/>
    <w:rsid w:val="00A35A5F"/>
    <w:rsid w:val="00A3720C"/>
    <w:rsid w:val="00A37877"/>
    <w:rsid w:val="00A42419"/>
    <w:rsid w:val="00A4257B"/>
    <w:rsid w:val="00A47915"/>
    <w:rsid w:val="00A50701"/>
    <w:rsid w:val="00A517C9"/>
    <w:rsid w:val="00A518CC"/>
    <w:rsid w:val="00A52CE2"/>
    <w:rsid w:val="00A53198"/>
    <w:rsid w:val="00A53EA9"/>
    <w:rsid w:val="00A55F12"/>
    <w:rsid w:val="00A56A38"/>
    <w:rsid w:val="00A600DF"/>
    <w:rsid w:val="00A605F3"/>
    <w:rsid w:val="00A60F03"/>
    <w:rsid w:val="00A65F5D"/>
    <w:rsid w:val="00A66F78"/>
    <w:rsid w:val="00A67D86"/>
    <w:rsid w:val="00A70701"/>
    <w:rsid w:val="00A71031"/>
    <w:rsid w:val="00A71613"/>
    <w:rsid w:val="00A7633E"/>
    <w:rsid w:val="00A76B0F"/>
    <w:rsid w:val="00A76B2F"/>
    <w:rsid w:val="00A805E9"/>
    <w:rsid w:val="00A81D05"/>
    <w:rsid w:val="00A82C76"/>
    <w:rsid w:val="00A853BB"/>
    <w:rsid w:val="00A85919"/>
    <w:rsid w:val="00A85E5E"/>
    <w:rsid w:val="00A865EE"/>
    <w:rsid w:val="00A91A54"/>
    <w:rsid w:val="00A936CF"/>
    <w:rsid w:val="00A9461B"/>
    <w:rsid w:val="00A9534E"/>
    <w:rsid w:val="00AA0A14"/>
    <w:rsid w:val="00AA0AC9"/>
    <w:rsid w:val="00AA0D96"/>
    <w:rsid w:val="00AA0F3F"/>
    <w:rsid w:val="00AA2A02"/>
    <w:rsid w:val="00AA380C"/>
    <w:rsid w:val="00AA3AE4"/>
    <w:rsid w:val="00AA5B0A"/>
    <w:rsid w:val="00AA5C2B"/>
    <w:rsid w:val="00AA680B"/>
    <w:rsid w:val="00AA756F"/>
    <w:rsid w:val="00AB1037"/>
    <w:rsid w:val="00AB72E1"/>
    <w:rsid w:val="00AC04F1"/>
    <w:rsid w:val="00AC1FB1"/>
    <w:rsid w:val="00AC379E"/>
    <w:rsid w:val="00AD0EC9"/>
    <w:rsid w:val="00AD2C75"/>
    <w:rsid w:val="00AD2E7D"/>
    <w:rsid w:val="00AD2F14"/>
    <w:rsid w:val="00AD3B9F"/>
    <w:rsid w:val="00AD3F36"/>
    <w:rsid w:val="00AD43C7"/>
    <w:rsid w:val="00AD5470"/>
    <w:rsid w:val="00AD5F93"/>
    <w:rsid w:val="00AD785E"/>
    <w:rsid w:val="00AE06A1"/>
    <w:rsid w:val="00AE0F67"/>
    <w:rsid w:val="00AE2048"/>
    <w:rsid w:val="00AE24DC"/>
    <w:rsid w:val="00AE415A"/>
    <w:rsid w:val="00AE4AC7"/>
    <w:rsid w:val="00AF2137"/>
    <w:rsid w:val="00AF365C"/>
    <w:rsid w:val="00AF3949"/>
    <w:rsid w:val="00AF3B08"/>
    <w:rsid w:val="00AF3BAF"/>
    <w:rsid w:val="00AF51F4"/>
    <w:rsid w:val="00AF52ED"/>
    <w:rsid w:val="00AF56D4"/>
    <w:rsid w:val="00AF6620"/>
    <w:rsid w:val="00AF69C9"/>
    <w:rsid w:val="00AF7CBF"/>
    <w:rsid w:val="00B009F8"/>
    <w:rsid w:val="00B00DB8"/>
    <w:rsid w:val="00B0136A"/>
    <w:rsid w:val="00B029ED"/>
    <w:rsid w:val="00B02CC2"/>
    <w:rsid w:val="00B03A00"/>
    <w:rsid w:val="00B05172"/>
    <w:rsid w:val="00B053FD"/>
    <w:rsid w:val="00B1197A"/>
    <w:rsid w:val="00B14BBC"/>
    <w:rsid w:val="00B17AAD"/>
    <w:rsid w:val="00B2019B"/>
    <w:rsid w:val="00B206D8"/>
    <w:rsid w:val="00B20792"/>
    <w:rsid w:val="00B20FA6"/>
    <w:rsid w:val="00B215E5"/>
    <w:rsid w:val="00B236BD"/>
    <w:rsid w:val="00B239E3"/>
    <w:rsid w:val="00B23E1C"/>
    <w:rsid w:val="00B24220"/>
    <w:rsid w:val="00B24F70"/>
    <w:rsid w:val="00B25F5F"/>
    <w:rsid w:val="00B27453"/>
    <w:rsid w:val="00B2754F"/>
    <w:rsid w:val="00B332CC"/>
    <w:rsid w:val="00B3458F"/>
    <w:rsid w:val="00B42164"/>
    <w:rsid w:val="00B42C09"/>
    <w:rsid w:val="00B42DF1"/>
    <w:rsid w:val="00B44571"/>
    <w:rsid w:val="00B44D84"/>
    <w:rsid w:val="00B46E87"/>
    <w:rsid w:val="00B522A2"/>
    <w:rsid w:val="00B52FD9"/>
    <w:rsid w:val="00B563D7"/>
    <w:rsid w:val="00B56D4D"/>
    <w:rsid w:val="00B64A97"/>
    <w:rsid w:val="00B672DE"/>
    <w:rsid w:val="00B7069F"/>
    <w:rsid w:val="00B707F5"/>
    <w:rsid w:val="00B70F0C"/>
    <w:rsid w:val="00B727D7"/>
    <w:rsid w:val="00B72AF5"/>
    <w:rsid w:val="00B74280"/>
    <w:rsid w:val="00B74B91"/>
    <w:rsid w:val="00B7508C"/>
    <w:rsid w:val="00B755AC"/>
    <w:rsid w:val="00B76AB3"/>
    <w:rsid w:val="00B801BF"/>
    <w:rsid w:val="00B82B3D"/>
    <w:rsid w:val="00B8397A"/>
    <w:rsid w:val="00B8576E"/>
    <w:rsid w:val="00B8789F"/>
    <w:rsid w:val="00B91A41"/>
    <w:rsid w:val="00B97293"/>
    <w:rsid w:val="00B97908"/>
    <w:rsid w:val="00B97CF5"/>
    <w:rsid w:val="00BA288E"/>
    <w:rsid w:val="00BA43CC"/>
    <w:rsid w:val="00BA5DEE"/>
    <w:rsid w:val="00BA6B99"/>
    <w:rsid w:val="00BA7F81"/>
    <w:rsid w:val="00BB145D"/>
    <w:rsid w:val="00BB17A0"/>
    <w:rsid w:val="00BB20FF"/>
    <w:rsid w:val="00BB23B3"/>
    <w:rsid w:val="00BB2E14"/>
    <w:rsid w:val="00BB3774"/>
    <w:rsid w:val="00BB567C"/>
    <w:rsid w:val="00BB609E"/>
    <w:rsid w:val="00BB686B"/>
    <w:rsid w:val="00BC098A"/>
    <w:rsid w:val="00BC35F1"/>
    <w:rsid w:val="00BC48C1"/>
    <w:rsid w:val="00BC6265"/>
    <w:rsid w:val="00BC6FBD"/>
    <w:rsid w:val="00BD1005"/>
    <w:rsid w:val="00BD12CF"/>
    <w:rsid w:val="00BD2F1D"/>
    <w:rsid w:val="00BD3719"/>
    <w:rsid w:val="00BD475E"/>
    <w:rsid w:val="00BD7310"/>
    <w:rsid w:val="00BE3809"/>
    <w:rsid w:val="00BE4018"/>
    <w:rsid w:val="00BE4F5C"/>
    <w:rsid w:val="00BE602A"/>
    <w:rsid w:val="00BF01B9"/>
    <w:rsid w:val="00BF1355"/>
    <w:rsid w:val="00BF17ED"/>
    <w:rsid w:val="00BF1817"/>
    <w:rsid w:val="00BF2300"/>
    <w:rsid w:val="00BF3CE9"/>
    <w:rsid w:val="00BF3E35"/>
    <w:rsid w:val="00BF5B16"/>
    <w:rsid w:val="00BF6381"/>
    <w:rsid w:val="00BF79EA"/>
    <w:rsid w:val="00C007E4"/>
    <w:rsid w:val="00C00889"/>
    <w:rsid w:val="00C00B1F"/>
    <w:rsid w:val="00C01E2B"/>
    <w:rsid w:val="00C023F9"/>
    <w:rsid w:val="00C02C67"/>
    <w:rsid w:val="00C05C0B"/>
    <w:rsid w:val="00C065C6"/>
    <w:rsid w:val="00C067D3"/>
    <w:rsid w:val="00C07EC8"/>
    <w:rsid w:val="00C10480"/>
    <w:rsid w:val="00C109A5"/>
    <w:rsid w:val="00C10AEB"/>
    <w:rsid w:val="00C1124B"/>
    <w:rsid w:val="00C124E9"/>
    <w:rsid w:val="00C14A4B"/>
    <w:rsid w:val="00C171D7"/>
    <w:rsid w:val="00C17940"/>
    <w:rsid w:val="00C17F95"/>
    <w:rsid w:val="00C22BD4"/>
    <w:rsid w:val="00C22E25"/>
    <w:rsid w:val="00C230AF"/>
    <w:rsid w:val="00C23366"/>
    <w:rsid w:val="00C23D9E"/>
    <w:rsid w:val="00C242CB"/>
    <w:rsid w:val="00C2708F"/>
    <w:rsid w:val="00C274DD"/>
    <w:rsid w:val="00C31239"/>
    <w:rsid w:val="00C31E50"/>
    <w:rsid w:val="00C33CBC"/>
    <w:rsid w:val="00C36543"/>
    <w:rsid w:val="00C40AB1"/>
    <w:rsid w:val="00C40FAB"/>
    <w:rsid w:val="00C42CDA"/>
    <w:rsid w:val="00C43B04"/>
    <w:rsid w:val="00C45029"/>
    <w:rsid w:val="00C46776"/>
    <w:rsid w:val="00C47128"/>
    <w:rsid w:val="00C50A50"/>
    <w:rsid w:val="00C517EE"/>
    <w:rsid w:val="00C5278C"/>
    <w:rsid w:val="00C55A0A"/>
    <w:rsid w:val="00C5736A"/>
    <w:rsid w:val="00C624AE"/>
    <w:rsid w:val="00C628DF"/>
    <w:rsid w:val="00C63A1C"/>
    <w:rsid w:val="00C63B9C"/>
    <w:rsid w:val="00C65509"/>
    <w:rsid w:val="00C65682"/>
    <w:rsid w:val="00C6570F"/>
    <w:rsid w:val="00C658A9"/>
    <w:rsid w:val="00C706D0"/>
    <w:rsid w:val="00C70DB1"/>
    <w:rsid w:val="00C72537"/>
    <w:rsid w:val="00C728D5"/>
    <w:rsid w:val="00C7366B"/>
    <w:rsid w:val="00C74FFB"/>
    <w:rsid w:val="00C8145F"/>
    <w:rsid w:val="00C81595"/>
    <w:rsid w:val="00C822AF"/>
    <w:rsid w:val="00C83141"/>
    <w:rsid w:val="00C8330A"/>
    <w:rsid w:val="00C836A9"/>
    <w:rsid w:val="00C843AF"/>
    <w:rsid w:val="00C86E77"/>
    <w:rsid w:val="00C90BCF"/>
    <w:rsid w:val="00C90CB4"/>
    <w:rsid w:val="00C91C74"/>
    <w:rsid w:val="00C927AA"/>
    <w:rsid w:val="00C933CE"/>
    <w:rsid w:val="00C949A6"/>
    <w:rsid w:val="00C94A37"/>
    <w:rsid w:val="00C96423"/>
    <w:rsid w:val="00C975B6"/>
    <w:rsid w:val="00C97991"/>
    <w:rsid w:val="00CA0F5D"/>
    <w:rsid w:val="00CA32C5"/>
    <w:rsid w:val="00CA4325"/>
    <w:rsid w:val="00CA45D9"/>
    <w:rsid w:val="00CA6114"/>
    <w:rsid w:val="00CA7779"/>
    <w:rsid w:val="00CB1C69"/>
    <w:rsid w:val="00CB1FE3"/>
    <w:rsid w:val="00CB299A"/>
    <w:rsid w:val="00CB2AB8"/>
    <w:rsid w:val="00CB44B1"/>
    <w:rsid w:val="00CB5954"/>
    <w:rsid w:val="00CB741C"/>
    <w:rsid w:val="00CC2710"/>
    <w:rsid w:val="00CC5F06"/>
    <w:rsid w:val="00CC5F2D"/>
    <w:rsid w:val="00CD2C6B"/>
    <w:rsid w:val="00CD3FB2"/>
    <w:rsid w:val="00CD4153"/>
    <w:rsid w:val="00CD4936"/>
    <w:rsid w:val="00CD799D"/>
    <w:rsid w:val="00CE2046"/>
    <w:rsid w:val="00CE2FC6"/>
    <w:rsid w:val="00CE34BD"/>
    <w:rsid w:val="00CE45EA"/>
    <w:rsid w:val="00CE4602"/>
    <w:rsid w:val="00CE4A49"/>
    <w:rsid w:val="00CE6091"/>
    <w:rsid w:val="00CE6F00"/>
    <w:rsid w:val="00CE6FC5"/>
    <w:rsid w:val="00CF06A4"/>
    <w:rsid w:val="00CF087D"/>
    <w:rsid w:val="00CF08E5"/>
    <w:rsid w:val="00CF218A"/>
    <w:rsid w:val="00CF2DF2"/>
    <w:rsid w:val="00CF3279"/>
    <w:rsid w:val="00CF447B"/>
    <w:rsid w:val="00CF58F0"/>
    <w:rsid w:val="00D021A1"/>
    <w:rsid w:val="00D023F8"/>
    <w:rsid w:val="00D03EDB"/>
    <w:rsid w:val="00D03FBF"/>
    <w:rsid w:val="00D04FF6"/>
    <w:rsid w:val="00D05162"/>
    <w:rsid w:val="00D06812"/>
    <w:rsid w:val="00D06EA6"/>
    <w:rsid w:val="00D07999"/>
    <w:rsid w:val="00D11A0A"/>
    <w:rsid w:val="00D1230D"/>
    <w:rsid w:val="00D1258A"/>
    <w:rsid w:val="00D14A93"/>
    <w:rsid w:val="00D2241B"/>
    <w:rsid w:val="00D22A2A"/>
    <w:rsid w:val="00D236F2"/>
    <w:rsid w:val="00D240BF"/>
    <w:rsid w:val="00D26F17"/>
    <w:rsid w:val="00D27557"/>
    <w:rsid w:val="00D32C94"/>
    <w:rsid w:val="00D335F4"/>
    <w:rsid w:val="00D336A0"/>
    <w:rsid w:val="00D339F4"/>
    <w:rsid w:val="00D33B3A"/>
    <w:rsid w:val="00D3480F"/>
    <w:rsid w:val="00D35C31"/>
    <w:rsid w:val="00D365B9"/>
    <w:rsid w:val="00D434C6"/>
    <w:rsid w:val="00D4438B"/>
    <w:rsid w:val="00D45912"/>
    <w:rsid w:val="00D45E70"/>
    <w:rsid w:val="00D50936"/>
    <w:rsid w:val="00D50C41"/>
    <w:rsid w:val="00D5327D"/>
    <w:rsid w:val="00D535E5"/>
    <w:rsid w:val="00D564CA"/>
    <w:rsid w:val="00D56E93"/>
    <w:rsid w:val="00D6177E"/>
    <w:rsid w:val="00D62A65"/>
    <w:rsid w:val="00D63AE8"/>
    <w:rsid w:val="00D6485F"/>
    <w:rsid w:val="00D648AE"/>
    <w:rsid w:val="00D64E46"/>
    <w:rsid w:val="00D66D74"/>
    <w:rsid w:val="00D70C81"/>
    <w:rsid w:val="00D73976"/>
    <w:rsid w:val="00D750CC"/>
    <w:rsid w:val="00D75FF2"/>
    <w:rsid w:val="00D77F7A"/>
    <w:rsid w:val="00D8447B"/>
    <w:rsid w:val="00D85FA2"/>
    <w:rsid w:val="00D86921"/>
    <w:rsid w:val="00D905FC"/>
    <w:rsid w:val="00D915B7"/>
    <w:rsid w:val="00D9290F"/>
    <w:rsid w:val="00D93836"/>
    <w:rsid w:val="00D9506C"/>
    <w:rsid w:val="00D9687A"/>
    <w:rsid w:val="00D977F7"/>
    <w:rsid w:val="00D97F79"/>
    <w:rsid w:val="00DA1238"/>
    <w:rsid w:val="00DA2955"/>
    <w:rsid w:val="00DA486C"/>
    <w:rsid w:val="00DA5D11"/>
    <w:rsid w:val="00DA776D"/>
    <w:rsid w:val="00DB14BA"/>
    <w:rsid w:val="00DB29FB"/>
    <w:rsid w:val="00DB3025"/>
    <w:rsid w:val="00DC2D8A"/>
    <w:rsid w:val="00DC2FEB"/>
    <w:rsid w:val="00DC4B22"/>
    <w:rsid w:val="00DC4BC3"/>
    <w:rsid w:val="00DC4CA5"/>
    <w:rsid w:val="00DC639D"/>
    <w:rsid w:val="00DC689F"/>
    <w:rsid w:val="00DC69CD"/>
    <w:rsid w:val="00DD0FF0"/>
    <w:rsid w:val="00DD110D"/>
    <w:rsid w:val="00DD1AB3"/>
    <w:rsid w:val="00DD237B"/>
    <w:rsid w:val="00DD5D3F"/>
    <w:rsid w:val="00DD68BA"/>
    <w:rsid w:val="00DE30EB"/>
    <w:rsid w:val="00DE5F03"/>
    <w:rsid w:val="00DF2876"/>
    <w:rsid w:val="00DF5656"/>
    <w:rsid w:val="00DF62D9"/>
    <w:rsid w:val="00DF7D4F"/>
    <w:rsid w:val="00E03548"/>
    <w:rsid w:val="00E03B13"/>
    <w:rsid w:val="00E040E1"/>
    <w:rsid w:val="00E06330"/>
    <w:rsid w:val="00E11045"/>
    <w:rsid w:val="00E11BB0"/>
    <w:rsid w:val="00E16770"/>
    <w:rsid w:val="00E16F0B"/>
    <w:rsid w:val="00E21653"/>
    <w:rsid w:val="00E26D0A"/>
    <w:rsid w:val="00E30294"/>
    <w:rsid w:val="00E30569"/>
    <w:rsid w:val="00E3058B"/>
    <w:rsid w:val="00E32213"/>
    <w:rsid w:val="00E33392"/>
    <w:rsid w:val="00E33670"/>
    <w:rsid w:val="00E345FC"/>
    <w:rsid w:val="00E34F5F"/>
    <w:rsid w:val="00E367A2"/>
    <w:rsid w:val="00E37909"/>
    <w:rsid w:val="00E438A0"/>
    <w:rsid w:val="00E44288"/>
    <w:rsid w:val="00E451F1"/>
    <w:rsid w:val="00E501A3"/>
    <w:rsid w:val="00E517CD"/>
    <w:rsid w:val="00E53D86"/>
    <w:rsid w:val="00E5421F"/>
    <w:rsid w:val="00E5512E"/>
    <w:rsid w:val="00E604E5"/>
    <w:rsid w:val="00E62B17"/>
    <w:rsid w:val="00E62D9C"/>
    <w:rsid w:val="00E652E6"/>
    <w:rsid w:val="00E700B2"/>
    <w:rsid w:val="00E70E50"/>
    <w:rsid w:val="00E7136E"/>
    <w:rsid w:val="00E72C38"/>
    <w:rsid w:val="00E75A90"/>
    <w:rsid w:val="00E75CE2"/>
    <w:rsid w:val="00E77E6D"/>
    <w:rsid w:val="00E80748"/>
    <w:rsid w:val="00E82654"/>
    <w:rsid w:val="00E84E86"/>
    <w:rsid w:val="00E906BE"/>
    <w:rsid w:val="00E91918"/>
    <w:rsid w:val="00E93BDD"/>
    <w:rsid w:val="00E93CA8"/>
    <w:rsid w:val="00E943BD"/>
    <w:rsid w:val="00E94698"/>
    <w:rsid w:val="00E94714"/>
    <w:rsid w:val="00E94AC5"/>
    <w:rsid w:val="00E96059"/>
    <w:rsid w:val="00E96323"/>
    <w:rsid w:val="00E9662E"/>
    <w:rsid w:val="00E96E1A"/>
    <w:rsid w:val="00E96F67"/>
    <w:rsid w:val="00EA182F"/>
    <w:rsid w:val="00EA331D"/>
    <w:rsid w:val="00EA3753"/>
    <w:rsid w:val="00EA41AD"/>
    <w:rsid w:val="00EA5597"/>
    <w:rsid w:val="00EB06AB"/>
    <w:rsid w:val="00EB082E"/>
    <w:rsid w:val="00EB1F5A"/>
    <w:rsid w:val="00EB648E"/>
    <w:rsid w:val="00EB6917"/>
    <w:rsid w:val="00EB7EEE"/>
    <w:rsid w:val="00EB7F30"/>
    <w:rsid w:val="00EC0C89"/>
    <w:rsid w:val="00EC123E"/>
    <w:rsid w:val="00EC1A00"/>
    <w:rsid w:val="00EC28E7"/>
    <w:rsid w:val="00EC3068"/>
    <w:rsid w:val="00EC3E3F"/>
    <w:rsid w:val="00EC5722"/>
    <w:rsid w:val="00EC7648"/>
    <w:rsid w:val="00EC7DF9"/>
    <w:rsid w:val="00ED0DED"/>
    <w:rsid w:val="00ED1FA3"/>
    <w:rsid w:val="00ED2461"/>
    <w:rsid w:val="00ED3B06"/>
    <w:rsid w:val="00ED5457"/>
    <w:rsid w:val="00ED57A9"/>
    <w:rsid w:val="00ED7633"/>
    <w:rsid w:val="00ED767B"/>
    <w:rsid w:val="00EE0B51"/>
    <w:rsid w:val="00EE3A40"/>
    <w:rsid w:val="00EE4C02"/>
    <w:rsid w:val="00EE7CF0"/>
    <w:rsid w:val="00EE7D82"/>
    <w:rsid w:val="00EF4074"/>
    <w:rsid w:val="00EF621C"/>
    <w:rsid w:val="00EF6496"/>
    <w:rsid w:val="00EF7447"/>
    <w:rsid w:val="00F03840"/>
    <w:rsid w:val="00F115CE"/>
    <w:rsid w:val="00F11B36"/>
    <w:rsid w:val="00F11F66"/>
    <w:rsid w:val="00F12A1C"/>
    <w:rsid w:val="00F14C1E"/>
    <w:rsid w:val="00F14DD2"/>
    <w:rsid w:val="00F22147"/>
    <w:rsid w:val="00F22741"/>
    <w:rsid w:val="00F238A8"/>
    <w:rsid w:val="00F24BB0"/>
    <w:rsid w:val="00F24F7C"/>
    <w:rsid w:val="00F252F8"/>
    <w:rsid w:val="00F26DBB"/>
    <w:rsid w:val="00F274AC"/>
    <w:rsid w:val="00F30553"/>
    <w:rsid w:val="00F31569"/>
    <w:rsid w:val="00F31F0E"/>
    <w:rsid w:val="00F3506B"/>
    <w:rsid w:val="00F353EF"/>
    <w:rsid w:val="00F35530"/>
    <w:rsid w:val="00F35E1B"/>
    <w:rsid w:val="00F36345"/>
    <w:rsid w:val="00F3679D"/>
    <w:rsid w:val="00F37256"/>
    <w:rsid w:val="00F40C63"/>
    <w:rsid w:val="00F40FB2"/>
    <w:rsid w:val="00F4225B"/>
    <w:rsid w:val="00F43E88"/>
    <w:rsid w:val="00F44971"/>
    <w:rsid w:val="00F47665"/>
    <w:rsid w:val="00F47967"/>
    <w:rsid w:val="00F47E12"/>
    <w:rsid w:val="00F52831"/>
    <w:rsid w:val="00F528C1"/>
    <w:rsid w:val="00F5338F"/>
    <w:rsid w:val="00F542BC"/>
    <w:rsid w:val="00F554B1"/>
    <w:rsid w:val="00F555AF"/>
    <w:rsid w:val="00F567BD"/>
    <w:rsid w:val="00F618E9"/>
    <w:rsid w:val="00F62829"/>
    <w:rsid w:val="00F657C7"/>
    <w:rsid w:val="00F66CC3"/>
    <w:rsid w:val="00F67442"/>
    <w:rsid w:val="00F7237A"/>
    <w:rsid w:val="00F770B3"/>
    <w:rsid w:val="00F774E0"/>
    <w:rsid w:val="00F811AA"/>
    <w:rsid w:val="00F81386"/>
    <w:rsid w:val="00F8164E"/>
    <w:rsid w:val="00F83FF6"/>
    <w:rsid w:val="00F842A7"/>
    <w:rsid w:val="00F847DA"/>
    <w:rsid w:val="00F848DF"/>
    <w:rsid w:val="00F865B0"/>
    <w:rsid w:val="00F86CF0"/>
    <w:rsid w:val="00F906FC"/>
    <w:rsid w:val="00F945D4"/>
    <w:rsid w:val="00F97320"/>
    <w:rsid w:val="00FA0E5A"/>
    <w:rsid w:val="00FA184D"/>
    <w:rsid w:val="00FA3244"/>
    <w:rsid w:val="00FA33C0"/>
    <w:rsid w:val="00FA5709"/>
    <w:rsid w:val="00FA7887"/>
    <w:rsid w:val="00FB0C74"/>
    <w:rsid w:val="00FB1404"/>
    <w:rsid w:val="00FB141C"/>
    <w:rsid w:val="00FB1574"/>
    <w:rsid w:val="00FC06D4"/>
    <w:rsid w:val="00FC2390"/>
    <w:rsid w:val="00FC289D"/>
    <w:rsid w:val="00FC32E4"/>
    <w:rsid w:val="00FC34C7"/>
    <w:rsid w:val="00FC38C4"/>
    <w:rsid w:val="00FC5074"/>
    <w:rsid w:val="00FC61AE"/>
    <w:rsid w:val="00FC7961"/>
    <w:rsid w:val="00FD005B"/>
    <w:rsid w:val="00FD030F"/>
    <w:rsid w:val="00FD3272"/>
    <w:rsid w:val="00FD34E3"/>
    <w:rsid w:val="00FD4346"/>
    <w:rsid w:val="00FD7110"/>
    <w:rsid w:val="00FD725A"/>
    <w:rsid w:val="00FE1B58"/>
    <w:rsid w:val="00FE38B4"/>
    <w:rsid w:val="00FE39CF"/>
    <w:rsid w:val="00FE6B03"/>
    <w:rsid w:val="00FF13BE"/>
    <w:rsid w:val="00FF214F"/>
    <w:rsid w:val="00FF39AA"/>
    <w:rsid w:val="00FF5B31"/>
    <w:rsid w:val="00FF65CD"/>
    <w:rsid w:val="00FF7F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78529">
      <o:colormenu v:ext="edit" fillcolor="none [3212]"/>
    </o:shapedefaults>
    <o:shapelayout v:ext="edit">
      <o:idmap v:ext="edit" data="1"/>
    </o:shapelayout>
  </w:shapeDefaults>
  <w:decimalSymbol w:val="."/>
  <w:listSeparator w:val=","/>
  <w14:docId w14:val="0469F838"/>
  <w15:docId w15:val="{94D8863F-8908-429A-A329-179C3C5AD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C33"/>
    <w:pPr>
      <w:widowControl w:val="0"/>
      <w:tabs>
        <w:tab w:val="left" w:pos="1418"/>
      </w:tabs>
      <w:adjustRightInd w:val="0"/>
      <w:snapToGrid w:val="0"/>
      <w:jc w:val="both"/>
    </w:pPr>
    <w:rPr>
      <w:rFonts w:ascii="Arial" w:eastAsia="新細明體" w:hAnsi="Arial" w:cs="Times New Roman"/>
      <w:kern w:val="0"/>
      <w:szCs w:val="24"/>
      <w:lang w:val="en-GB"/>
    </w:rPr>
  </w:style>
  <w:style w:type="paragraph" w:styleId="Heading1">
    <w:name w:val="heading 1"/>
    <w:basedOn w:val="Normal"/>
    <w:next w:val="Normal"/>
    <w:link w:val="Heading1Char"/>
    <w:qFormat/>
    <w:rsid w:val="007B6C33"/>
    <w:pPr>
      <w:keepNext/>
      <w:jc w:val="left"/>
      <w:outlineLvl w:val="0"/>
    </w:pPr>
    <w:rPr>
      <w:b/>
      <w:sz w:val="36"/>
    </w:rPr>
  </w:style>
  <w:style w:type="paragraph" w:styleId="Heading2">
    <w:name w:val="heading 2"/>
    <w:basedOn w:val="Normal"/>
    <w:next w:val="Normal"/>
    <w:link w:val="Heading2Char"/>
    <w:qFormat/>
    <w:rsid w:val="007B6C33"/>
    <w:pPr>
      <w:keepNext/>
      <w:jc w:val="left"/>
      <w:outlineLvl w:val="1"/>
    </w:pPr>
    <w:rPr>
      <w:b/>
      <w:sz w:val="28"/>
    </w:rPr>
  </w:style>
  <w:style w:type="paragraph" w:styleId="Heading3">
    <w:name w:val="heading 3"/>
    <w:basedOn w:val="Normal"/>
    <w:next w:val="Normal"/>
    <w:link w:val="Heading3Char"/>
    <w:qFormat/>
    <w:rsid w:val="007B6C33"/>
    <w:pPr>
      <w:keepNext/>
      <w:jc w:val="left"/>
      <w:outlineLvl w:val="2"/>
    </w:pPr>
    <w:rPr>
      <w:b/>
      <w:i/>
    </w:rPr>
  </w:style>
  <w:style w:type="paragraph" w:styleId="Heading4">
    <w:name w:val="heading 4"/>
    <w:basedOn w:val="Normal"/>
    <w:next w:val="Normal"/>
    <w:link w:val="Heading4Char"/>
    <w:qFormat/>
    <w:rsid w:val="007B6C33"/>
    <w:pPr>
      <w:keepNext/>
      <w:jc w:val="left"/>
      <w:outlineLvl w:val="3"/>
    </w:pPr>
    <w:rPr>
      <w:i/>
    </w:rPr>
  </w:style>
  <w:style w:type="paragraph" w:styleId="Heading5">
    <w:name w:val="heading 5"/>
    <w:basedOn w:val="Normal"/>
    <w:next w:val="NormalIndent"/>
    <w:link w:val="Heading5Char"/>
    <w:qFormat/>
    <w:rsid w:val="00BB567C"/>
    <w:pPr>
      <w:keepNext/>
      <w:widowControl/>
      <w:numPr>
        <w:numId w:val="3"/>
      </w:numPr>
      <w:tabs>
        <w:tab w:val="clear" w:pos="1418"/>
      </w:tabs>
      <w:adjustRightInd/>
      <w:ind w:left="0" w:firstLine="0"/>
      <w:outlineLvl w:val="4"/>
    </w:pPr>
    <w:rPr>
      <w:b/>
      <w:sz w:val="26"/>
      <w:szCs w:val="20"/>
    </w:rPr>
  </w:style>
  <w:style w:type="paragraph" w:styleId="Heading8">
    <w:name w:val="heading 8"/>
    <w:basedOn w:val="Normal"/>
    <w:next w:val="Normal"/>
    <w:link w:val="Heading8Char"/>
    <w:qFormat/>
    <w:rsid w:val="006B7EBF"/>
    <w:pPr>
      <w:keepNext/>
      <w:widowControl/>
      <w:tabs>
        <w:tab w:val="clear" w:pos="1418"/>
      </w:tabs>
      <w:adjustRightInd/>
      <w:spacing w:line="720" w:lineRule="auto"/>
      <w:ind w:left="851"/>
      <w:outlineLvl w:val="7"/>
    </w:pPr>
    <w:rPr>
      <w:sz w:val="36"/>
      <w:szCs w:val="36"/>
    </w:rPr>
  </w:style>
  <w:style w:type="paragraph" w:styleId="Heading9">
    <w:name w:val="heading 9"/>
    <w:basedOn w:val="Normal"/>
    <w:next w:val="Normal"/>
    <w:link w:val="Heading9Char"/>
    <w:qFormat/>
    <w:rsid w:val="006B7EBF"/>
    <w:pPr>
      <w:keepNext/>
      <w:widowControl/>
      <w:tabs>
        <w:tab w:val="clear" w:pos="1418"/>
      </w:tabs>
      <w:adjustRightInd/>
      <w:spacing w:line="720" w:lineRule="auto"/>
      <w:ind w:left="851"/>
      <w:outlineLvl w:val="8"/>
    </w:pPr>
    <w:rPr>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6C33"/>
    <w:rPr>
      <w:rFonts w:ascii="Arial" w:eastAsia="新細明體" w:hAnsi="Arial" w:cs="Times New Roman"/>
      <w:b/>
      <w:kern w:val="0"/>
      <w:sz w:val="36"/>
      <w:szCs w:val="24"/>
      <w:lang w:val="en-GB"/>
    </w:rPr>
  </w:style>
  <w:style w:type="character" w:customStyle="1" w:styleId="Heading2Char">
    <w:name w:val="Heading 2 Char"/>
    <w:basedOn w:val="DefaultParagraphFont"/>
    <w:link w:val="Heading2"/>
    <w:rsid w:val="007B6C33"/>
    <w:rPr>
      <w:rFonts w:ascii="Arial" w:eastAsia="新細明體" w:hAnsi="Arial" w:cs="Times New Roman"/>
      <w:b/>
      <w:kern w:val="0"/>
      <w:sz w:val="28"/>
      <w:szCs w:val="24"/>
      <w:lang w:val="en-GB"/>
    </w:rPr>
  </w:style>
  <w:style w:type="character" w:customStyle="1" w:styleId="Heading3Char">
    <w:name w:val="Heading 3 Char"/>
    <w:basedOn w:val="DefaultParagraphFont"/>
    <w:link w:val="Heading3"/>
    <w:rsid w:val="007B6C33"/>
    <w:rPr>
      <w:rFonts w:ascii="Arial" w:eastAsia="新細明體" w:hAnsi="Arial" w:cs="Times New Roman"/>
      <w:b/>
      <w:i/>
      <w:kern w:val="0"/>
      <w:szCs w:val="24"/>
      <w:lang w:val="en-GB"/>
    </w:rPr>
  </w:style>
  <w:style w:type="character" w:customStyle="1" w:styleId="Heading4Char">
    <w:name w:val="Heading 4 Char"/>
    <w:basedOn w:val="DefaultParagraphFont"/>
    <w:link w:val="Heading4"/>
    <w:rsid w:val="007B6C33"/>
    <w:rPr>
      <w:rFonts w:ascii="Arial" w:eastAsia="新細明體" w:hAnsi="Arial" w:cs="Times New Roman"/>
      <w:i/>
      <w:kern w:val="0"/>
      <w:szCs w:val="24"/>
      <w:lang w:val="en-GB"/>
    </w:rPr>
  </w:style>
  <w:style w:type="paragraph" w:styleId="NormalIndent">
    <w:name w:val="Normal Indent"/>
    <w:basedOn w:val="Normal"/>
    <w:unhideWhenUsed/>
    <w:rsid w:val="00BB567C"/>
    <w:pPr>
      <w:ind w:left="480"/>
    </w:pPr>
  </w:style>
  <w:style w:type="character" w:customStyle="1" w:styleId="Heading5Char">
    <w:name w:val="Heading 5 Char"/>
    <w:basedOn w:val="DefaultParagraphFont"/>
    <w:link w:val="Heading5"/>
    <w:rsid w:val="00BB567C"/>
    <w:rPr>
      <w:rFonts w:ascii="Arial" w:eastAsia="新細明體" w:hAnsi="Arial" w:cs="Times New Roman"/>
      <w:b/>
      <w:kern w:val="0"/>
      <w:sz w:val="26"/>
      <w:szCs w:val="20"/>
      <w:lang w:val="en-GB"/>
    </w:rPr>
  </w:style>
  <w:style w:type="character" w:customStyle="1" w:styleId="Heading8Char">
    <w:name w:val="Heading 8 Char"/>
    <w:basedOn w:val="DefaultParagraphFont"/>
    <w:link w:val="Heading8"/>
    <w:rsid w:val="006B7EBF"/>
    <w:rPr>
      <w:rFonts w:ascii="Arial" w:eastAsia="新細明體" w:hAnsi="Arial" w:cs="Times New Roman"/>
      <w:kern w:val="0"/>
      <w:sz w:val="36"/>
      <w:szCs w:val="36"/>
      <w:lang w:val="en-GB"/>
    </w:rPr>
  </w:style>
  <w:style w:type="character" w:customStyle="1" w:styleId="Heading9Char">
    <w:name w:val="Heading 9 Char"/>
    <w:basedOn w:val="DefaultParagraphFont"/>
    <w:link w:val="Heading9"/>
    <w:rsid w:val="006B7EBF"/>
    <w:rPr>
      <w:rFonts w:ascii="Arial" w:eastAsia="新細明體" w:hAnsi="Arial" w:cs="Times New Roman"/>
      <w:kern w:val="0"/>
      <w:sz w:val="36"/>
      <w:szCs w:val="36"/>
      <w:lang w:val="en-GB"/>
    </w:rPr>
  </w:style>
  <w:style w:type="character" w:styleId="Hyperlink">
    <w:name w:val="Hyperlink"/>
    <w:basedOn w:val="DefaultParagraphFont"/>
    <w:uiPriority w:val="99"/>
    <w:unhideWhenUsed/>
    <w:rsid w:val="00EC28E7"/>
    <w:rPr>
      <w:color w:val="0000FF" w:themeColor="hyperlink"/>
      <w:u w:val="single"/>
    </w:rPr>
  </w:style>
  <w:style w:type="paragraph" w:styleId="BlockText">
    <w:name w:val="Block Text"/>
    <w:basedOn w:val="Normal"/>
    <w:link w:val="BlockTextChar"/>
    <w:rsid w:val="007B6C33"/>
    <w:pPr>
      <w:ind w:left="720" w:right="720"/>
    </w:pPr>
    <w:rPr>
      <w:i/>
      <w:snapToGrid w:val="0"/>
    </w:rPr>
  </w:style>
  <w:style w:type="character" w:customStyle="1" w:styleId="BlockTextChar">
    <w:name w:val="Block Text Char"/>
    <w:link w:val="BlockText"/>
    <w:rsid w:val="00BB567C"/>
    <w:rPr>
      <w:rFonts w:ascii="Arial" w:eastAsia="新細明體" w:hAnsi="Arial" w:cs="Times New Roman"/>
      <w:i/>
      <w:snapToGrid w:val="0"/>
      <w:kern w:val="0"/>
      <w:szCs w:val="24"/>
      <w:lang w:val="en-GB"/>
    </w:rPr>
  </w:style>
  <w:style w:type="paragraph" w:styleId="FootnoteText">
    <w:name w:val="footnote text"/>
    <w:basedOn w:val="Normal"/>
    <w:link w:val="FootnoteTextChar"/>
    <w:autoRedefine/>
    <w:rsid w:val="003371A8"/>
    <w:pPr>
      <w:widowControl/>
      <w:tabs>
        <w:tab w:val="clear" w:pos="1418"/>
        <w:tab w:val="left" w:pos="1440"/>
      </w:tabs>
      <w:overflowPunct w:val="0"/>
      <w:autoSpaceDE w:val="0"/>
      <w:autoSpaceDN w:val="0"/>
      <w:spacing w:after="60" w:line="0" w:lineRule="atLeast"/>
      <w:ind w:left="706" w:hanging="706"/>
      <w:textAlignment w:val="baseline"/>
    </w:pPr>
    <w:rPr>
      <w:rFonts w:cs="Arial"/>
      <w:sz w:val="18"/>
      <w:szCs w:val="18"/>
      <w:lang w:val="en-US"/>
    </w:rPr>
  </w:style>
  <w:style w:type="character" w:customStyle="1" w:styleId="FootnoteTextChar">
    <w:name w:val="Footnote Text Char"/>
    <w:basedOn w:val="DefaultParagraphFont"/>
    <w:link w:val="FootnoteText"/>
    <w:rsid w:val="003371A8"/>
    <w:rPr>
      <w:rFonts w:ascii="Arial" w:eastAsia="新細明體" w:hAnsi="Arial" w:cs="Arial"/>
      <w:kern w:val="0"/>
      <w:sz w:val="18"/>
      <w:szCs w:val="18"/>
    </w:rPr>
  </w:style>
  <w:style w:type="paragraph" w:customStyle="1" w:styleId="Footnotelegislation1">
    <w:name w:val="Footnote legislation 1"/>
    <w:basedOn w:val="FootnoteText"/>
    <w:rsid w:val="007B6C33"/>
    <w:pPr>
      <w:ind w:left="1440"/>
    </w:pPr>
    <w:rPr>
      <w:i/>
    </w:rPr>
  </w:style>
  <w:style w:type="paragraph" w:customStyle="1" w:styleId="Footnotelegislation2">
    <w:name w:val="Footnote legislation 2"/>
    <w:basedOn w:val="FootnoteText"/>
    <w:rsid w:val="007B6C33"/>
    <w:pPr>
      <w:ind w:left="2160"/>
    </w:pPr>
    <w:rPr>
      <w:i/>
    </w:rPr>
  </w:style>
  <w:style w:type="paragraph" w:customStyle="1" w:styleId="Footnotelegislation3">
    <w:name w:val="Footnote legislation 3"/>
    <w:basedOn w:val="FootnoteText"/>
    <w:rsid w:val="007B6C33"/>
    <w:pPr>
      <w:ind w:left="2880"/>
    </w:pPr>
    <w:rPr>
      <w:i/>
    </w:rPr>
  </w:style>
  <w:style w:type="character" w:styleId="FootnoteReference">
    <w:name w:val="footnote reference"/>
    <w:rsid w:val="007B6C33"/>
    <w:rPr>
      <w:rFonts w:ascii="Arial" w:eastAsia="新細明體" w:hAnsi="Arial"/>
      <w:dstrike w:val="0"/>
      <w:sz w:val="18"/>
      <w:szCs w:val="18"/>
      <w:vertAlign w:val="superscript"/>
    </w:rPr>
  </w:style>
  <w:style w:type="paragraph" w:customStyle="1" w:styleId="Indent1">
    <w:name w:val="Indent 1"/>
    <w:basedOn w:val="Normal"/>
    <w:rsid w:val="007B6C33"/>
    <w:pPr>
      <w:ind w:left="1440" w:hanging="720"/>
    </w:pPr>
  </w:style>
  <w:style w:type="paragraph" w:customStyle="1" w:styleId="Indent2">
    <w:name w:val="Indent 2"/>
    <w:basedOn w:val="Normal"/>
    <w:rsid w:val="007B6C33"/>
    <w:pPr>
      <w:ind w:left="2160" w:hanging="720"/>
    </w:pPr>
  </w:style>
  <w:style w:type="paragraph" w:customStyle="1" w:styleId="Indent3">
    <w:name w:val="Indent 3"/>
    <w:basedOn w:val="Normal"/>
    <w:rsid w:val="007B6C33"/>
    <w:pPr>
      <w:ind w:left="2880" w:hanging="720"/>
    </w:pPr>
  </w:style>
  <w:style w:type="paragraph" w:customStyle="1" w:styleId="Legislationindent1">
    <w:name w:val="Legislation indent 1"/>
    <w:basedOn w:val="Normal"/>
    <w:rsid w:val="007B6C33"/>
    <w:pPr>
      <w:ind w:left="1440" w:right="720" w:hanging="720"/>
    </w:pPr>
    <w:rPr>
      <w:i/>
    </w:rPr>
  </w:style>
  <w:style w:type="paragraph" w:customStyle="1" w:styleId="Legislationindent2">
    <w:name w:val="Legislation indent 2"/>
    <w:basedOn w:val="Normal"/>
    <w:rsid w:val="007B6C33"/>
    <w:pPr>
      <w:ind w:left="2160" w:right="720" w:hanging="720"/>
    </w:pPr>
    <w:rPr>
      <w:i/>
    </w:rPr>
  </w:style>
  <w:style w:type="paragraph" w:customStyle="1" w:styleId="Legislationindent3">
    <w:name w:val="Legislation indent 3"/>
    <w:basedOn w:val="Normal"/>
    <w:rsid w:val="007B6C33"/>
    <w:pPr>
      <w:ind w:left="2880" w:right="720" w:hanging="720"/>
    </w:pPr>
    <w:rPr>
      <w:i/>
    </w:rPr>
  </w:style>
  <w:style w:type="paragraph" w:customStyle="1" w:styleId="Legislationindent4">
    <w:name w:val="Legislation indent 4"/>
    <w:basedOn w:val="Normal"/>
    <w:rsid w:val="007B6C33"/>
    <w:pPr>
      <w:ind w:left="3600" w:right="720" w:hanging="720"/>
    </w:pPr>
    <w:rPr>
      <w:i/>
    </w:rPr>
  </w:style>
  <w:style w:type="paragraph" w:styleId="List">
    <w:name w:val="List"/>
    <w:basedOn w:val="Normal"/>
    <w:rsid w:val="007B6C33"/>
    <w:pPr>
      <w:numPr>
        <w:numId w:val="1"/>
      </w:numPr>
    </w:pPr>
  </w:style>
  <w:style w:type="paragraph" w:styleId="ListBullet">
    <w:name w:val="List Bullet"/>
    <w:basedOn w:val="Normal"/>
    <w:autoRedefine/>
    <w:rsid w:val="007B6C33"/>
    <w:pPr>
      <w:numPr>
        <w:numId w:val="2"/>
      </w:numPr>
    </w:pPr>
  </w:style>
  <w:style w:type="paragraph" w:customStyle="1" w:styleId="Recommendationindent1">
    <w:name w:val="Recommendation indent 1"/>
    <w:basedOn w:val="Normal"/>
    <w:rsid w:val="007B6C33"/>
    <w:pPr>
      <w:ind w:left="720" w:hanging="720"/>
    </w:pPr>
    <w:rPr>
      <w:b/>
    </w:rPr>
  </w:style>
  <w:style w:type="paragraph" w:customStyle="1" w:styleId="Recommendationindent2">
    <w:name w:val="Recommendation indent 2"/>
    <w:basedOn w:val="Normal"/>
    <w:rsid w:val="007B6C33"/>
    <w:pPr>
      <w:ind w:left="1440" w:hanging="720"/>
    </w:pPr>
    <w:rPr>
      <w:b/>
    </w:rPr>
  </w:style>
  <w:style w:type="paragraph" w:customStyle="1" w:styleId="Recommendationindent3">
    <w:name w:val="Recommendation indent 3"/>
    <w:basedOn w:val="Normal"/>
    <w:rsid w:val="007B6C33"/>
    <w:pPr>
      <w:ind w:left="2160" w:hanging="720"/>
    </w:pPr>
    <w:rPr>
      <w:b/>
    </w:rPr>
  </w:style>
  <w:style w:type="paragraph" w:customStyle="1" w:styleId="Recommendationindent4">
    <w:name w:val="Recommendation indent 4"/>
    <w:basedOn w:val="Recommendationindent3"/>
    <w:rsid w:val="007B6C33"/>
    <w:pPr>
      <w:ind w:left="2880"/>
    </w:pPr>
  </w:style>
  <w:style w:type="paragraph" w:styleId="Header">
    <w:name w:val="header"/>
    <w:basedOn w:val="Normal"/>
    <w:link w:val="HeaderChar"/>
    <w:unhideWhenUsed/>
    <w:rsid w:val="0021223C"/>
    <w:pPr>
      <w:tabs>
        <w:tab w:val="clear" w:pos="1418"/>
        <w:tab w:val="center" w:pos="4153"/>
        <w:tab w:val="right" w:pos="8306"/>
      </w:tabs>
    </w:pPr>
    <w:rPr>
      <w:sz w:val="20"/>
      <w:szCs w:val="20"/>
    </w:rPr>
  </w:style>
  <w:style w:type="character" w:customStyle="1" w:styleId="HeaderChar">
    <w:name w:val="Header Char"/>
    <w:basedOn w:val="DefaultParagraphFont"/>
    <w:link w:val="Header"/>
    <w:uiPriority w:val="99"/>
    <w:rsid w:val="0021223C"/>
    <w:rPr>
      <w:rFonts w:ascii="Arial" w:eastAsia="新細明體" w:hAnsi="Arial" w:cs="Times New Roman"/>
      <w:kern w:val="0"/>
      <w:sz w:val="20"/>
      <w:szCs w:val="20"/>
      <w:lang w:val="en-GB"/>
    </w:rPr>
  </w:style>
  <w:style w:type="paragraph" w:styleId="Footer">
    <w:name w:val="footer"/>
    <w:basedOn w:val="Normal"/>
    <w:link w:val="FooterChar"/>
    <w:uiPriority w:val="99"/>
    <w:unhideWhenUsed/>
    <w:rsid w:val="0021223C"/>
    <w:pPr>
      <w:tabs>
        <w:tab w:val="clear" w:pos="1418"/>
        <w:tab w:val="center" w:pos="4153"/>
        <w:tab w:val="right" w:pos="8306"/>
      </w:tabs>
    </w:pPr>
    <w:rPr>
      <w:sz w:val="20"/>
      <w:szCs w:val="20"/>
    </w:rPr>
  </w:style>
  <w:style w:type="character" w:customStyle="1" w:styleId="FooterChar">
    <w:name w:val="Footer Char"/>
    <w:basedOn w:val="DefaultParagraphFont"/>
    <w:link w:val="Footer"/>
    <w:uiPriority w:val="99"/>
    <w:rsid w:val="0021223C"/>
    <w:rPr>
      <w:rFonts w:ascii="Arial" w:eastAsia="新細明體" w:hAnsi="Arial" w:cs="Times New Roman"/>
      <w:kern w:val="0"/>
      <w:sz w:val="20"/>
      <w:szCs w:val="20"/>
      <w:lang w:val="en-GB"/>
    </w:rPr>
  </w:style>
  <w:style w:type="paragraph" w:customStyle="1" w:styleId="a">
    <w:name w:val="目錄_章"/>
    <w:basedOn w:val="Normal"/>
    <w:rsid w:val="008211AE"/>
    <w:pPr>
      <w:widowControl/>
      <w:numPr>
        <w:numId w:val="4"/>
      </w:numPr>
      <w:tabs>
        <w:tab w:val="clear" w:pos="1418"/>
        <w:tab w:val="clear" w:pos="1644"/>
      </w:tabs>
      <w:spacing w:line="360" w:lineRule="atLeast"/>
      <w:ind w:left="0" w:firstLine="0"/>
      <w:textAlignment w:val="baseline"/>
    </w:pPr>
    <w:rPr>
      <w:rFonts w:ascii="Times New Roman" w:hAnsi="Times New Roman"/>
      <w:b/>
      <w:spacing w:val="30"/>
      <w:sz w:val="26"/>
      <w:szCs w:val="26"/>
      <w14:shadow w14:blurRad="50800" w14:dist="38100" w14:dir="2700000" w14:sx="100000" w14:sy="100000" w14:kx="0" w14:ky="0" w14:algn="tl">
        <w14:srgbClr w14:val="000000">
          <w14:alpha w14:val="60000"/>
        </w14:srgbClr>
      </w14:shadow>
    </w:rPr>
  </w:style>
  <w:style w:type="paragraph" w:styleId="ListParagraph">
    <w:name w:val="List Paragraph"/>
    <w:basedOn w:val="Normal"/>
    <w:uiPriority w:val="34"/>
    <w:qFormat/>
    <w:rsid w:val="000D4A16"/>
    <w:pPr>
      <w:ind w:left="480"/>
    </w:pPr>
  </w:style>
  <w:style w:type="character" w:customStyle="1" w:styleId="BlockTextChar1">
    <w:name w:val="Block Text Char1"/>
    <w:rsid w:val="00CD4936"/>
    <w:rPr>
      <w:rFonts w:ascii="Arial" w:eastAsia="華康細明體" w:hAnsi="Arial"/>
      <w:i/>
      <w:sz w:val="24"/>
      <w:lang w:val="en-US" w:eastAsia="zh-TW" w:bidi="ar-SA"/>
    </w:rPr>
  </w:style>
  <w:style w:type="paragraph" w:styleId="BalloonText">
    <w:name w:val="Balloon Text"/>
    <w:basedOn w:val="Normal"/>
    <w:link w:val="BalloonTextChar"/>
    <w:semiHidden/>
    <w:unhideWhenUsed/>
    <w:rsid w:val="007533F2"/>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7533F2"/>
    <w:rPr>
      <w:rFonts w:asciiTheme="majorHAnsi" w:eastAsiaTheme="majorEastAsia" w:hAnsiTheme="majorHAnsi" w:cstheme="majorBidi"/>
      <w:kern w:val="0"/>
      <w:sz w:val="16"/>
      <w:szCs w:val="16"/>
      <w:lang w:val="en-GB"/>
    </w:rPr>
  </w:style>
  <w:style w:type="paragraph" w:customStyle="1" w:styleId="Default">
    <w:name w:val="Default"/>
    <w:rsid w:val="00971954"/>
    <w:pPr>
      <w:widowControl w:val="0"/>
      <w:autoSpaceDE w:val="0"/>
      <w:autoSpaceDN w:val="0"/>
      <w:adjustRightInd w:val="0"/>
    </w:pPr>
    <w:rPr>
      <w:rFonts w:ascii="Times New Roman" w:eastAsia="新細明體" w:hAnsi="Times New Roman" w:cs="Times New Roman"/>
      <w:color w:val="000000"/>
      <w:kern w:val="0"/>
      <w:szCs w:val="24"/>
    </w:rPr>
  </w:style>
  <w:style w:type="character" w:styleId="PageNumber">
    <w:name w:val="page number"/>
    <w:basedOn w:val="DefaultParagraphFont"/>
    <w:rsid w:val="006B7EBF"/>
  </w:style>
  <w:style w:type="paragraph" w:styleId="NormalWeb">
    <w:name w:val="Normal (Web)"/>
    <w:basedOn w:val="Normal"/>
    <w:rsid w:val="006B7EBF"/>
    <w:pPr>
      <w:widowControl/>
      <w:tabs>
        <w:tab w:val="clear" w:pos="1418"/>
      </w:tabs>
      <w:adjustRightInd/>
      <w:spacing w:before="100" w:beforeAutospacing="1" w:after="100" w:afterAutospacing="1"/>
    </w:pPr>
    <w:rPr>
      <w:rFonts w:ascii="新細明體" w:hAnsi="新細明體" w:cs="新細明體"/>
      <w:szCs w:val="20"/>
      <w:lang w:val="en-US"/>
    </w:rPr>
  </w:style>
  <w:style w:type="paragraph" w:styleId="Date">
    <w:name w:val="Date"/>
    <w:basedOn w:val="Normal"/>
    <w:next w:val="Normal"/>
    <w:link w:val="DateChar"/>
    <w:rsid w:val="006B7EBF"/>
    <w:pPr>
      <w:widowControl/>
      <w:tabs>
        <w:tab w:val="clear" w:pos="1418"/>
      </w:tabs>
      <w:adjustRightInd/>
      <w:jc w:val="right"/>
    </w:pPr>
    <w:rPr>
      <w:szCs w:val="20"/>
    </w:rPr>
  </w:style>
  <w:style w:type="character" w:customStyle="1" w:styleId="DateChar">
    <w:name w:val="Date Char"/>
    <w:basedOn w:val="DefaultParagraphFont"/>
    <w:link w:val="Date"/>
    <w:rsid w:val="006B7EBF"/>
    <w:rPr>
      <w:rFonts w:ascii="Arial" w:eastAsia="新細明體" w:hAnsi="Arial" w:cs="Times New Roman"/>
      <w:kern w:val="0"/>
      <w:szCs w:val="20"/>
      <w:lang w:val="en-GB"/>
    </w:rPr>
  </w:style>
  <w:style w:type="paragraph" w:customStyle="1" w:styleId="clausehead">
    <w:name w:val="clausehead"/>
    <w:basedOn w:val="Normal"/>
    <w:rsid w:val="006B7EBF"/>
    <w:pPr>
      <w:keepNext/>
      <w:widowControl/>
      <w:tabs>
        <w:tab w:val="clear" w:pos="1418"/>
      </w:tabs>
      <w:autoSpaceDE w:val="0"/>
      <w:autoSpaceDN w:val="0"/>
      <w:adjustRightInd/>
      <w:snapToGrid/>
      <w:spacing w:before="160"/>
      <w:ind w:left="567" w:hanging="567"/>
      <w:jc w:val="left"/>
    </w:pPr>
    <w:rPr>
      <w:rFonts w:ascii="Times New Roman" w:hAnsi="Times New Roman"/>
      <w:b/>
      <w:bCs/>
      <w:color w:val="000000"/>
      <w:sz w:val="26"/>
      <w:szCs w:val="26"/>
      <w:lang w:val="en-US"/>
    </w:rPr>
  </w:style>
  <w:style w:type="paragraph" w:customStyle="1" w:styleId="legclearfixlegp2container">
    <w:name w:val="legclearfix legp2container"/>
    <w:basedOn w:val="Normal"/>
    <w:rsid w:val="006B7EBF"/>
    <w:pPr>
      <w:widowControl/>
      <w:tabs>
        <w:tab w:val="clear" w:pos="1418"/>
      </w:tabs>
      <w:adjustRightInd/>
      <w:snapToGrid/>
      <w:spacing w:before="100" w:beforeAutospacing="1" w:after="100" w:afterAutospacing="1"/>
      <w:jc w:val="left"/>
    </w:pPr>
    <w:rPr>
      <w:rFonts w:ascii="Times New Roman" w:eastAsia="Times New Roman" w:hAnsi="Times New Roman"/>
      <w:lang w:eastAsia="en-GB"/>
    </w:rPr>
  </w:style>
  <w:style w:type="character" w:customStyle="1" w:styleId="legdsleglhslegp2no">
    <w:name w:val="legds leglhs legp2no"/>
    <w:basedOn w:val="DefaultParagraphFont"/>
    <w:rsid w:val="006B7EBF"/>
  </w:style>
  <w:style w:type="character" w:customStyle="1" w:styleId="legdslegrhslegp2text">
    <w:name w:val="legds legrhs legp2text"/>
    <w:basedOn w:val="DefaultParagraphFont"/>
    <w:rsid w:val="006B7EBF"/>
  </w:style>
  <w:style w:type="character" w:customStyle="1" w:styleId="legdsleglhslegp3no">
    <w:name w:val="legds leglhs legp3no"/>
    <w:basedOn w:val="DefaultParagraphFont"/>
    <w:rsid w:val="006B7EBF"/>
  </w:style>
  <w:style w:type="character" w:customStyle="1" w:styleId="legdslegrhslegp3text">
    <w:name w:val="legds legrhs legp3text"/>
    <w:basedOn w:val="DefaultParagraphFont"/>
    <w:rsid w:val="006B7EBF"/>
  </w:style>
  <w:style w:type="character" w:customStyle="1" w:styleId="legdsleglhslegp4no">
    <w:name w:val="legds leglhs legp4no"/>
    <w:basedOn w:val="DefaultParagraphFont"/>
    <w:rsid w:val="006B7EBF"/>
  </w:style>
  <w:style w:type="character" w:customStyle="1" w:styleId="legdslegrhslegp4text">
    <w:name w:val="legds legrhs legp4text"/>
    <w:basedOn w:val="DefaultParagraphFont"/>
    <w:rsid w:val="006B7EBF"/>
  </w:style>
  <w:style w:type="character" w:customStyle="1" w:styleId="EndnoteTextChar">
    <w:name w:val="Endnote Text Char"/>
    <w:basedOn w:val="DefaultParagraphFont"/>
    <w:link w:val="EndnoteText"/>
    <w:semiHidden/>
    <w:rsid w:val="006B7EBF"/>
    <w:rPr>
      <w:rFonts w:ascii="Times New Roman" w:eastAsia="新細明體" w:hAnsi="Times New Roman" w:cs="Times New Roman"/>
      <w:kern w:val="0"/>
      <w:szCs w:val="24"/>
      <w:lang w:val="en-GB"/>
    </w:rPr>
  </w:style>
  <w:style w:type="paragraph" w:styleId="EndnoteText">
    <w:name w:val="endnote text"/>
    <w:basedOn w:val="Normal"/>
    <w:link w:val="EndnoteTextChar"/>
    <w:semiHidden/>
    <w:rsid w:val="006B7EBF"/>
    <w:pPr>
      <w:widowControl/>
      <w:tabs>
        <w:tab w:val="clear" w:pos="1418"/>
      </w:tabs>
      <w:adjustRightInd/>
      <w:jc w:val="left"/>
    </w:pPr>
    <w:rPr>
      <w:rFonts w:ascii="Times New Roman" w:hAnsi="Times New Roman"/>
    </w:rPr>
  </w:style>
  <w:style w:type="character" w:customStyle="1" w:styleId="StyleEndnoteReferenceBlack">
    <w:name w:val="Style Endnote Reference + Black"/>
    <w:rsid w:val="006B7EBF"/>
    <w:rPr>
      <w:rFonts w:eastAsia="Arial"/>
      <w:color w:val="000000"/>
      <w:sz w:val="18"/>
      <w:vertAlign w:val="superscript"/>
    </w:rPr>
  </w:style>
  <w:style w:type="paragraph" w:styleId="BodyText2">
    <w:name w:val="Body Text 2"/>
    <w:basedOn w:val="Normal"/>
    <w:link w:val="BodyText2Char"/>
    <w:rsid w:val="006B7EBF"/>
    <w:pPr>
      <w:widowControl/>
      <w:tabs>
        <w:tab w:val="clear" w:pos="1418"/>
      </w:tabs>
      <w:adjustRightInd/>
      <w:snapToGrid/>
    </w:pPr>
    <w:rPr>
      <w:b/>
      <w:sz w:val="26"/>
      <w:szCs w:val="20"/>
      <w:lang w:eastAsia="en-GB"/>
    </w:rPr>
  </w:style>
  <w:style w:type="character" w:customStyle="1" w:styleId="BodyText2Char">
    <w:name w:val="Body Text 2 Char"/>
    <w:basedOn w:val="DefaultParagraphFont"/>
    <w:link w:val="BodyText2"/>
    <w:rsid w:val="006B7EBF"/>
    <w:rPr>
      <w:rFonts w:ascii="Arial" w:eastAsia="新細明體" w:hAnsi="Arial" w:cs="Times New Roman"/>
      <w:b/>
      <w:kern w:val="0"/>
      <w:sz w:val="26"/>
      <w:szCs w:val="20"/>
      <w:lang w:val="en-GB" w:eastAsia="en-GB"/>
    </w:rPr>
  </w:style>
  <w:style w:type="table" w:styleId="TableGrid">
    <w:name w:val="Table Grid"/>
    <w:basedOn w:val="TableNormal"/>
    <w:rsid w:val="003547A7"/>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rsid w:val="003547A7"/>
    <w:rPr>
      <w:vertAlign w:val="superscript"/>
    </w:rPr>
  </w:style>
  <w:style w:type="paragraph" w:styleId="Revision">
    <w:name w:val="Revision"/>
    <w:hidden/>
    <w:uiPriority w:val="99"/>
    <w:semiHidden/>
    <w:rsid w:val="003547A7"/>
    <w:rPr>
      <w:rFonts w:ascii="Arial" w:eastAsia="新細明體" w:hAnsi="Arial" w:cs="Times New Roman"/>
      <w:kern w:val="0"/>
      <w:szCs w:val="20"/>
      <w:lang w:val="en-GB"/>
    </w:rPr>
  </w:style>
  <w:style w:type="character" w:styleId="Emphasis">
    <w:name w:val="Emphasis"/>
    <w:uiPriority w:val="20"/>
    <w:qFormat/>
    <w:rsid w:val="00471556"/>
    <w:rPr>
      <w:i/>
      <w:iCs/>
    </w:rPr>
  </w:style>
  <w:style w:type="character" w:customStyle="1" w:styleId="citation">
    <w:name w:val="citation"/>
    <w:rsid w:val="00265658"/>
  </w:style>
  <w:style w:type="paragraph" w:styleId="ListBullet2">
    <w:name w:val="List Bullet 2"/>
    <w:basedOn w:val="Normal"/>
    <w:uiPriority w:val="99"/>
    <w:semiHidden/>
    <w:unhideWhenUsed/>
    <w:rsid w:val="009A12FC"/>
    <w:pPr>
      <w:numPr>
        <w:numId w:val="32"/>
      </w:numPr>
      <w:contextualSpacing/>
    </w:pPr>
  </w:style>
  <w:style w:type="character" w:styleId="CommentReference">
    <w:name w:val="annotation reference"/>
    <w:basedOn w:val="DefaultParagraphFont"/>
    <w:uiPriority w:val="99"/>
    <w:semiHidden/>
    <w:unhideWhenUsed/>
    <w:rsid w:val="004348B4"/>
    <w:rPr>
      <w:sz w:val="16"/>
      <w:szCs w:val="16"/>
    </w:rPr>
  </w:style>
  <w:style w:type="paragraph" w:styleId="CommentText">
    <w:name w:val="annotation text"/>
    <w:basedOn w:val="Normal"/>
    <w:link w:val="CommentTextChar"/>
    <w:uiPriority w:val="99"/>
    <w:semiHidden/>
    <w:unhideWhenUsed/>
    <w:rsid w:val="004348B4"/>
    <w:rPr>
      <w:sz w:val="20"/>
      <w:szCs w:val="20"/>
    </w:rPr>
  </w:style>
  <w:style w:type="character" w:customStyle="1" w:styleId="CommentTextChar">
    <w:name w:val="Comment Text Char"/>
    <w:basedOn w:val="DefaultParagraphFont"/>
    <w:link w:val="CommentText"/>
    <w:uiPriority w:val="99"/>
    <w:semiHidden/>
    <w:rsid w:val="004348B4"/>
    <w:rPr>
      <w:rFonts w:ascii="Arial" w:eastAsia="新細明體" w:hAnsi="Arial"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4348B4"/>
    <w:rPr>
      <w:b/>
      <w:bCs/>
    </w:rPr>
  </w:style>
  <w:style w:type="character" w:customStyle="1" w:styleId="CommentSubjectChar">
    <w:name w:val="Comment Subject Char"/>
    <w:basedOn w:val="CommentTextChar"/>
    <w:link w:val="CommentSubject"/>
    <w:uiPriority w:val="99"/>
    <w:semiHidden/>
    <w:rsid w:val="004348B4"/>
    <w:rPr>
      <w:rFonts w:ascii="Arial" w:eastAsia="新細明體" w:hAnsi="Arial" w:cs="Times New Roman"/>
      <w:b/>
      <w:bCs/>
      <w:kern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kreform.gov.h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CHENG1\Desktop\LRCsty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383F9-4EA8-4234-BF1D-30AA5F7BA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LRCstyle</Template>
  <TotalTime>4</TotalTime>
  <Pages>17</Pages>
  <Words>4689</Words>
  <Characters>26729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 , Fiann FY</dc:creator>
  <cp:lastModifiedBy>NG , Louisa YS</cp:lastModifiedBy>
  <cp:revision>4</cp:revision>
  <cp:lastPrinted>2021-09-09T04:08:00Z</cp:lastPrinted>
  <dcterms:created xsi:type="dcterms:W3CDTF">2021-09-09T04:13:00Z</dcterms:created>
  <dcterms:modified xsi:type="dcterms:W3CDTF">2021-09-09T04:16:00Z</dcterms:modified>
</cp:coreProperties>
</file>